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49b58c788bf15f9a3c20fb3281ba874051f6f74"/>
    <w:p>
      <w:pPr>
        <w:pStyle w:val="Title"/>
        <w:keepNext/>
        <w:keepLines/>
        <w:spacing w:before="480" w:after="0"/>
      </w:pPr>
      <w:r>
        <w:rPr>
          <w:rFonts w:ascii="Calibri" w:hAnsi="Calibri"/>
          <w:b/>
          <w:color w:val="000000"/>
          <w:sz w:val="32"/>
        </w:rP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gains from spatial refitting and alignment with up to 20 current-session calibration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Kumar2024 (18 participants, six sessions; 12-participant primary cohort). A fixed-budget external comparison in nine BNCI2014-001 participants added support-only Euclidean alignment (EA-CSP). Updating methods received identical labels within each dataset.</w:t>
      </w:r>
    </w:p>
    <w:p>
      <w:pPr>
        <w:pStyle w:val="BodyText"/>
      </w:pPr>
      <w:r>
        <w:rPr>
          <w:b/>
          <w:bCs/>
        </w:rPr>
        <w:t xml:space="preserve">Results:</w:t>
      </w:r>
      <w:r>
        <w:t xml:space="preserve"> </w:t>
      </w:r>
      <w:r>
        <w:t xml:space="preserve">In the Kumar2024 primary cohort,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Spatial refitting in Kumar2024 and support-only alignment in BNCI2014-001 improved recalibration under matched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We compare normalization modes during weight adaptation and test a constraint on source predictions.</w:t>
      </w:r>
    </w:p>
    <w:p>
      <w:pPr>
        <w:pStyle w:val="BodyText"/>
      </w:pPr>
      <w:r>
        <w:rPr>
          <w:b w:val="0"/>
          <w:bCs/>
        </w:rPr>
        <w:t xml:space="preserve">The study combines</w:t>
      </w:r>
      <w:r>
        <w:rPr>
          <w:b w:val="0"/>
        </w:rPr>
        <w:t xml:space="preserve"/>
      </w:r>
      <w:r>
        <w:rPr>
          <w:b w:val="0"/>
        </w:rPr>
        <w:t xml:space="preserve"> three analyses: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decomposition across sessions and participants.</w:t>
      </w:r>
      <w:r>
        <w:t xml:space="preserve"> </w:t>
      </w:r>
      <w:r>
        <w:t xml:space="preserve">Corrected and newly introduced errors reconstruct the component gain. Class recalls, target-session means and participant-deletion summaries show how the gain is distributed across labels, sessions and participants.</w:t>
      </w:r>
    </w:p>
    <w:p>
      <w:pPr>
        <w:pStyle w:val="Compact"/>
        <w:numPr>
          <w:ilvl w:val="0"/>
          <w:numId w:val="1001"/>
        </w:numPr>
      </w:pPr>
      <w:r>
        <w:rPr>
          <w:b/>
          <w:bCs/>
        </w:rPr>
        <w:t xml:space="preserve">An external comparison of spatial updates.</w:t>
      </w:r>
      <w:r>
        <w:t xml:space="preserve"> </w:t>
      </w:r>
      <w:r>
        <w:t xml:space="preserve">A fixed nine-participant BNCI2014-001 comparison evaluates LDA-only recalibration, full refitting and support-only EA-CSP with exactly 20 target labels. Development-cohort experiments examine neural normalization and geometric estimation across support budgets.</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comparison with a fixed calibration budget</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comparison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comparison generated its own four-method predictions. All external BA values were independently reconstructed from the saved predictions without another model evaluation.</w:t>
      </w:r>
    </w:p>
    <w:bookmarkEnd w:id="29"/>
    <w:bookmarkEnd w:id="30"/>
    <w:bookmarkStart w:id="38" w:name="results"/>
    <w:p>
      <w:pPr>
        <w:pStyle w:val="Heading2"/>
      </w:pPr>
      <w:r>
        <w:t xml:space="preserve">Results</w:t>
      </w:r>
    </w:p>
    <w:bookmarkStart w:id="31"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keepNext/>
              <w:keepLines/>
              <w:spacing w:after="80"/>
              <w:jc w:val="left"/>
            </w:pPr>
            <w:r>
              <w:rPr>
                <w:b/>
                <w:sz w:val="18"/>
              </w:rPr>
              <w:t xml:space="preserve">Cohort</w:t>
            </w:r>
          </w:p>
        </w:tc>
        <w:tc>
          <w:tcPr/>
          <w:p>
            <w:pPr>
              <w:pStyle w:val="Compact"/>
              <w:keepNext/>
              <w:keepLines/>
              <w:spacing w:after="80"/>
              <w:jc w:val="right"/>
            </w:pPr>
            <w:r>
              <w:rPr>
                <w:b/>
                <w:sz w:val="18"/>
              </w:rPr>
              <w:t xml:space="preserve">Participants</w:t>
            </w:r>
          </w:p>
        </w:tc>
        <w:tc>
          <w:tcPr/>
          <w:p>
            <w:pPr>
              <w:pStyle w:val="Compact"/>
              <w:keepNext/>
              <w:keepLines/>
              <w:spacing w:after="80"/>
              <w:jc w:val="right"/>
            </w:pPr>
            <w:r>
              <w:rPr>
                <w:b/>
                <w:sz w:val="18"/>
              </w:rPr>
              <w:t xml:space="preserve">Frozen CSP/LDA BA</w:t>
            </w:r>
          </w:p>
        </w:tc>
        <w:tc>
          <w:tcPr/>
          <w:p>
            <w:pPr>
              <w:pStyle w:val="Compact"/>
              <w:keepNext/>
              <w:keepLines/>
              <w:spacing w:after="80"/>
              <w:jc w:val="right"/>
            </w:pPr>
            <w:r>
              <w:rPr>
                <w:b/>
                <w:sz w:val="18"/>
              </w:rPr>
              <w:t xml:space="preserve">LDA-only BA</w:t>
            </w:r>
          </w:p>
        </w:tc>
        <w:tc>
          <w:tcPr/>
          <w:p>
            <w:pPr>
              <w:pStyle w:val="Compact"/>
              <w:keepNext/>
              <w:keepLines/>
              <w:spacing w:after="80"/>
              <w:jc w:val="right"/>
            </w:pPr>
            <w:r>
              <w:rPr>
                <w:b/>
                <w:sz w:val="18"/>
              </w:rPr>
              <w:t xml:space="preserve">Full CSP/LDA BA</w:t>
            </w:r>
          </w:p>
        </w:tc>
        <w:tc>
          <w:tcPr/>
          <w:p>
            <w:pPr>
              <w:pStyle w:val="Compact"/>
              <w:keepNext/>
              <w:keepLines/>
              <w:spacing w:after="80"/>
              <w:jc w:val="right"/>
            </w:pPr>
            <w:r>
              <w:rPr>
                <w:b/>
                <w:sz w:val="18"/>
              </w:rPr>
              <w:t xml:space="preserve">Full − frozen</w:t>
            </w:r>
          </w:p>
        </w:tc>
        <w:tc>
          <w:tcPr/>
          <w:p>
            <w:pPr>
              <w:pStyle w:val="Compact"/>
              <w:keepNext/>
              <w:keepLines/>
              <w:spacing w:after="80"/>
              <w:jc w:val="right"/>
            </w:pPr>
            <w:r>
              <w:rPr>
                <w:b/>
                <w:sz w:val="18"/>
              </w:rPr>
              <w:t xml:space="preserve">Full − LDA-only</w:t>
            </w:r>
          </w:p>
        </w:tc>
      </w:tr>
      <w:tr>
        <w:tc>
          <w:tcPr/>
          <w:p>
            <w:pPr>
              <w:pStyle w:val="Compact"/>
              <w:keepNext/>
              <w:keepLines/>
              <w:spacing w:after="80"/>
              <w:jc w:val="left"/>
            </w:pPr>
            <w:r>
              <w:rPr>
                <w:sz w:val="18"/>
              </w:rPr>
              <w:t xml:space="preserve">Development</w:t>
            </w:r>
          </w:p>
        </w:tc>
        <w:tc>
          <w:tcPr/>
          <w:p>
            <w:pPr>
              <w:pStyle w:val="Compact"/>
              <w:keepNext/>
              <w:keepLines/>
              <w:spacing w:after="80"/>
              <w:jc w:val="right"/>
            </w:pPr>
            <w:r>
              <w:rPr>
                <w:sz w:val="18"/>
              </w:rPr>
              <w:t xml:space="preserve">6</w:t>
            </w:r>
          </w:p>
        </w:tc>
        <w:tc>
          <w:tcPr/>
          <w:p>
            <w:pPr>
              <w:pStyle w:val="Compact"/>
              <w:keepNext/>
              <w:keepLines/>
              <w:spacing w:after="80"/>
              <w:jc w:val="right"/>
            </w:pPr>
            <w:r>
              <w:rPr>
                <w:sz w:val="18"/>
              </w:rPr>
              <w:t xml:space="preserve">59.97%</w:t>
            </w:r>
          </w:p>
        </w:tc>
        <w:tc>
          <w:tcPr/>
          <w:p>
            <w:pPr>
              <w:pStyle w:val="Compact"/>
              <w:keepNext/>
              <w:keepLines/>
              <w:spacing w:after="80"/>
              <w:jc w:val="right"/>
            </w:pPr>
            <w:r>
              <w:rPr>
                <w:sz w:val="18"/>
              </w:rPr>
              <w:t xml:space="preserve">64.37%</w:t>
            </w:r>
          </w:p>
        </w:tc>
        <w:tc>
          <w:tcPr/>
          <w:p>
            <w:pPr>
              <w:pStyle w:val="Compact"/>
              <w:keepNext/>
              <w:keepLines/>
              <w:spacing w:after="80"/>
              <w:jc w:val="right"/>
            </w:pPr>
            <w:r>
              <w:rPr>
                <w:sz w:val="18"/>
              </w:rPr>
              <w:t xml:space="preserve">63.22%</w:t>
            </w:r>
          </w:p>
        </w:tc>
        <w:tc>
          <w:tcPr/>
          <w:p>
            <w:pPr>
              <w:pStyle w:val="Compact"/>
              <w:keepNext/>
              <w:keepLines/>
              <w:spacing w:after="80"/>
              <w:jc w:val="right"/>
            </w:pPr>
            <w:r>
              <w:rPr>
                <w:sz w:val="18"/>
              </w:rPr>
              <w:t xml:space="preserve">+3.25 pp</w:t>
            </w:r>
          </w:p>
        </w:tc>
        <w:tc>
          <w:tcPr/>
          <w:p>
            <w:pPr>
              <w:pStyle w:val="Compact"/>
              <w:keepNext/>
              <w:keepLines/>
              <w:spacing w:after="80"/>
              <w:jc w:val="right"/>
            </w:pPr>
            <w:r>
              <w:rPr>
                <w:sz w:val="18"/>
              </w:rPr>
              <w:t xml:space="preserve">−1.15 pp</w:t>
            </w:r>
          </w:p>
        </w:tc>
      </w:tr>
      <w:tr>
        <w:tc>
          <w:tcPr/>
          <w:p>
            <w:pPr>
              <w:pStyle w:val="Compact"/>
              <w:keepNext/>
              <w:keepLines/>
              <w:spacing w:after="80"/>
              <w:jc w:val="left"/>
            </w:pPr>
            <w:r>
              <w:rPr>
                <w:sz w:val="18"/>
              </w:rPr>
              <w:t xml:space="preserve">Predefined primary cohort</w:t>
            </w:r>
          </w:p>
        </w:tc>
        <w:tc>
          <w:tcPr/>
          <w:p>
            <w:pPr>
              <w:pStyle w:val="Compact"/>
              <w:keepNext/>
              <w:keepLines/>
              <w:spacing w:after="80"/>
              <w:jc w:val="right"/>
            </w:pPr>
            <w:r>
              <w:rPr>
                <w:sz w:val="18"/>
              </w:rPr>
              <w:t xml:space="preserve">12</w:t>
            </w:r>
          </w:p>
        </w:tc>
        <w:tc>
          <w:tcPr/>
          <w:p>
            <w:pPr>
              <w:pStyle w:val="Compact"/>
              <w:keepNext/>
              <w:keepLines/>
              <w:spacing w:after="80"/>
              <w:jc w:val="right"/>
            </w:pPr>
            <w:r>
              <w:rPr>
                <w:sz w:val="18"/>
              </w:rPr>
              <w:t xml:space="preserve">57.94%</w:t>
            </w:r>
          </w:p>
        </w:tc>
        <w:tc>
          <w:tcPr/>
          <w:p>
            <w:pPr>
              <w:pStyle w:val="Compact"/>
              <w:keepNext/>
              <w:keepLines/>
              <w:spacing w:after="80"/>
              <w:jc w:val="right"/>
            </w:pPr>
            <w:r>
              <w:rPr>
                <w:sz w:val="18"/>
              </w:rPr>
              <w:t xml:space="preserve">59.89%</w:t>
            </w:r>
          </w:p>
        </w:tc>
        <w:tc>
          <w:tcPr/>
          <w:p>
            <w:pPr>
              <w:pStyle w:val="Compact"/>
              <w:keepNext/>
              <w:keepLines/>
              <w:spacing w:after="80"/>
              <w:jc w:val="right"/>
            </w:pPr>
            <w:r>
              <w:rPr>
                <w:sz w:val="18"/>
              </w:rPr>
              <w:t xml:space="preserve">65.36%</w:t>
            </w:r>
          </w:p>
        </w:tc>
        <w:tc>
          <w:tcPr/>
          <w:p>
            <w:pPr>
              <w:pStyle w:val="Compact"/>
              <w:keepNext/>
              <w:keepLines/>
              <w:spacing w:after="80"/>
              <w:jc w:val="right"/>
            </w:pPr>
            <w:r>
              <w:rPr>
                <w:sz w:val="18"/>
              </w:rPr>
              <w:t xml:space="preserve">+7.42 [2.49, 12.48] pp</w:t>
            </w:r>
          </w:p>
        </w:tc>
        <w:tc>
          <w:tcPr/>
          <w:p>
            <w:pPr>
              <w:pStyle w:val="Compact"/>
              <w:keepNext/>
              <w:keepLines/>
              <w:spacing w:after="80"/>
              <w:jc w:val="right"/>
            </w:pPr>
            <w:r>
              <w:rPr>
                <w:sz w:val="18"/>
              </w:rPr>
              <w:t xml:space="preserve">+5.47 [2.17, 8.91] pp</w:t>
            </w:r>
          </w:p>
        </w:tc>
      </w:tr>
      <w:tr>
        <w:tc>
          <w:tcPr/>
          <w:p>
            <w:pPr>
              <w:pStyle w:val="Compact"/>
              <w:keepNext w:val="0"/>
              <w:keepLines/>
              <w:spacing w:after="80"/>
              <w:jc w:val="left"/>
            </w:pPr>
            <w:r>
              <w:rPr>
                <w:sz w:val="18"/>
              </w:rPr>
              <w:t xml:space="preserve">All participants, secondary</w:t>
            </w:r>
          </w:p>
        </w:tc>
        <w:tc>
          <w:tcPr/>
          <w:p>
            <w:pPr>
              <w:pStyle w:val="Compact"/>
              <w:keepNext w:val="0"/>
              <w:keepLines/>
              <w:spacing w:after="80"/>
              <w:jc w:val="right"/>
            </w:pPr>
            <w:r>
              <w:rPr>
                <w:sz w:val="18"/>
              </w:rPr>
              <w:t xml:space="preserve">18</w:t>
            </w:r>
          </w:p>
        </w:tc>
        <w:tc>
          <w:tcPr/>
          <w:p>
            <w:pPr>
              <w:pStyle w:val="Compact"/>
              <w:keepNext w:val="0"/>
              <w:keepLines/>
              <w:spacing w:after="80"/>
              <w:jc w:val="right"/>
            </w:pPr>
            <w:r>
              <w:rPr>
                <w:sz w:val="18"/>
              </w:rPr>
              <w:t xml:space="preserve">58.62%</w:t>
            </w:r>
          </w:p>
        </w:tc>
        <w:tc>
          <w:tcPr/>
          <w:p>
            <w:pPr>
              <w:pStyle w:val="Compact"/>
              <w:keepNext w:val="0"/>
              <w:keepLines/>
              <w:spacing w:after="80"/>
              <w:jc w:val="right"/>
            </w:pPr>
            <w:r>
              <w:rPr>
                <w:sz w:val="18"/>
              </w:rPr>
              <w:t xml:space="preserve">61.38%</w:t>
            </w:r>
          </w:p>
        </w:tc>
        <w:tc>
          <w:tcPr/>
          <w:p>
            <w:pPr>
              <w:pStyle w:val="Compact"/>
              <w:keepNext w:val="0"/>
              <w:keepLines/>
              <w:spacing w:after="80"/>
              <w:jc w:val="right"/>
            </w:pPr>
            <w:r>
              <w:rPr>
                <w:sz w:val="18"/>
              </w:rPr>
              <w:t xml:space="preserve">64.65%</w:t>
            </w:r>
          </w:p>
        </w:tc>
        <w:tc>
          <w:tcPr/>
          <w:p>
            <w:pPr>
              <w:pStyle w:val="Compact"/>
              <w:keepNext w:val="0"/>
              <w:keepLines/>
              <w:spacing w:after="80"/>
              <w:jc w:val="right"/>
            </w:pPr>
            <w:r>
              <w:rPr>
                <w:sz w:val="18"/>
              </w:rPr>
              <w:t xml:space="preserve">+6.03 pp</w:t>
            </w:r>
          </w:p>
        </w:tc>
        <w:tc>
          <w:tcPr/>
          <w:p>
            <w:pPr>
              <w:pStyle w:val="Compact"/>
              <w:keepNext w:val="0"/>
              <w:keepLines/>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changes were +6.16 and +4.78 points, respectively, with both class-specific intervals including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bookmarkEnd w:id="31"/>
    <w:bookmarkStart w:id="32" w:name="Xdafc897e219783402c84ca3b110848a0a40ca9f"/>
    <w:p>
      <w:pPr>
        <w:pStyle w:val="Heading3"/>
      </w:pPr>
      <w:r>
        <w:t xml:space="preserve">Covariance mixing and EA-CSP under matched labels</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w:t>
      </w:r>
    </w:p>
    <w:bookmarkEnd w:id="32"/>
    <w:bookmarkStart w:id="33" w:name="Xec716033d9fb495497d1014a38015ddbbc180ea"/>
    <w:p>
      <w:pPr>
        <w:pStyle w:val="Heading3"/>
      </w:pPr>
      <w:r>
        <w:t xml:space="preserve">Geometric estimation in a fixed tangent feature space</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bookmarkEnd w:id="33"/>
    <w:bookmarkStart w:id="34"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predicted a single class in eight of 90 participant-by-seed-by-session query sets, compared with 16 for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bookmarkEnd w:id="34"/>
    <w:bookmarkStart w:id="35"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w:t>
      </w:r>
    </w:p>
    <w:p>
      <w:pPr>
        <w:pStyle w:val="BodyText"/>
      </w:pPr>
      <w:r>
        <w:t xml:space="preserve">The three pooled models selected epochs 14, 20 and 17 by validation loss. Their final training losses were approximately 0.20–0.22, while final validation losses were 0.91–0.96, above the selected validation losses near 0.68.</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35"/>
    <w:bookmarkStart w:id="36"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Posterior covariance improved log loss for the same estimated means, with little change in classification accuracy (Figure 4).</w:t>
      </w:r>
    </w:p>
    <w:bookmarkEnd w:id="36"/>
    <w:bookmarkStart w:id="37"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bookmarkEnd w:id="37"/>
    <w:bookmarkEnd w:id="38"/>
    <w:bookmarkStart w:id="44" w:name="discussion"/>
    <w:p>
      <w:pPr>
        <w:pStyle w:val="Heading2"/>
      </w:pPr>
      <w:r>
        <w:t xml:space="preserve">Discussion</w:t>
      </w:r>
    </w:p>
    <w:bookmarkStart w:id="39" w:name="X321fb6ee669b04d9d182a4aeaad63a66664a081"/>
    <w:p>
      <w:pPr>
        <w:pStyle w:val="Heading3"/>
      </w:pPr>
      <w:r>
        <w:t xml:space="preserve">Gains from spatial refitting and alignment</w:t>
      </w:r>
    </w:p>
    <w:p>
      <w:pPr>
        <w:pStyle w:val="FirstParagraph"/>
      </w:pPr>
      <w:r>
        <w:t xml:space="preserve">Full CSP/LDA refitting added 5.47 BA points beyond classifier-only recalibration in the original primary cohort and supplied 73.7% of the mean improvement over freezing. Because both updates used identical source and support trials, this contrast measures the gain from relearning the spatial representation together with the classifier.</w:t>
      </w:r>
    </w:p>
    <w:p>
      <w:pPr>
        <w:pStyle w:val="BodyText"/>
      </w:pPr>
      <w:r>
        <w:t xml:space="preserve">In BNCI2014-001, EA improved on full refitting in all nine participants using the same 20 current labels, while full refitting and classifier-only recalibration gave similar cohort means. The two comparisons measure separate additions to recalibration: spatial refitting beyond LDA-only in Kumar2024, and alignment beyond full refitting in BNCI2014-001.</w:t>
      </w:r>
    </w:p>
    <w:p>
      <w:pPr>
        <w:pStyle w:val="BodyText"/>
      </w:pPr>
      <w:r>
        <w:t xml:space="preserve">At the 20-label cap, fixed-source BN during full weight adaptation produced higher BA and fewer single-class seed/session predictions than adaptive BN in both initialization regimes.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39"/>
    <w:bookmarkStart w:id="40"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w:t>
      </w:r>
    </w:p>
    <w:bookmarkEnd w:id="40"/>
    <w:bookmarkStart w:id="41" w:name="X9bea0190cc77cd693194f258d1988f8b13583d2"/>
    <w:p>
      <w:pPr>
        <w:pStyle w:val="Heading3"/>
      </w:pPr>
      <w:r>
        <w:t xml:space="preserve">Spatial alignment and predictive covariance</w:t>
      </w:r>
    </w:p>
    <w:p>
      <w:pPr>
        <w:pStyle w:val="FirstParagraph"/>
      </w:pPr>
      <w:r>
        <w:t xml:space="preserve">EA-CSP had higher mean BA than the V2 covariance-mixture candidate and the V3 uncertainty-aware candidate. Ordinary tangent refitting also achieved higher BA within the same tangent feature space. These comparisons place the candidate’s mean and covariance updates against EA-CSP and tangent refitting.</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w:t>
      </w:r>
    </w:p>
    <w:bookmarkEnd w:id="41"/>
    <w:bookmarkStart w:id="42"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source-query endpoint gives the reference accuracy before session transfer. In the extension, validation loss increased after the selected epochs despite continued training-loss reduction.</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42"/>
    <w:bookmarkStart w:id="43"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43"/>
    <w:bookmarkEnd w:id="44"/>
    <w:bookmarkStart w:id="45" w:name="conclusions"/>
    <w:p>
      <w:pPr>
        <w:pStyle w:val="Heading2"/>
      </w:pPr>
      <w:r>
        <w:t xml:space="preserve">Conclusions</w:t>
      </w:r>
    </w:p>
    <w:p>
      <w:pPr>
        <w:pStyle w:val="FirstParagraph"/>
      </w:pPr>
      <w:r>
        <w:t xml:space="preserve">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results support evaluating spatial refitting and alignment separately under a fixed calibration budget.</w:t>
      </w:r>
    </w:p>
    <w:bookmarkEnd w:id="45"/>
    <w:bookmarkStart w:id="46"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46"/>
    <w:bookmarkStart w:id="47"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47"/>
    <w:bookmarkStart w:id="97" w:name="references"/>
    <w:p>
      <w:pPr>
        <w:pStyle w:val="Heading2"/>
      </w:pPr>
      <w:r>
        <w:t xml:space="preserve">References</w:t>
      </w:r>
    </w:p>
    <w:bookmarkStart w:id="96" w:name="refs"/>
    <w:bookmarkStart w:id="49"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8">
        <w:r>
          <w:rPr>
            <w:rStyle w:val="Hyperlink"/>
          </w:rPr>
          <w:t xml:space="preserve">10.1088/1741-2552/aab2f2</w:t>
        </w:r>
      </w:hyperlink>
    </w:p>
    <w:bookmarkEnd w:id="49"/>
    <w:bookmarkStart w:id="51"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50">
        <w:r>
          <w:rPr>
            <w:rStyle w:val="Hyperlink"/>
          </w:rPr>
          <w:t xml:space="preserve">10.1109/86.895946</w:t>
        </w:r>
      </w:hyperlink>
    </w:p>
    <w:bookmarkEnd w:id="51"/>
    <w:bookmarkStart w:id="53"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52">
        <w:r>
          <w:rPr>
            <w:rStyle w:val="Hyperlink"/>
          </w:rPr>
          <w:t xml:space="preserve">10.1109/msp.2008.4408441</w:t>
        </w:r>
      </w:hyperlink>
    </w:p>
    <w:bookmarkEnd w:id="53"/>
    <w:bookmarkStart w:id="55"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4">
        <w:r>
          <w:rPr>
            <w:rStyle w:val="Hyperlink"/>
          </w:rPr>
          <w:t xml:space="preserve">10.1109/TBME.2010.2093133</w:t>
        </w:r>
      </w:hyperlink>
    </w:p>
    <w:bookmarkEnd w:id="55"/>
    <w:bookmarkStart w:id="57"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6">
        <w:r>
          <w:rPr>
            <w:rStyle w:val="Hyperlink"/>
          </w:rPr>
          <w:t xml:space="preserve">10.1162/NECO_a_00474</w:t>
        </w:r>
      </w:hyperlink>
    </w:p>
    <w:bookmarkEnd w:id="57"/>
    <w:bookmarkStart w:id="59"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8">
        <w:r>
          <w:rPr>
            <w:rStyle w:val="Hyperlink"/>
          </w:rPr>
          <w:t xml:space="preserve">10.1016/j.compbiomed.2015.03.023</w:t>
        </w:r>
      </w:hyperlink>
    </w:p>
    <w:bookmarkEnd w:id="59"/>
    <w:bookmarkStart w:id="61"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60">
        <w:r>
          <w:rPr>
            <w:rStyle w:val="Hyperlink"/>
          </w:rPr>
          <w:t xml:space="preserve">10.1109/TBME.2019.2913914</w:t>
        </w:r>
      </w:hyperlink>
    </w:p>
    <w:bookmarkEnd w:id="61"/>
    <w:bookmarkStart w:id="63"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62">
        <w:r>
          <w:rPr>
            <w:rStyle w:val="Hyperlink"/>
          </w:rPr>
          <w:t xml:space="preserve">10.1109/TBME.2017.2742541</w:t>
        </w:r>
      </w:hyperlink>
    </w:p>
    <w:bookmarkEnd w:id="63"/>
    <w:bookmarkStart w:id="65"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4">
        <w:r>
          <w:rPr>
            <w:rStyle w:val="Hyperlink"/>
          </w:rPr>
          <w:t xml:space="preserve">10.1093/pnasnexus/pgae076</w:t>
        </w:r>
      </w:hyperlink>
    </w:p>
    <w:bookmarkEnd w:id="65"/>
    <w:bookmarkStart w:id="67"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6">
        <w:r>
          <w:rPr>
            <w:rStyle w:val="Hyperlink"/>
          </w:rPr>
          <w:t xml:space="preserve">10.1093/pnasnexus/pgae137</w:t>
        </w:r>
      </w:hyperlink>
    </w:p>
    <w:bookmarkEnd w:id="67"/>
    <w:bookmarkStart w:id="69"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8">
        <w:r>
          <w:rPr>
            <w:rStyle w:val="Hyperlink"/>
          </w:rPr>
          <w:t xml:space="preserve">https://arxiv.org/abs/2610.07420v1</w:t>
        </w:r>
      </w:hyperlink>
    </w:p>
    <w:bookmarkEnd w:id="69"/>
    <w:bookmarkStart w:id="71"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70">
        <w:r>
          <w:rPr>
            <w:rStyle w:val="Hyperlink"/>
          </w:rPr>
          <w:t xml:space="preserve">https://arxiv.org/abs/1603.04779</w:t>
        </w:r>
      </w:hyperlink>
    </w:p>
    <w:bookmarkEnd w:id="71"/>
    <w:bookmarkStart w:id="73"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72">
        <w:r>
          <w:rPr>
            <w:rStyle w:val="Hyperlink"/>
          </w:rPr>
          <w:t xml:space="preserve">10.1109/EMBC58623.2025.11253543</w:t>
        </w:r>
      </w:hyperlink>
    </w:p>
    <w:bookmarkEnd w:id="73"/>
    <w:bookmarkStart w:id="75"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74">
        <w:r>
          <w:rPr>
            <w:rStyle w:val="Hyperlink"/>
          </w:rPr>
          <w:t xml:space="preserve">https://proceedings.mlr.press/v80/li18a.html</w:t>
        </w:r>
      </w:hyperlink>
    </w:p>
    <w:bookmarkEnd w:id="75"/>
    <w:bookmarkStart w:id="77"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76">
        <w:r>
          <w:rPr>
            <w:rStyle w:val="Hyperlink"/>
          </w:rPr>
          <w:t xml:space="preserve">https://arxiv.org/abs/1606.09282</w:t>
        </w:r>
      </w:hyperlink>
    </w:p>
    <w:bookmarkEnd w:id="77"/>
    <w:bookmarkStart w:id="79"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78">
        <w:r>
          <w:rPr>
            <w:rStyle w:val="Hyperlink"/>
          </w:rPr>
          <w:t xml:space="preserve">https://proceedings.mlr.press/v37/schulman15.html</w:t>
        </w:r>
      </w:hyperlink>
    </w:p>
    <w:bookmarkEnd w:id="79"/>
    <w:bookmarkStart w:id="81"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80">
        <w:r>
          <w:rPr>
            <w:rStyle w:val="Hyperlink"/>
          </w:rPr>
          <w:t xml:space="preserve">10.82901/nemar.nm000177.v1.0.5</w:t>
        </w:r>
      </w:hyperlink>
    </w:p>
    <w:bookmarkEnd w:id="81"/>
    <w:bookmarkStart w:id="83"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82">
        <w:r>
          <w:rPr>
            <w:rStyle w:val="Hyperlink"/>
          </w:rPr>
          <w:t xml:space="preserve">10.3389/fnins.2012.00055</w:t>
        </w:r>
      </w:hyperlink>
    </w:p>
    <w:bookmarkEnd w:id="83"/>
    <w:bookmarkStart w:id="85"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84">
        <w:r>
          <w:rPr>
            <w:rStyle w:val="Hyperlink"/>
          </w:rPr>
          <w:t xml:space="preserve">https://www.gov.cn/zhengce/zhengceku/2023-02/28/content_5743658.htm</w:t>
        </w:r>
      </w:hyperlink>
    </w:p>
    <w:bookmarkEnd w:id="85"/>
    <w:bookmarkStart w:id="87"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86">
        <w:r>
          <w:rPr>
            <w:rStyle w:val="Hyperlink"/>
          </w:rPr>
          <w:t xml:space="preserve">https://github.com/neurosatya/TransLearning/blob/548470542e63f97ab777684c1f5e4f1cace4b8ed/Dataset_Description.pdf</w:t>
        </w:r>
      </w:hyperlink>
    </w:p>
    <w:bookmarkEnd w:id="87"/>
    <w:bookmarkStart w:id="89"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88">
        <w:r>
          <w:rPr>
            <w:rStyle w:val="Hyperlink"/>
          </w:rPr>
          <w:t xml:space="preserve">10.1088/1741-2552/aadea0</w:t>
        </w:r>
      </w:hyperlink>
    </w:p>
    <w:bookmarkEnd w:id="89"/>
    <w:bookmarkStart w:id="91"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90">
        <w:r>
          <w:rPr>
            <w:rStyle w:val="Hyperlink"/>
          </w:rPr>
          <w:t xml:space="preserve">10.1016/s0047-259x(03)00096-4</w:t>
        </w:r>
      </w:hyperlink>
    </w:p>
    <w:bookmarkEnd w:id="91"/>
    <w:bookmarkStart w:id="93"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92">
        <w:r>
          <w:rPr>
            <w:rStyle w:val="Hyperlink"/>
          </w:rPr>
          <w:t xml:space="preserve">10.1088/1741-2552/aace8c</w:t>
        </w:r>
      </w:hyperlink>
    </w:p>
    <w:bookmarkEnd w:id="93"/>
    <w:bookmarkStart w:id="95"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94">
        <w:r>
          <w:rPr>
            <w:rStyle w:val="Hyperlink"/>
          </w:rPr>
          <w:t xml:space="preserve">10.1002/hbm.23730</w:t>
        </w:r>
      </w:hyperlink>
    </w:p>
    <w:bookmarkEnd w:id="95"/>
    <w:bookmarkEnd w:id="96"/>
    <w:bookmarkEnd w:id="97"/>
    <w:bookmarkStart w:id="98"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98"/>
    <w:bookmarkStart w:id="99" w:name="figure-legends"/>
    <w:p>
      <w:pPr>
        <w:pStyle w:val="Heading2"/>
      </w:pPr>
      <w:r>
        <w:t xml:space="preserve">Figure legends</w:t>
      </w:r>
    </w:p>
    <w:p>
      <w:pPr>
        <w:pStyle w:val="FirstParagraph"/>
        <w:keepLines/>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p>
      <w:pPr>
        <w:pStyle w:val="BodyText"/>
        <w:keepLines/>
      </w:pPr>
      <w:r>
        <w:rPr>
          <w:b/>
          <w:bCs/>
        </w:rPr>
        <w:t xml:space="preserve">Figure 2. Geometric candidate, matched controls and ablations.</w:t>
      </w:r>
      <w:r>
        <w:t xml:space="preserve"> </w:t>
      </w:r>
      <w:r>
        <w:t xml:space="preserve">Curves show BA across support budgets; paired cap-20 contrasts compare the candidate with tangent refitting, EA-CSP and matched ablations. Ablations vary posterior mean estimation, predictive covariance, source-mean noise and common/contrast shift scales. Intervals are participant-bootstrap summaries.</w:t>
      </w:r>
    </w:p>
    <w:p>
      <w:pPr>
        <w:pStyle w:val="BodyText"/>
        <w:keepLines/>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p>
      <w:pPr>
        <w:pStyle w:val="BodyText"/>
        <w:keepLines/>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p>
      <w:pPr>
        <w:pStyle w:val="BodyText"/>
        <w:keepLines/>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99"/>
    <w:bookmarkEnd w:id="10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1603.04779" TargetMode="External"/><Relationship Id="rId76" Type="http://schemas.openxmlformats.org/officeDocument/2006/relationships/hyperlink" Target="https://arxiv.org/abs/1606.09282" TargetMode="External"/><Relationship Id="rId68" Type="http://schemas.openxmlformats.org/officeDocument/2006/relationships/hyperlink" Target="https://arxiv.org/abs/2610.07420v1" TargetMode="External"/><Relationship Id="rId94" Type="http://schemas.openxmlformats.org/officeDocument/2006/relationships/hyperlink" Target="https://doi.org/10.1002/hbm.23730" TargetMode="External"/><Relationship Id="rId58" Type="http://schemas.openxmlformats.org/officeDocument/2006/relationships/hyperlink" Target="https://doi.org/10.1016/j.compbiomed.2015.03.023" TargetMode="External"/><Relationship Id="rId90" Type="http://schemas.openxmlformats.org/officeDocument/2006/relationships/hyperlink" Target="https://doi.org/10.1016/s0047-259x(03)00096-4" TargetMode="External"/><Relationship Id="rId48" Type="http://schemas.openxmlformats.org/officeDocument/2006/relationships/hyperlink" Target="https://doi.org/10.1088/1741-2552/aab2f2" TargetMode="External"/><Relationship Id="rId92" Type="http://schemas.openxmlformats.org/officeDocument/2006/relationships/hyperlink" Target="https://doi.org/10.1088/1741-2552/aace8c" TargetMode="External"/><Relationship Id="rId88" Type="http://schemas.openxmlformats.org/officeDocument/2006/relationships/hyperlink" Target="https://doi.org/10.1088/1741-2552/aadea0" TargetMode="External"/><Relationship Id="rId64" Type="http://schemas.openxmlformats.org/officeDocument/2006/relationships/hyperlink" Target="https://doi.org/10.1093/pnasnexus/pgae076" TargetMode="External"/><Relationship Id="rId66" Type="http://schemas.openxmlformats.org/officeDocument/2006/relationships/hyperlink" Target="https://doi.org/10.1093/pnasnexus/pgae137" TargetMode="External"/><Relationship Id="rId50" Type="http://schemas.openxmlformats.org/officeDocument/2006/relationships/hyperlink" Target="https://doi.org/10.1109/86.895946" TargetMode="External"/><Relationship Id="rId72" Type="http://schemas.openxmlformats.org/officeDocument/2006/relationships/hyperlink" Target="https://doi.org/10.1109/EMBC58623.2025.11253543" TargetMode="External"/><Relationship Id="rId54" Type="http://schemas.openxmlformats.org/officeDocument/2006/relationships/hyperlink" Target="https://doi.org/10.1109/TBME.2010.2093133" TargetMode="External"/><Relationship Id="rId62" Type="http://schemas.openxmlformats.org/officeDocument/2006/relationships/hyperlink" Target="https://doi.org/10.1109/TBME.2017.2742541" TargetMode="External"/><Relationship Id="rId60" Type="http://schemas.openxmlformats.org/officeDocument/2006/relationships/hyperlink" Target="https://doi.org/10.1109/TBME.2019.2913914" TargetMode="External"/><Relationship Id="rId52" Type="http://schemas.openxmlformats.org/officeDocument/2006/relationships/hyperlink" Target="https://doi.org/10.1109/msp.2008.4408441" TargetMode="External"/><Relationship Id="rId56" Type="http://schemas.openxmlformats.org/officeDocument/2006/relationships/hyperlink" Target="https://doi.org/10.1162/NECO_a_00474" TargetMode="External"/><Relationship Id="rId82" Type="http://schemas.openxmlformats.org/officeDocument/2006/relationships/hyperlink" Target="https://doi.org/10.3389/fnins.2012.00055" TargetMode="External"/><Relationship Id="rId80" Type="http://schemas.openxmlformats.org/officeDocument/2006/relationships/hyperlink" Target="https://doi.org/10.82901/nemar.nm000177.v1.0.5" TargetMode="External"/><Relationship Id="rId86" Type="http://schemas.openxmlformats.org/officeDocument/2006/relationships/hyperlink" Target="https://github.com/neurosatya/TransLearning/blob/548470542e63f97ab777684c1f5e4f1cace4b8ed/Dataset_Description.pdf" TargetMode="External"/><Relationship Id="rId78" Type="http://schemas.openxmlformats.org/officeDocument/2006/relationships/hyperlink" Target="https://proceedings.mlr.press/v37/schulman15.html" TargetMode="External"/><Relationship Id="rId74" Type="http://schemas.openxmlformats.org/officeDocument/2006/relationships/hyperlink" Target="https://proceedings.mlr.press/v80/li18a.html" TargetMode="External"/><Relationship Id="rId84"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2026-10-27T07:21:07Z</dcterms:created>
  <dcterms:modified xsi:type="dcterms:W3CDTF">2026-10-27T07:21:07Z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