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odttf" ContentType="application/vnd.openxmlformats-officedocument.obfuscatedFont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plos_footer.xml" ContentType="application/vnd.openxmlformats-officedocument.wordprocessingml.footer+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S2 Text. Audit and saved-result reproduction</w:t>
      </w:r>
    </w:p>
    <w:p>
      <w:pPr>
        <w:pStyle w:val="FirstParagraph"/>
      </w:pPr>
      <w:r>
        <w:t xml:space="preserve">This appendix records provenance and reproducibility separately from the</w:t>
      </w:r>
      <w:r>
        <w:t xml:space="preserve"> </w:t>
      </w:r>
      <w:r>
        <w:t xml:space="preserve">scientific methods in S1 Text. Computational checks do not add participants</w:t>
      </w:r>
      <w:r>
        <w:t xml:space="preserve"> </w:t>
      </w:r>
      <w:r>
        <w:t xml:space="preserve">or certify that an annotated task window contains continuous motor imagery.</w:t>
      </w:r>
    </w:p>
    <w:bookmarkStart w:id="20" w:name="Xc76801e117ec776389a07a755de8f3a4f867459"/>
    <w:p>
      <w:pPr>
        <w:pStyle w:val="Heading1"/>
      </w:pPr>
      <w:r>
        <w:t xml:space="preserve">Scientific identities and historical preservation</w:t>
      </w:r>
    </w:p>
    <w:p>
      <w:pPr>
        <w:pStyle w:val="FirstParagraph"/>
      </w:pPr>
      <w:r>
        <w:t xml:space="preserve">The CPU baselines, 54 source-only EEGNet fits and single frozen-checkpoint</w:t>
      </w:r>
      <w:r>
        <w:t xml:space="preserve"> </w:t>
      </w:r>
      <w:r>
        <w:t xml:space="preserve">query evaluation are separate stages. The first 18 accepted development fits</w:t>
      </w:r>
      <w:r>
        <w:t xml:space="preserve"> </w:t>
      </w:r>
      <w:r>
        <w:t xml:space="preserve">were preserved when the additional 36 were appended. The combined ledger has</w:t>
      </w:r>
      <w:r>
        <w:t xml:space="preserve"> </w:t>
      </w:r>
      <w:r>
        <w:t xml:space="preserve">54 unique jobs and SHA256</w:t>
      </w:r>
      <w:r>
        <w:t xml:space="preserve"> </w:t>
      </w:r>
      <w:r>
        <w:rPr>
          <w:rStyle w:val="VerbatimChar"/>
        </w:rPr>
        <w:t xml:space="preserve">013668c8d1b1c5d6061f3701d495cf7770743a1c6fda8678f5db7ffd50992670</w:t>
      </w:r>
      <w:r>
        <w:t xml:space="preserve">.</w:t>
      </w:r>
      <w:r>
        <w:t xml:space="preserve"> </w:t>
      </w:r>
      <w:r>
        <w:t xml:space="preserve">All three seeds (20261012, 20261013 and 20261014) are retained for each of</w:t>
      </w:r>
      <w:r>
        <w:t xml:space="preserve"> </w:t>
      </w:r>
      <w:r>
        <w:t xml:space="preserve">18 published participant identities.</w:t>
      </w:r>
    </w:p>
    <w:p>
      <w:pPr>
        <w:pStyle w:val="BodyText"/>
      </w:pPr>
      <w:r>
        <w:t xml:space="preserve">The query operation used execution commit</w:t>
      </w:r>
      <w:r>
        <w:t xml:space="preserve"> </w:t>
      </w:r>
      <w:r>
        <w:rPr>
          <w:rStyle w:val="VerbatimChar"/>
        </w:rPr>
        <w:t xml:space="preserve">d34703ca5bccf7a5b88a91c2ffb2cba893f7cec8</w:t>
      </w:r>
      <w:r>
        <w:t xml:space="preserve"> </w:t>
      </w:r>
      <w:r>
        <w:t xml:space="preserve">and contract</w:t>
      </w:r>
      <w:r>
        <w:t xml:space="preserve"> </w:t>
      </w:r>
      <w:r>
        <w:rPr>
          <w:rStyle w:val="VerbatimChar"/>
        </w:rPr>
        <w:t xml:space="preserve">fb3a429776e77a4ee8de96c8c7f2a833a4d311cedd8f0a9bcec3d0c6e8df225a</w:t>
      </w:r>
      <w:r>
        <w:t xml:space="preserve">.</w:t>
      </w:r>
      <w:r>
        <w:t xml:space="preserve"> </w:t>
      </w:r>
      <w:r>
        <w:t xml:space="preserve">It used the 54 original checkpoints with fixed model parameters,</w:t>
      </w:r>
      <w:r>
        <w:t xml:space="preserve"> </w:t>
      </w:r>
      <w:r>
        <w:t xml:space="preserve">batch-normalization buffers and source-normalization statistics. Audits bound</w:t>
      </w:r>
      <w:r>
        <w:t xml:space="preserve"> </w:t>
      </w:r>
      <w:r>
        <w:t xml:space="preserve">54 archives, 1,189 input files and 4,290 query identities. This editorial</w:t>
      </w:r>
      <w:r>
        <w:t xml:space="preserve"> </w:t>
      </w:r>
      <w:r>
        <w:t xml:space="preserve">revision does not repeat a fit, model forward or query operation.</w:t>
      </w:r>
    </w:p>
    <w:p>
      <w:pPr>
        <w:pStyle w:val="BodyText"/>
      </w:pPr>
      <w:r>
        <w:t xml:space="preserve">The first CSP diagnostic attempt stopped when the process monitor could not</w:t>
      </w:r>
      <w:r>
        <w:t xml:space="preserve"> </w:t>
      </w:r>
      <w:r>
        <w:t xml:space="preserve">read a procfs interface. Its claim, authorization, exception and private backup</w:t>
      </w:r>
      <w:r>
        <w:t xml:space="preserve"> </w:t>
      </w:r>
      <w:r>
        <w:t xml:space="preserve">remain intact. A separately authorized recovery retained the scientific</w:t>
      </w:r>
      <w:r>
        <w:t xml:space="preserve"> </w:t>
      </w:r>
      <w:r>
        <w:t xml:space="preserve">consumer and source/support-only scope and completed 240 prescribed</w:t>
      </w:r>
      <w:r>
        <w:t xml:space="preserve"> </w:t>
      </w:r>
      <w:r>
        <w:t xml:space="preserve">source-run fold/rotation attempts. Historical batch pauses, same-state resumes,</w:t>
      </w:r>
      <w:r>
        <w:t xml:space="preserve"> </w:t>
      </w:r>
      <w:r>
        <w:t xml:space="preserve">deadlines and failure logs also remain in the repository. Training completion,</w:t>
      </w:r>
      <w:r>
        <w:t xml:space="preserve"> </w:t>
      </w:r>
      <w:r>
        <w:t xml:space="preserve">off-machine export, scientific audit, full private R2 GET verification and</w:t>
      </w:r>
      <w:r>
        <w:t xml:space="preserve"> </w:t>
      </w:r>
      <w:r>
        <w:t xml:space="preserve">recorded acceptance were distinct states.</w:t>
      </w:r>
    </w:p>
    <w:p>
      <w:pPr>
        <w:pStyle w:val="BodyText"/>
      </w:pPr>
      <w:r>
        <w:t xml:space="preserve">Operational acknowledgements are not independent human replications or</w:t>
      </w:r>
      <w:r>
        <w:t xml:space="preserve"> </w:t>
      </w:r>
      <w:r>
        <w:t xml:space="preserve">cryptographic signatures. The query acknowledgement records review of the</w:t>
      </w:r>
      <w:r>
        <w:t xml:space="preserve"> </w:t>
      </w:r>
      <w:r>
        <w:t xml:space="preserve">complete receipt, result identities and saved arithmetic; it does not claim a</w:t>
      </w:r>
      <w:r>
        <w:t xml:space="preserve"> </w:t>
      </w:r>
      <w:r>
        <w:t xml:space="preserve">second remote GET or rehash of all 147 original objects. The operator’s actual</w:t>
      </w:r>
      <w:r>
        <w:t xml:space="preserve"> </w:t>
      </w:r>
      <w:r>
        <w:t xml:space="preserve">full-GET check remains separate. Journal files exclude live access details,</w:t>
      </w:r>
      <w:r>
        <w:t xml:space="preserve"> </w:t>
      </w:r>
      <w:r>
        <w:t xml:space="preserve">credentials, EEG arrays and learned weights.</w:t>
      </w:r>
    </w:p>
    <w:bookmarkEnd w:id="20"/>
    <w:bookmarkStart w:id="21" w:name="saved-prediction-qc-lineage"/>
    <w:p>
      <w:pPr>
        <w:pStyle w:val="Heading1"/>
      </w:pPr>
      <w:r>
        <w:t xml:space="preserve">Saved-prediction QC lineage</w:t>
      </w:r>
    </w:p>
    <w:p>
      <w:pPr>
        <w:pStyle w:val="FirstParagraph"/>
      </w:pPr>
      <w:r>
        <w:t xml:space="preserve">The exploratory QC rules were recorded after the original outcomes were known</w:t>
      </w:r>
      <w:r>
        <w:t xml:space="preserve"> </w:t>
      </w:r>
      <w:r>
        <w:t xml:space="preserve">and before computing the sensitivity summaries. The original 250 µV</w:t>
      </w:r>
      <w:r>
        <w:t xml:space="preserve"> </w:t>
      </w:r>
      <w:r>
        <w:t xml:space="preserve">maximum-channel peak-to-peak flag joins 25,740 saved prediction rows to 4,290</w:t>
      </w:r>
      <w:r>
        <w:t xml:space="preserve"> </w:t>
      </w:r>
      <w:r>
        <w:t xml:space="preserve">included query identities. The wider 4,320-row query ledger also retains the</w:t>
      </w:r>
      <w:r>
        <w:t xml:space="preserve"> </w:t>
      </w:r>
      <w:r>
        <w:t xml:space="preserve">30 excluded partial query identities. All 144 reconstructed endpoint values,</w:t>
      </w:r>
      <w:r>
        <w:t xml:space="preserve"> </w:t>
      </w:r>
      <w:r>
        <w:t xml:space="preserve">source-query and five-session target BA for 72 participant-by-method rows,</w:t>
      </w:r>
      <w:r>
        <w:t xml:space="preserve"> </w:t>
      </w:r>
      <w:r>
        <w:t xml:space="preserve">match their original saved values exactly.</w:t>
      </w:r>
    </w:p>
    <w:p>
      <w:pPr>
        <w:pStyle w:val="BodyText"/>
      </w:pPr>
      <w:r>
        <w:t xml:space="preserve">The portable inputs include all 7,200 event identities, saved method/seed</w:t>
      </w:r>
      <w:r>
        <w:t xml:space="preserve"> </w:t>
      </w:r>
      <w:r>
        <w:t xml:space="preserve">predictions, the fixed analysis configuration and participant endpoints.</w:t>
      </w:r>
      <w:r>
        <w:t xml:space="preserve"> </w:t>
      </w:r>
      <w:r>
        <w:t xml:space="preserve">Independent source-lineage and arithmetic checks reconciled these with the</w:t>
      </w:r>
      <w:r>
        <w:t xml:space="preserve"> </w:t>
      </w:r>
      <w:r>
        <w:t xml:space="preserve">original CPU and EEGNet text records. No model or signal loading was needed.</w:t>
      </w:r>
      <w:r>
        <w:t xml:space="preserve"> </w:t>
      </w:r>
      <w:r>
        <w:t xml:space="preserve">Counts, labels, inclusion rules and missing-class states remain explicit.</w:t>
      </w:r>
    </w:p>
    <w:p>
      <w:pPr>
        <w:pStyle w:val="BodyText"/>
      </w:pPr>
      <w:r>
        <w:t xml:space="preserve">Only ten of the 12 primary participants retain all five unflagged target-session</w:t>
      </w:r>
      <w:r>
        <w:t xml:space="preserve"> </w:t>
      </w:r>
      <w:r>
        <w:t xml:space="preserve">endpoints. The paired QC change therefore compares these same ten participants;</w:t>
      </w:r>
      <w:r>
        <w:t xml:space="preserve"> </w:t>
      </w:r>
      <w:r>
        <w:t xml:space="preserve">it does not interpret a 12-versus-10 comparison as an effect of filtering.</w:t>
      </w:r>
      <w:r>
        <w:t xml:space="preserve"> </w:t>
      </w:r>
      <w:r>
        <w:t xml:space="preserve">Pooled-query summaries are separate endpoints. Missing BA remains undefined</w:t>
      </w:r>
      <w:r>
        <w:t xml:space="preserve"> </w:t>
      </w:r>
      <w:r>
        <w:t xml:space="preserve">rather than being replaced by zero or chance.</w:t>
      </w:r>
    </w:p>
    <w:bookmarkEnd w:id="21"/>
    <w:bookmarkStart w:id="22" w:name="reproducing-saved-numerical-results"/>
    <w:p>
      <w:pPr>
        <w:pStyle w:val="Heading1"/>
      </w:pPr>
      <w:r>
        <w:t xml:space="preserve">Reproducing saved numerical results</w:t>
      </w:r>
    </w:p>
    <w:p>
      <w:pPr>
        <w:pStyle w:val="FirstParagraph"/>
      </w:pPr>
      <w:r>
        <w:t xml:space="preserve">S1 Data provides the dictionary, member hashes and commands in</w:t>
      </w:r>
      <w:r>
        <w:t xml:space="preserve"> </w:t>
      </w:r>
      <w:r>
        <w:rPr>
          <w:rStyle w:val="VerbatimChar"/>
        </w:rPr>
        <w:t xml:space="preserve">REPRODUCE_SAVED_RESULTS.md</w:t>
      </w:r>
      <w:r>
        <w:t xml:space="preserve">. The saved-prediction script accepts explicit</w:t>
      </w:r>
      <w:r>
        <w:t xml:space="preserve"> </w:t>
      </w:r>
      <w:r>
        <w:t xml:space="preserve">portable input and fresh output paths. Its original public-input replay</w:t>
      </w:r>
      <w:r>
        <w:t xml:space="preserve"> </w:t>
      </w:r>
      <w:r>
        <w:t xml:space="preserve">reproduced all 13 scientific QC CSVs byte-for-byte. Separate implementations</w:t>
      </w:r>
      <w:r>
        <w:t xml:space="preserve"> </w:t>
      </w:r>
      <w:r>
        <w:t xml:space="preserve">checked identity joins, eligibility, seed averaging, session weighting,</w:t>
      </w:r>
      <w:r>
        <w:t xml:space="preserve"> </w:t>
      </w:r>
      <w:r>
        <w:t xml:space="preserve">percentile intervals and leave-one-participant-out values. These checks were</w:t>
      </w:r>
      <w:r>
        <w:t xml:space="preserve"> </w:t>
      </w:r>
      <w:r>
        <w:t xml:space="preserve">AI-assisted and do not substitute for the author’s personal review.</w:t>
      </w:r>
    </w:p>
    <w:p>
      <w:pPr>
        <w:pStyle w:val="BodyText"/>
      </w:pPr>
      <w:r>
        <w:t xml:space="preserve">The package also contains all 2,871 saved epoch-history rows and 54 fit</w:t>
      </w:r>
      <w:r>
        <w:t xml:space="preserve"> </w:t>
      </w:r>
      <w:r>
        <w:t xml:space="preserve">summaries. The original archive review extracted training text and streamed</w:t>
      </w:r>
      <w:r>
        <w:t xml:space="preserve"> </w:t>
      </w:r>
      <w:r>
        <w:t xml:space="preserve">binary members only for integrity hashing. All 54 JSON histories were complete;</w:t>
      </w:r>
      <w:r>
        <w:t xml:space="preserve"> </w:t>
      </w:r>
      <w:r>
        <w:t xml:space="preserve">37 empty console logs were not interpreted as evidence of zero execution.</w:t>
      </w:r>
      <w:r>
        <w:t xml:space="preserve"> </w:t>
      </w:r>
      <w:r>
        <w:t xml:space="preserve">Source/target scores, every seed and class-collapsed predictions remain reported.</w:t>
      </w:r>
    </w:p>
    <w:p>
      <w:pPr>
        <w:pStyle w:val="BodyText"/>
      </w:pPr>
      <w:r>
        <w:t xml:space="preserve">The four figures use exact saved numerical inputs. Fig 4 retains 180</w:t>
      </w:r>
      <w:r>
        <w:t xml:space="preserve"> </w:t>
      </w:r>
      <w:r>
        <w:t xml:space="preserve">participant/session contrast cells and all negative values. In this revision,</w:t>
      </w:r>
      <w:r>
        <w:t xml:space="preserve"> </w:t>
      </w:r>
      <w:r>
        <w:t xml:space="preserve">Fig 1’s generic point-type legend is clarified as participant points colored</w:t>
      </w:r>
      <w:r>
        <w:t xml:space="preserve"> </w:t>
      </w:r>
      <w:r>
        <w:t xml:space="preserve">by method; its data are unchanged. Fig 4 already used a symmetric RdBu scale,</w:t>
      </w:r>
      <w:r>
        <w:t xml:space="preserve"> </w:t>
      </w:r>
      <w:r>
        <w:t xml:space="preserve">which is retained. The producer writes fresh outputs without refitting a model</w:t>
      </w:r>
      <w:r>
        <w:t xml:space="preserve"> </w:t>
      </w:r>
      <w:r>
        <w:t xml:space="preserve">or changing original bootstrap intervals. TIFF dimensions, 600 dpi, RGB/LZW</w:t>
      </w:r>
      <w:r>
        <w:t xml:space="preserve"> </w:t>
      </w:r>
      <w:r>
        <w:t xml:space="preserve">encoding and hashes were checked. The actual installed face is Liberation Sans;</w:t>
      </w:r>
      <w:r>
        <w:t xml:space="preserve"> </w:t>
      </w:r>
      <w:r>
        <w:t xml:space="preserve">Arial/Times family compliance is not claimed.</w:t>
      </w:r>
    </w:p>
    <w:p>
      <w:pPr>
        <w:pStyle w:val="BodyText"/>
      </w:pPr>
      <w:r>
        <w:t xml:space="preserve">The post-review paired tests are separately identified in S1 Text, S11. They</w:t>
      </w:r>
      <w:r>
        <w:t xml:space="preserve"> </w:t>
      </w:r>
      <w:r>
        <w:t xml:space="preserve">read saved participant differences, enumerate fixed sign assignments and report</w:t>
      </w:r>
      <w:r>
        <w:t xml:space="preserve"> </w:t>
      </w:r>
      <w:r>
        <w:t xml:space="preserve">all four unadjusted and Holm-adjusted results. Their rules were written after</w:t>
      </w:r>
      <w:r>
        <w:t xml:space="preserve"> </w:t>
      </w:r>
      <w:r>
        <w:t xml:space="preserve">review and outcome exposure; they do not retroactively become a preregistered</w:t>
      </w:r>
      <w:r>
        <w:t xml:space="preserve"> </w:t>
      </w:r>
      <w:r>
        <w:t xml:space="preserve">analysis. Original intervals and results remain unchanged. The complete audit</w:t>
      </w:r>
      <w:r>
        <w:t xml:space="preserve"> </w:t>
      </w:r>
      <w:r>
        <w:t xml:space="preserve">includes numerical boundary diagnostics and the preserved initial assertion</w:t>
      </w:r>
      <w:r>
        <w:t xml:space="preserve"> </w:t>
      </w:r>
      <w:r>
        <w:t xml:space="preserve">failure; no failed scientific attempt or historical result was erased.</w:t>
      </w:r>
    </w:p>
    <w:bookmarkEnd w:id="22"/>
    <w:bookmarkStart w:id="23" w:name="marker-and-literature-search-scope"/>
    <w:p>
      <w:pPr>
        <w:pStyle w:val="Heading1"/>
      </w:pPr>
      <w:r>
        <w:t xml:space="preserve">Marker and literature search scope</w:t>
      </w:r>
    </w:p>
    <w:p>
      <w:pPr>
        <w:pStyle w:val="FirstParagraph"/>
      </w:pPr>
      <w:r>
        <w:t xml:space="preserve">The marker search checked all 360 derivative event tables, the hash-matched</w:t>
      </w:r>
      <w:r>
        <w:t xml:space="preserve"> </w:t>
      </w:r>
      <w:r>
        <w:t xml:space="preserve">saved EDF-annotation audit, source/conversion manifests, the original codebook</w:t>
      </w:r>
      <w:r>
        <w:t xml:space="preserve"> </w:t>
      </w:r>
      <w:r>
        <w:t xml:space="preserve">and task-extraction function, and the complete public author-repository tree.</w:t>
      </w:r>
      <w:r>
        <w:t xml:space="preserve"> </w:t>
      </w:r>
      <w:r>
        <w:t xml:space="preserve">It establishes missing phase records in the retained derivative stream, not</w:t>
      </w:r>
      <w:r>
        <w:t xml:space="preserve"> </w:t>
      </w:r>
      <w:r>
        <w:t xml:space="preserve">missing original public data. The manifest lists 360 original bar-task GDFs;</w:t>
      </w:r>
      <w:r>
        <w:t xml:space="preserve"> </w:t>
      </w:r>
      <w:r>
        <w:t xml:space="preserve">their embedded event arrays and mapping to this derivative remain unparsed.</w:t>
      </w:r>
    </w:p>
    <w:p>
      <w:pPr>
        <w:pStyle w:val="BodyText"/>
      </w:pPr>
      <w:r>
        <w:t xml:space="preserve">Official original-study XML was obtained in this revision. Relevant Methods,</w:t>
      </w:r>
      <w:r>
        <w:t xml:space="preserve"> </w:t>
      </w:r>
      <w:r>
        <w:t xml:space="preserve">GR/PAR descriptions, results and correction were read; this does not assert</w:t>
      </w:r>
      <w:r>
        <w:t xml:space="preserve"> </w:t>
      </w:r>
      <w:r>
        <w:t xml:space="preserve">exhaustive reading of every supplement. Vidaurre’s LDA-adaptation paper was</w:t>
      </w:r>
      <w:r>
        <w:t xml:space="preserve"> </w:t>
      </w:r>
      <w:r>
        <w:t xml:space="preserve">checked through its complete abstract and bibliographic metadata. Relevant</w:t>
      </w:r>
      <w:r>
        <w:t xml:space="preserve"> </w:t>
      </w:r>
      <w:r>
        <w:t xml:space="preserve">full-text methods of Arvaneh’s data-space adaptation study were read. The</w:t>
      </w:r>
      <w:r>
        <w:t xml:space="preserve"> </w:t>
      </w:r>
      <w:r>
        <w:t xml:space="preserve">reading-scope record distinguishes these levels rather than treating a DOI</w:t>
      </w:r>
      <w:r>
        <w:t xml:space="preserve"> </w:t>
      </w:r>
      <w:r>
        <w:t xml:space="preserve">lookup as full-text verification.</w:t>
      </w:r>
    </w:p>
    <w:bookmarkEnd w:id="23"/>
    <w:bookmarkStart w:id="24" w:name="public-availability-and-licensing"/>
    <w:p>
      <w:pPr>
        <w:pStyle w:val="Heading1"/>
      </w:pPr>
      <w:r>
        <w:t xml:space="preserve">Public availability and licensing</w:t>
      </w:r>
    </w:p>
    <w:p>
      <w:pPr>
        <w:pStyle w:val="FirstParagraph"/>
      </w:pPr>
      <w:r>
        <w:t xml:space="preserve">The source EEG remains at the versioned NEMAR release cited in the main article.</w:t>
      </w:r>
      <w:r>
        <w:t xml:space="preserve"> </w:t>
      </w:r>
      <w:r>
        <w:t xml:space="preserve">Saved outputs and code are publicly accessible in the repository; the source</w:t>
      </w:r>
      <w:r>
        <w:t xml:space="preserve"> </w:t>
      </w:r>
      <w:r>
        <w:t xml:space="preserve">tag</w:t>
      </w:r>
      <w:r>
        <w:t xml:space="preserve"> </w:t>
      </w:r>
      <w:r>
        <w:rPr>
          <w:rStyle w:val="VerbatimChar"/>
        </w:rPr>
        <w:t xml:space="preserve">paper2-plos-source-20261016</w:t>
      </w:r>
      <w:r>
        <w:t xml:space="preserve"> </w:t>
      </w:r>
      <w:r>
        <w:t xml:space="preserve">and the release manifest bind this revision.</w:t>
      </w:r>
      <w:r>
        <w:t xml:space="preserve"> </w:t>
      </w:r>
      <w:r>
        <w:t xml:space="preserve">Private R2 preserves original experiment packages and audit evidence but is</w:t>
      </w:r>
      <w:r>
        <w:t xml:space="preserve"> </w:t>
      </w:r>
      <w:r>
        <w:t xml:space="preserve">not the public data endpoint. The source DOI is supplied; no new archive DOI</w:t>
      </w:r>
      <w:r>
        <w:t xml:space="preserve"> </w:t>
      </w:r>
      <w:r>
        <w:t xml:space="preserve">or completed journal submission is asserted.</w:t>
      </w:r>
    </w:p>
    <w:p>
      <w:pPr>
        <w:pStyle w:val="BodyText"/>
      </w:pPr>
      <w:r>
        <w:t xml:space="preserve">The author explicitly approved MIT for original project software and CC BY 4.0</w:t>
      </w:r>
      <w:r>
        <w:t xml:space="preserve"> </w:t>
      </w:r>
      <w:r>
        <w:t xml:space="preserve">for original manuscript, figures and derived content.</w:t>
      </w:r>
      <w:r>
        <w:t xml:space="preserve"> </w:t>
      </w:r>
      <w:r>
        <w:rPr>
          <w:rStyle w:val="VerbatimChar"/>
        </w:rPr>
        <w:t xml:space="preserve">LICENSING.md</w:t>
      </w:r>
      <w:r>
        <w:t xml:space="preserve"> </w:t>
      </w:r>
      <w:r>
        <w:t xml:space="preserve">and the</w:t>
      </w:r>
      <w:r>
        <w:t xml:space="preserve"> </w:t>
      </w:r>
      <w:r>
        <w:t xml:space="preserve">complete license texts define this scoped grant. Source metadata keep source</w:t>
      </w:r>
      <w:r>
        <w:t xml:space="preserve"> </w:t>
      </w:r>
      <w:r>
        <w:t xml:space="preserve">attribution and terms; third-party software, fonts, reading materials and CSL</w:t>
      </w:r>
      <w:r>
        <w:t xml:space="preserve"> </w:t>
      </w:r>
      <w:r>
        <w:t xml:space="preserve">styles retain their own licenses. The new package does not bundle the complete</w:t>
      </w:r>
      <w:r>
        <w:t xml:space="preserve"> </w:t>
      </w:r>
      <w:r>
        <w:t xml:space="preserve">environment, CUDA libraries, source-paper text or unrelated datasets.</w:t>
      </w:r>
    </w:p>
    <w:p>
      <w:pPr>
        <w:pStyle w:val="BodyText"/>
      </w:pPr>
      <w:r>
        <w:t xml:space="preserve">The author still needs the applicable ethical basis for this secondary</w:t>
      </w:r>
      <w:r>
        <w:t xml:space="preserve"> </w:t>
      </w:r>
      <w:r>
        <w:t xml:space="preserve">analysis and documented personal approval of the final manuscript. Neither</w:t>
      </w:r>
      <w:r>
        <w:t xml:space="preserve"> </w:t>
      </w:r>
      <w:r>
        <w:t xml:space="preserve">permission to continue software work nor a successful backup supplies those</w:t>
      </w:r>
      <w:r>
        <w:t xml:space="preserve"> </w:t>
      </w:r>
      <w:r>
        <w:t xml:space="preserve">facts. The full earlier manifests, accepted ledgers and failure evidence are</w:t>
      </w:r>
      <w:r>
        <w:t xml:space="preserve"> </w:t>
      </w:r>
      <w:r>
        <w:t xml:space="preserve">preserved alongside this new, explicitly dated revision.</w:t>
      </w:r>
    </w:p>
    <w:bookmarkEnd w:id="24"/>
    <w:sectPr>
      <w:footerReference w:type="default" ns1:id="rIdPlosPageFooter"/>
      <w:lnNumType w:countBy="1" w:start="1" w:restart="continuous" w:distance="1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plos_footer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HAnsi" w:hAnsi="Times New Roman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="480" w:lineRule="auto"/>
    </w:pPr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480" w:lineRule="auto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480" w:lineRule="auto"/>
    </w:pPr>
    <w:rPr>
      <w:i/>
      <w:rFonts w:ascii="Times New Roman" w:cs="Times New Roman" w:hAnsi="Times New Roman"/>
      <w:sz w:val="24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1" Target="numbering.xml" /><ns0:Relationship Type="http://schemas.openxmlformats.org/officeDocument/2006/relationships/styles" Id="rId2" Target="styles.xml" /><ns0:Relationship Type="http://schemas.openxmlformats.org/officeDocument/2006/relationships/settings" Id="rId3" Target="settings.xml" /><ns0:Relationship Type="http://schemas.openxmlformats.org/officeDocument/2006/relationships/webSettings" Id="rId4" Target="webSettings.xml" /><ns0:Relationship Type="http://schemas.openxmlformats.org/officeDocument/2006/relationships/fontTable" Id="rId5" Target="fontTable.xml" /><ns0:Relationship Type="http://schemas.openxmlformats.org/officeDocument/2006/relationships/theme" Id="rId6" Target="theme/theme1.xml" /><ns0:Relationship Type="http://schemas.openxmlformats.org/officeDocument/2006/relationships/footnotes" Id="rId7" Target="footnotes.xml" /><ns0:Relationship Type="http://schemas.openxmlformats.org/officeDocument/2006/relationships/comments" Id="rId8" Target="comments.xml" /><ns0:Relationship Id="rIdPlosPageFooter" Type="http://schemas.openxmlformats.org/officeDocument/2006/relationships/footer" Target="plos_footer.xml" /></ns0: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 Text. Audit and saved-result reproduction</dc:title>
  <dc:creator/>
  <dc:language>en-US</dc:language>
  <cp:keywords/>
  <dcterms:created xsi:type="dcterms:W3CDTF">2026-10-16T01:48:39Z</dcterms:created>
  <dcterms:modified xsi:type="dcterms:W3CDTF">2026-10-16T01:48:39Z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/workspace/few-shot-mi-eeg/manuscript/kumar_plos_one_references_20261016.bib</vt:lpwstr>
  </property>
  <property fmtid="{D5CDD505-2E9C-101B-9397-08002B2CF9AE}" pid="3" name="csl">
    <vt:lpwstr>/workspace/few-shot-mi-eeg/manuscript/review_package_author_confirmed_20261015/plos.csl</vt:lpwstr>
  </property>
  <property fmtid="{D5CDD505-2E9C-101B-9397-08002B2CF9AE}" pid="4" name="link-citations">
    <vt:lpwstr>True</vt:lpwstr>
  </property>
</Properties>
</file>