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PLOS ONE author worksheet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Longitudinal motor-imagery EEG decoding: Frozen baselines,</w:t>
      </w:r>
      <w:r>
        <w:t xml:space="preserve"> </w:t>
      </w:r>
      <w:r>
        <w:t xml:space="preserve">supervised recalibration, and task-measurement reliability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final author review and later entry into the PLOS ONE submission</w:t>
      </w:r>
      <w:r>
        <w:t xml:space="preserve"> </w:t>
      </w:r>
      <w:r>
        <w:t xml:space="preserve">system. This worksheet is not part of the scientific manuscript, is not a</w:t>
      </w:r>
      <w:r>
        <w:t xml:space="preserve"> </w:t>
      </w:r>
      <w:r>
        <w:t xml:space="preserve">journal form already submitted, and does not grant new experimental permissions.</w:t>
      </w:r>
      <w:r>
        <w:t xml:space="preserve"> </w:t>
      </w:r>
      <w:r>
        <w:t xml:space="preserve">The eight earlier factual answers have already been recorded.</w:t>
      </w:r>
    </w:p>
    <w:bookmarkStart w:id="20" w:name="recorded-submission-fields"/>
    <w:p>
      <w:pPr>
        <w:pStyle w:val="Heading1"/>
      </w:pPr>
      <w:r>
        <w:t xml:space="preserve">Recorded submission fields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truthful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/ article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PLOS ONE / Research Article; author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motor-imagery EEG decoding: Frozen baselines, supervised recalibration, and task-measurement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EEG decoding with limited recalibration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 and corresponding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Ziyuan Zhu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of Artificial Intelligence Medicine, Chongqing Medical University, Chongqing,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zzy2630816871@gmail.com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Jinyun Campus, Chongqing Medical University, No. 61, Daxuecheng Middle Road, Shapingba District, Chongqing 401331,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0009-0005-1153-4926; author reports Given name Ziyuan / Family name Zhu correction. This task did not independently refresh the profile. The author should link the actual ORCID in the journal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Ziyuan Zhu: Conceptualization; Methodology; Software; Formal analysis; Validation; Visualization; Writing – original draft; Writing – review &amp; editing. These queried roles were author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received no specific funding for this work. Enter in the financial-disclosure portal field; do not import the original study’s funding or reinsert financial disclosure in the upload manuscript.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declares no competing interests.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Preprint / conference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 by the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journal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 by the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Institutional/collaborator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 for original code or derived results; the subsequent scoped MIT/CC BY choice is recorded below and does not eliminate third-party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contact with 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supplied; do not assume none. Record any real editorial correspondence if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Editor suggestions / opposed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selected. Do not invent names, affiliations, contacts, conflicts or opposition reasons.</w:t>
            </w:r>
          </w:p>
        </w:tc>
      </w:tr>
    </w:tbl>
    <w:p>
      <w:pPr>
        <w:pStyle w:val="BodyText"/>
      </w:pPr>
      <w:r>
        <w:t xml:space="preserve">Identity/affiliation/contact were retrieved at the author’s direction from</w:t>
      </w:r>
      <w:r>
        <w:t xml:space="preserve"> </w:t>
      </w:r>
      <w:r>
        <w:t xml:space="preserve">first-paper fixed commit</w:t>
      </w:r>
      <w:r>
        <w:t xml:space="preserve"> </w:t>
      </w:r>
      <w:r>
        <w:rPr>
          <w:rStyle w:val="VerbatimChar"/>
        </w:rPr>
        <w:t xml:space="preserve">d9a11926076bd348696f6e690078955921dac3f8</w:t>
      </w:r>
      <w:r>
        <w:t xml:space="preserve">.</w:t>
      </w:r>
      <w:r>
        <w:t xml:space="preserve"> </w:t>
      </w:r>
      <w:r>
        <w:t xml:space="preserve">Paper-2 declarations come from the author’s actual eight-item reply recorded in</w:t>
      </w:r>
      <w:r>
        <w:t xml:space="preserve"> </w:t>
      </w:r>
      <w:r>
        <w:rPr>
          <w:rStyle w:val="VerbatimChar"/>
        </w:rPr>
        <w:t xml:space="preserve">research_logs/kumar_author_confirmation_20261015/run01/author_confirmation.json</w:t>
      </w:r>
      <w:r>
        <w:t xml:space="preserve">;</w:t>
      </w:r>
      <w:r>
        <w:t xml:space="preserve"> </w:t>
      </w:r>
      <w:r>
        <w:t xml:space="preserve">first-paper funding, ethics and final-approval statements were not transferred.</w:t>
      </w:r>
    </w:p>
    <w:bookmarkEnd w:id="20"/>
    <w:bookmarkStart w:id="25" w:name="decisions-and-facts-still-needed"/>
    <w:p>
      <w:pPr>
        <w:pStyle w:val="Heading1"/>
      </w:pPr>
      <w:r>
        <w:t xml:space="preserve">Decisions and facts still needed</w:t>
      </w:r>
    </w:p>
    <w:bookmarkStart w:id="21" w:name="X9ead173da26d9cc4e23f423a95a7138e3f71be0"/>
    <w:p>
      <w:pPr>
        <w:pStyle w:val="Heading2"/>
      </w:pPr>
      <w:r>
        <w:t xml:space="preserve">1. Applicable ethical basis for this secondary analysis</w:t>
      </w:r>
    </w:p>
    <w:p>
      <w:pPr>
        <w:pStyle w:val="FirstParagraph"/>
      </w:pPr>
      <w:r>
        <w:rPr>
          <w:b/>
          <w:bCs/>
        </w:rPr>
        <w:t xml:space="preserve">Current status: the author reports no conclusion yet.</w:t>
      </w:r>
    </w:p>
    <w:p>
      <w:pPr>
        <w:pStyle w:val="BodyText"/>
      </w:pPr>
      <w:r>
        <w:t xml:space="preserve">Establish and document the actual applicable ethical/regulatory basis. PLOS</w:t>
      </w:r>
      <w:r>
        <w:t xml:space="preserve"> </w:t>
      </w:r>
      <w:r>
        <w:t xml:space="preserve">allows a detailed explanation when approval was not required; this is not a</w:t>
      </w:r>
      <w:r>
        <w:t xml:space="preserve"> </w:t>
      </w:r>
      <w:r>
        <w:t xml:space="preserve">universal requirement for a new written decision in every public-data analysis.</w:t>
      </w:r>
      <w:r>
        <w:t xml:space="preserve"> </w:t>
      </w:r>
      <w:r>
        <w:t xml:space="preserve">Where an institutional conclusion or policy applies, report its actual wording. Supply the responsible office/committee, decision or policy basis,</w:t>
      </w:r>
      <w:r>
        <w:t xml:space="preserve"> </w:t>
      </w:r>
      <w:r>
        <w:t xml:space="preserve">date and identifier only where real. Possible classifications depend on that</w:t>
      </w:r>
      <w:r>
        <w:t xml:space="preserve"> </w:t>
      </w:r>
      <w:r>
        <w:t xml:space="preserve">institution’s rules; this worksheet does not choose approval, exemption, waiver,</w:t>
      </w:r>
      <w:r>
        <w:t xml:space="preserve"> </w:t>
      </w:r>
      <w:r>
        <w:t xml:space="preserve">non-human-subjects research or review-not-required status.</w:t>
      </w:r>
    </w:p>
    <w:p>
      <w:pPr>
        <w:pStyle w:val="BodyText"/>
      </w:pPr>
      <w:r>
        <w:t xml:space="preserve">The original paper’s Methods report University of Texas at Austin protocol</w:t>
      </w:r>
      <w:r>
        <w:t xml:space="preserve"> </w:t>
      </w:r>
      <w:r>
        <w:t xml:space="preserve">2020-03-0073 and written informed consent. Relevant original Methods were checked in the official full-text XML</w:t>
      </w:r>
      <w:r>
        <w:t xml:space="preserve"> </w:t>
      </w:r>
      <w:r>
        <w:t xml:space="preserve">obtained during this revision; earlier indexed-reading and retrieval-failure</w:t>
      </w:r>
      <w:r>
        <w:t xml:space="preserve"> </w:t>
      </w:r>
      <w:r>
        <w:t xml:space="preserve">records remain historical evidence.</w:t>
      </w:r>
      <w:r>
        <w:t xml:space="preserve"> </w:t>
      </w:r>
      <w:r>
        <w:t xml:space="preserve">These facts support attribution about the original collection, not a new</w:t>
      </w:r>
      <w:r>
        <w:t xml:space="preserve"> </w:t>
      </w:r>
      <w:r>
        <w:t xml:space="preserve">institutional decision for this project. Do not sign a human-participants</w:t>
      </w:r>
      <w:r>
        <w:t xml:space="preserve"> </w:t>
      </w:r>
      <w:r>
        <w:t xml:space="preserve">checklist with a fabricated approval or treat public availability as an</w:t>
      </w:r>
      <w:r>
        <w:t xml:space="preserve"> </w:t>
      </w:r>
      <w:r>
        <w:t xml:space="preserve">automatic exemption.</w:t>
      </w:r>
    </w:p>
    <w:p>
      <w:pPr>
        <w:pStyle w:val="BodyText"/>
      </w:pPr>
      <w:r>
        <w:rPr>
          <w:b/>
          <w:bCs/>
        </w:rPr>
        <w:t xml:space="preserve">Author/institution response:</w:t>
      </w:r>
      <w:r>
        <w:t xml:space="preserve"> </w:t>
      </w:r>
      <w:r>
        <w:t xml:space="preserve">pending.</w:t>
      </w:r>
    </w:p>
    <w:bookmarkEnd w:id="21"/>
    <w:bookmarkStart w:id="22" w:name="scoped-licensing-author-choice-completed"/>
    <w:p>
      <w:pPr>
        <w:pStyle w:val="Heading2"/>
      </w:pPr>
      <w:r>
        <w:t xml:space="preserve">2. Scoped licensing: author choice completed</w:t>
      </w:r>
    </w:p>
    <w:p>
      <w:pPr>
        <w:pStyle w:val="FirstParagraph"/>
      </w:pPr>
      <w:r>
        <w:t xml:space="preserve">The author explicitly selected the previously presented scope: MIT for original</w:t>
      </w:r>
      <w:r>
        <w:t xml:space="preserve"> </w:t>
      </w:r>
      <w:r>
        <w:t xml:space="preserve">project code and CC BY 4.0 for original derived data, figures and manuscript</w:t>
      </w:r>
      <w:r>
        <w:t xml:space="preserve"> </w:t>
      </w:r>
      <w:r>
        <w:t xml:space="preserve">content, with raw EEG, third-party code, CSL, CUDA and other third-party items</w:t>
      </w:r>
      <w:r>
        <w:t xml:space="preserve"> </w:t>
      </w:r>
      <w:r>
        <w:t xml:space="preserve">excluded or retaining their existing terms. The actual reply was</w:t>
      </w:r>
      <w:r>
        <w:t xml:space="preserve"> </w:t>
      </w:r>
      <w:r>
        <w:t xml:space="preserve">“</w:t>
      </w:r>
      <w:r>
        <w:t xml:space="preserve">确认按上述限定范围激活</w:t>
      </w:r>
      <w:r>
        <w:t xml:space="preserve">”</w:t>
      </w:r>
      <w:r>
        <w:t xml:space="preserve">. This choice is implemented in the root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LICENSING.md</w:t>
      </w:r>
      <w:r>
        <w:t xml:space="preserve"> </w:t>
      </w:r>
      <w:r>
        <w:t xml:space="preserve">and complete texts under</w:t>
      </w:r>
      <w:r>
        <w:t xml:space="preserve"> </w:t>
      </w:r>
      <w:r>
        <w:rPr>
          <w:rStyle w:val="VerbatimChar"/>
        </w:rPr>
        <w:t xml:space="preserve">LICENSES/</w:t>
      </w:r>
      <w:r>
        <w:t xml:space="preserve">; it is no longer pending.</w:t>
      </w:r>
    </w:p>
    <w:p>
      <w:pPr>
        <w:pStyle w:val="BodyText"/>
      </w:pPr>
      <w:r>
        <w:t xml:space="preserve">The grant covers only the author’s rights. Provider metadata retain source</w:t>
      </w:r>
      <w:r>
        <w:t xml:space="preserve"> </w:t>
      </w:r>
      <w:r>
        <w:t xml:space="preserve">attribution and terms. Braindecode’s optional noncommercial components, CSL</w:t>
      </w:r>
      <w:r>
        <w:t xml:space="preserve"> </w:t>
      </w:r>
      <w:r>
        <w:t xml:space="preserve">CC BY-SA styles, packages, fonts and CUDA are not relabeled as MIT or bundled</w:t>
      </w:r>
      <w:r>
        <w:t xml:space="preserve"> </w:t>
      </w:r>
      <w:r>
        <w:t xml:space="preserve">as CC BY article content. License acceptance is distinct from ethics clearance</w:t>
      </w:r>
      <w:r>
        <w:t xml:space="preserve"> </w:t>
      </w:r>
      <w:r>
        <w:t xml:space="preserve">and from the author’s final scientific approval.</w:t>
      </w:r>
    </w:p>
    <w:bookmarkEnd w:id="22"/>
    <w:bookmarkStart w:id="23" w:name="X28c0eefec8bae3c326073b02af5872c99002316"/>
    <w:p>
      <w:pPr>
        <w:pStyle w:val="Heading2"/>
      </w:pPr>
      <w:r>
        <w:t xml:space="preserve">3. Final personal review, AI disclosure and accountability</w:t>
      </w:r>
    </w:p>
    <w:p>
      <w:pPr>
        <w:pStyle w:val="FirstParagraph"/>
      </w:pPr>
      <w:r>
        <w:t xml:space="preserve">The actual AI assistance included software/validation, saved-result arithmetic,</w:t>
      </w:r>
      <w:r>
        <w:t xml:space="preserve"> </w:t>
      </w:r>
      <w:r>
        <w:t xml:space="preserve">figures, source/reference checking, drafting/editing and exports; it was more</w:t>
      </w:r>
      <w:r>
        <w:t xml:space="preserve"> </w:t>
      </w:r>
      <w:r>
        <w:t xml:space="preserve">than language polishing. OpenAI ChatGPT/Codex is disclosed in Methods and is</w:t>
      </w:r>
      <w:r>
        <w:t xml:space="preserve"> </w:t>
      </w:r>
      <w:r>
        <w:t xml:space="preserve">not an author. Technical evidence includes exact identity/hash joins,</w:t>
      </w:r>
      <w:r>
        <w:t xml:space="preserve"> </w:t>
      </w:r>
      <w:r>
        <w:t xml:space="preserve">original-endpoint reconstruction, synthetic tests, saved-arithmetic validation,</w:t>
      </w:r>
      <w:r>
        <w:t xml:space="preserve"> </w:t>
      </w:r>
      <w:r>
        <w:t xml:space="preserve">portable public-input replay and rendered-document/figure inspection.</w:t>
      </w:r>
      <w:r>
        <w:t xml:space="preserve"> </w:t>
      </w:r>
      <w:r>
        <w:t xml:space="preserve">Those checks were themselves AI-assisted and are not a substitute for the</w:t>
      </w:r>
      <w:r>
        <w:t xml:space="preserve"> </w:t>
      </w:r>
      <w:r>
        <w:t xml:space="preserve">author’s personal review or independent human replication.</w:t>
      </w:r>
    </w:p>
    <w:p>
      <w:pPr>
        <w:pStyle w:val="BodyText"/>
      </w:pPr>
      <w:r>
        <w:t xml:space="preserve">Before final approval, the author should review the following materials and</w:t>
      </w:r>
      <w:r>
        <w:t xml:space="preserve"> </w:t>
      </w:r>
      <w:r>
        <w:t xml:space="preserve">record the checks</w:t>
      </w:r>
      <w:r>
        <w:t xml:space="preserve"> </w:t>
      </w:r>
      <w:r>
        <w:rPr>
          <w:b/>
          <w:bCs/>
        </w:rPr>
        <w:t xml:space="preserve">actually performed</w:t>
      </w:r>
      <w:r>
        <w:t xml:space="preserve">, without retroactively asserting checks</w:t>
      </w:r>
      <w:r>
        <w:t xml:space="preserve"> </w:t>
      </w:r>
      <w:r>
        <w:t xml:space="preserve">that were not done:</w:t>
      </w:r>
    </w:p>
    <w:p>
      <w:pPr>
        <w:pStyle w:val="Compact"/>
        <w:numPr>
          <w:ilvl w:val="0"/>
          <w:numId w:val="1001"/>
        </w:numPr>
      </w:pPr>
      <w:r>
        <w:t xml:space="preserve">Primary 12-participant contrast and secondary equal-label-budget contrast;</w:t>
      </w:r>
      <w:r>
        <w:t xml:space="preserve"> </w:t>
      </w:r>
      <w:r>
        <w:t xml:space="preserve">all seeds, negative outcomes and class collapse; 54 models versus 18</w:t>
      </w:r>
      <w:r>
        <w:t xml:space="preserve"> </w:t>
      </w:r>
      <w:r>
        <w:t xml:space="preserve">participant identities; historical test exposure.</w:t>
      </w:r>
    </w:p>
    <w:p>
      <w:pPr>
        <w:pStyle w:val="Compact"/>
        <w:numPr>
          <w:ilvl w:val="0"/>
          <w:numId w:val="1001"/>
        </w:numPr>
      </w:pPr>
      <w:r>
        <w:t xml:space="preserve">Cue-anchored five-second window interpretation, missing trial-level phase</w:t>
      </w:r>
      <w:r>
        <w:t xml:space="preserve"> </w:t>
      </w:r>
      <w:r>
        <w:t xml:space="preserve">evidence and recording-boundary partial exclusions.</w:t>
      </w:r>
    </w:p>
    <w:p>
      <w:pPr>
        <w:pStyle w:val="Compact"/>
        <w:numPr>
          <w:ilvl w:val="0"/>
          <w:numId w:val="1001"/>
        </w:numPr>
      </w:pPr>
      <w:r>
        <w:t xml:space="preserve">Exploratory QC rules, missing-class groups and two unavailable five-session</w:t>
      </w:r>
      <w:r>
        <w:t xml:space="preserve"> </w:t>
      </w:r>
      <w:r>
        <w:t xml:space="preserve">sensitivity endpoints; retained artifacts in historical training/validation.</w:t>
      </w:r>
    </w:p>
    <w:p>
      <w:pPr>
        <w:pStyle w:val="Compact"/>
        <w:numPr>
          <w:ilvl w:val="0"/>
          <w:numId w:val="1001"/>
        </w:numPr>
      </w:pPr>
      <w:r>
        <w:t xml:space="preserve">Source-query EEGNet weakness, complete saved histories and the limits of</w:t>
      </w:r>
      <w:r>
        <w:t xml:space="preserve"> </w:t>
      </w:r>
      <w:r>
        <w:t xml:space="preserve">interpreting training/evaluation-mode loss differences.</w:t>
      </w:r>
    </w:p>
    <w:p>
      <w:pPr>
        <w:pStyle w:val="Compact"/>
        <w:numPr>
          <w:ilvl w:val="0"/>
          <w:numId w:val="1001"/>
        </w:numPr>
      </w:pPr>
      <w:r>
        <w:t xml:space="preserve">Citation accuracy/read-scope records, ethics attribution, data dictionary,</w:t>
      </w:r>
      <w:r>
        <w:t xml:space="preserve"> </w:t>
      </w:r>
      <w:r>
        <w:t xml:space="preserve">active scoped licensing and full manuscript/appendices/figure captions.</w:t>
      </w:r>
    </w:p>
    <w:p>
      <w:pPr>
        <w:pStyle w:val="FirstParagraph"/>
      </w:pPr>
      <w:r>
        <w:rPr>
          <w:b/>
          <w:bCs/>
        </w:rPr>
        <w:t xml:space="preserve">Personal checks actually completed by the author:</w:t>
      </w:r>
      <w:r>
        <w:t xml:space="preserve"> </w:t>
      </w:r>
      <w:r>
        <w:t xml:space="preserve">pending author account.</w:t>
      </w:r>
    </w:p>
    <w:p>
      <w:pPr>
        <w:pStyle w:val="BodyText"/>
      </w:pPr>
      <w:r>
        <w:rPr>
          <w:b/>
          <w:bCs/>
        </w:rPr>
        <w:t xml:space="preserve">Approval of this exact final manuscript and accountability for its contents:</w:t>
      </w:r>
      <w:r>
        <w:t xml:space="preserve"> </w:t>
      </w:r>
      <w:r>
        <w:t xml:space="preserve">pending. Earlier authorship/funding answers are not that approval. No journal</w:t>
      </w:r>
      <w:r>
        <w:t xml:space="preserve"> </w:t>
      </w:r>
      <w:r>
        <w:t xml:space="preserve">submission is authorized or performed by this worksheet.</w:t>
      </w:r>
    </w:p>
    <w:bookmarkEnd w:id="23"/>
    <w:bookmarkStart w:id="24" w:name="X1c8c113c65d078528472f7f754a4f56694ee023"/>
    <w:p>
      <w:pPr>
        <w:pStyle w:val="Heading2"/>
      </w:pPr>
      <w:r>
        <w:t xml:space="preserve">4. Portal-only author entries at actual submission</w:t>
      </w:r>
    </w:p>
    <w:p>
      <w:pPr>
        <w:pStyle w:val="FirstParagraph"/>
      </w:pPr>
      <w:r>
        <w:t xml:space="preserve">Record any real prior interaction with PLOS, editor/reviewer suggestions or</w:t>
      </w:r>
      <w:r>
        <w:t xml:space="preserve"> </w:t>
      </w:r>
      <w:r>
        <w:t xml:space="preserve">exclusions, any acknowledgment requiring another person’s consent, and the</w:t>
      </w:r>
      <w:r>
        <w:t xml:space="preserve"> </w:t>
      </w:r>
      <w:r>
        <w:t xml:space="preserve">institutional answer above. No additional acknowledgment, endorsement,</w:t>
      </w:r>
      <w:r>
        <w:t xml:space="preserve"> </w:t>
      </w:r>
      <w:r>
        <w:t xml:space="preserve">manuscript ID, submission date, ethics certificate or archived-release DOI has</w:t>
      </w:r>
      <w:r>
        <w:t xml:space="preserve"> </w:t>
      </w:r>
      <w:r>
        <w:t xml:space="preserve">been generated or inferred.</w:t>
      </w:r>
    </w:p>
    <w:bookmarkEnd w:id="24"/>
    <w:bookmarkEnd w:id="25"/>
    <w:bookmarkStart w:id="26" w:name="Xc8ba7ed1118a836e8006d57ec57d45bbd4c302b"/>
    <w:p>
      <w:pPr>
        <w:pStyle w:val="Heading1"/>
      </w:pPr>
      <w:r>
        <w:t xml:space="preserve">Package separation and format qualification</w:t>
      </w:r>
    </w:p>
    <w:p>
      <w:pPr>
        <w:pStyle w:val="FirstParagraph"/>
      </w:pPr>
      <w:r>
        <w:t xml:space="preserve">The actual upload manuscript should be image-free with editable tables,</w:t>
      </w:r>
      <w:r>
        <w:t xml:space="preserve"> </w:t>
      </w:r>
      <w:r>
        <w:t xml:space="preserve">continuous line/page numbers and double spacing. Figures are separate uploads;</w:t>
      </w:r>
      <w:r>
        <w:t xml:space="preserve"> </w:t>
      </w:r>
      <w:r>
        <w:t xml:space="preserve">the illustrated PDF/Word copy is for the author’s review. The supporting item</w:t>
      </w:r>
      <w:r>
        <w:t xml:space="preserve"> </w:t>
      </w:r>
      <w:r>
        <w:t xml:space="preserve">names are S1 Text, S2 Text and S1 Data and must match their actual filenames</w:t>
      </w:r>
      <w:r>
        <w:t xml:space="preserve"> </w:t>
      </w:r>
      <w:r>
        <w:t xml:space="preserve">and final captions.</w:t>
      </w:r>
    </w:p>
    <w:p>
      <w:pPr>
        <w:pStyle w:val="BodyText"/>
      </w:pPr>
      <w:r>
        <w:t xml:space="preserve">Current production TIFFs preserve actual DPI/geometry/RGB/LZW checks. The</w:t>
      </w:r>
      <w:r>
        <w:t xml:space="preserve"> </w:t>
      </w:r>
      <w:r>
        <w:t xml:space="preserve">installed renderer uses Liberation Sans as an Arial-compatible substitute;</w:t>
      </w:r>
      <w:r>
        <w:t xml:space="preserve"> </w:t>
      </w:r>
      <w:r>
        <w:t xml:space="preserve">strict Arial/Times/Symbol family compliance has not been established. Preserve</w:t>
      </w:r>
      <w:r>
        <w:t xml:space="preserve"> </w:t>
      </w:r>
      <w:r>
        <w:t xml:space="preserve">this qualification rather than marking every PLOS production requirement</w:t>
      </w:r>
      <w:r>
        <w:t xml:space="preserve"> </w:t>
      </w:r>
      <w:r>
        <w:t xml:space="preserve">complete. An actual portal check is still needed before submission.</w:t>
      </w:r>
    </w:p>
    <w:p>
      <w:pPr>
        <w:pStyle w:val="BodyText"/>
      </w:pPr>
      <w:r>
        <w:t xml:space="preserve">The current scientific draft, final package manifest and cover letter are</w:t>
      </w:r>
      <w:r>
        <w:t xml:space="preserve"> </w:t>
      </w:r>
      <w:r>
        <w:t xml:space="preserve">prepared for review. Licensing has been selected and activated within its</w:t>
      </w:r>
      <w:r>
        <w:t xml:space="preserve"> </w:t>
      </w:r>
      <w:r>
        <w:t xml:space="preserve">stated scope; journal acceptance, institutional clearance and formal submission</w:t>
      </w:r>
      <w:r>
        <w:t xml:space="preserve"> </w:t>
      </w:r>
      <w:r>
        <w:t xml:space="preserve">have not been asserted.</w:t>
      </w:r>
    </w:p>
    <w:bookmarkEnd w:id="26"/>
    <w:sectPr>
      <w:footerReference w:type="default" ns1:id="rIdPlosPage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4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264" w:lineRule="auto"/>
    </w:pPr>
    <w:rPr>
      <w:rFonts w:ascii="Times New Roman" w:cs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64" w:lineRule="auto"/>
    </w:pPr>
    <w:rPr>
      <w:rFonts w:ascii="Times New Roman" w:cs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 w:line="264" w:lineRule="auto"/>
    </w:pPr>
    <w:rPr>
      <w:rFonts w:ascii="Times New Roman" w:cs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64" w:lineRule="auto"/>
    </w:pPr>
    <w:rPr>
      <w:i/>
      <w:rFonts w:ascii="Times New Roman" w:cs="Times New Roman" w:hAnsi="Times New Roman"/>
      <w:sz w:val="22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PLOS ONE author worksheet</dc:title>
  <dc:creator/>
  <dc:language>en-US</dc:language>
  <cp:keywords/>
  <dcterms:created xsi:type="dcterms:W3CDTF">2026-10-16T01:48:39Z</dcterms:created>
  <dcterms:modified xsi:type="dcterms:W3CDTF">2026-10-16T01:48:39Z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