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S1 Text. Supplementary scientific methods</w:t>
      </w:r>
    </w:p>
    <w:p>
      <w:pPr>
        <w:pStyle w:val="FirstParagraph"/>
      </w:pPr>
      <w:r>
        <w:rPr>
          <w:b/>
          <w:bCs/>
        </w:rPr>
        <w:t xml:space="preserve">Longitudinal motor-imagery EEG decoding: Frozen baselines, supervised recalibration, and task-measurement reliability</w:t>
      </w:r>
    </w:p>
    <w:p>
      <w:pPr>
        <w:pStyle w:val="BodyText"/>
      </w:pPr>
      <w:r>
        <w:t xml:space="preserve">This supplement defines the completed frozen analyses and the separately labeled</w:t>
      </w:r>
      <w:r>
        <w:t xml:space="preserve"> </w:t>
      </w:r>
      <w:r>
        <w:t xml:space="preserve">post-observation sensitivities reported in the PLOS ONE submission draft. It</w:t>
      </w:r>
      <w:r>
        <w:t xml:space="preserve"> </w:t>
      </w:r>
      <w:r>
        <w:t xml:space="preserve">introduces no model, adaptation gate, new fit or repeated query inference. The</w:t>
      </w:r>
      <w:r>
        <w:t xml:space="preserve"> </w:t>
      </w:r>
      <w:r>
        <w:t xml:space="preserve">original scientific records and all incomplete-window exclusions remain intact;</w:t>
      </w:r>
      <w:r>
        <w:t xml:space="preserve"> </w:t>
      </w:r>
      <w:r>
        <w:t xml:space="preserve">operational authorizations, storage receipts and fault recovery are retained</w:t>
      </w:r>
      <w:r>
        <w:t xml:space="preserve"> </w:t>
      </w:r>
      <w:r>
        <w:t xml:space="preserve">separately in the repository audit records.</w:t>
      </w:r>
    </w:p>
    <w:bookmarkStart w:id="20" w:name="Xca9fe30d0d79376fb1c57c59ddbe9d82f9f8639"/>
    <w:p>
      <w:pPr>
        <w:pStyle w:val="Heading1"/>
      </w:pPr>
      <w:r>
        <w:t xml:space="preserve">S1. Source identity, chronology and eligible windows</w:t>
      </w:r>
    </w:p>
    <w:p>
      <w:pPr>
        <w:pStyle w:val="FirstParagraph"/>
      </w:pPr>
      <w:r>
        <w:t xml:space="preserve">The source was the Kumar2024 derivative at NEMAR</w:t>
      </w:r>
      <w:r>
        <w:t xml:space="preserve"> </w:t>
      </w:r>
      <w:r>
        <w:rPr>
          <w:rStyle w:val="VerbatimChar"/>
        </w:rPr>
        <w:t xml:space="preserve">nm000177/v1.0.5</w:t>
      </w:r>
      <w:r>
        <w:t xml:space="preserve">, CC BY 4.0,</w:t>
      </w:r>
      <w:r>
        <w:t xml:space="preserve"> </w:t>
      </w:r>
      <w:r>
        <w:t xml:space="preserve">bound by the existing 2,705-file selection manifest. The analysis covered 18</w:t>
      </w:r>
      <w:r>
        <w:t xml:space="preserve"> </w:t>
      </w:r>
      <w:r>
        <w:t xml:space="preserve">published participant identities, six ordered sessions, 360 EDF recordings and</w:t>
      </w:r>
      <w:r>
        <w:t xml:space="preserve"> </w:t>
      </w:r>
      <w:r>
        <w:t xml:space="preserve">7,200 event identities. Source size/checksum, local SHA256, annotation/event</w:t>
      </w:r>
      <w:r>
        <w:t xml:space="preserve"> </w:t>
      </w:r>
      <w:r>
        <w:t xml:space="preserve">agreement, channel order, sampling rate, units and frozen numerical window</w:t>
      </w:r>
      <w:r>
        <w:t xml:space="preserve"> </w:t>
      </w:r>
      <w:r>
        <w:t xml:space="preserve">hashes were checked. Complete raw and processed windows had no exact numerical</w:t>
      </w:r>
      <w:r>
        <w:t xml:space="preserve"> </w:t>
      </w:r>
      <w:r>
        <w:t xml:space="preserve">duplicates in the frozen split audit. These checks do not independently</w:t>
      </w:r>
      <w:r>
        <w:t xml:space="preserve"> </w:t>
      </w:r>
      <w:r>
        <w:t xml:space="preserve">establish biological identity or the accuracy of derivative-reported calendar</w:t>
      </w:r>
      <w:r>
        <w:t xml:space="preserve"> </w:t>
      </w:r>
      <w:r>
        <w:t xml:space="preserve">timestamps. Session order and within-session run order were checked against</w:t>
      </w:r>
      <w:r>
        <w:t xml:space="preserve"> </w:t>
      </w:r>
      <w:r>
        <w:t xml:space="preserve">the source acquisition metadata.</w:t>
      </w:r>
    </w:p>
    <w:p>
      <w:pPr>
        <w:pStyle w:val="BodyText"/>
      </w:pPr>
      <w:r>
        <w:t xml:space="preserve">Development IDs were sub-1, sub-4, sub-7, sub-10, sub-13 and sub-16. The fixed</w:t>
      </w:r>
      <w:r>
        <w:t xml:space="preserve"> </w:t>
      </w:r>
      <w:r>
        <w:t xml:space="preserve">remaining IDs were sub-2, sub-3, sub-5, sub-6, sub-8, sub-9, sub-11, sub-12,</w:t>
      </w:r>
      <w:r>
        <w:t xml:space="preserve"> </w:t>
      </w:r>
      <w:r>
        <w:t xml:space="preserve">sub-14, sub-15, sub-17 and sub-18. Assignment preceded performance calculations</w:t>
      </w:r>
      <w:r>
        <w:t xml:space="preserve"> </w:t>
      </w:r>
      <w:r>
        <w:t xml:space="preserve">and used every third numeric published ID, starting at one. Later analysis of</w:t>
      </w:r>
      <w:r>
        <w:t xml:space="preserve"> </w:t>
      </w:r>
      <w:r>
        <w:t xml:space="preserve">previously inspected test identities remains exploratory.</w:t>
      </w:r>
    </w:p>
    <w:p>
      <w:pPr>
        <w:pStyle w:val="BodyText"/>
      </w:pPr>
      <w:r>
        <w:t xml:space="preserve">Exactly five seconds and 2,560 samples at 512 Hz were required for a complete</w:t>
      </w:r>
      <w:r>
        <w:t xml:space="preserve"> </w:t>
      </w:r>
      <w:r>
        <w:t xml:space="preserve">exported cue-anchored task-label window. Sample completeness does not certify</w:t>
      </w:r>
      <w:r>
        <w:t xml:space="preserve"> </w:t>
      </w:r>
      <w:r>
        <w:t xml:space="preserve">uninterrupted imagery or isolation of the active task phase; S7 details this</w:t>
      </w:r>
      <w:r>
        <w:t xml:space="preserve"> </w:t>
      </w:r>
      <w:r>
        <w:t xml:space="preserve">distinction. The 44 partial events remained in source/split records and were</w:t>
      </w:r>
      <w:r>
        <w:t xml:space="preserve"> </w:t>
      </w:r>
      <w:r>
        <w:t xml:space="preserve">excluded from tensors without padding, replacement or selecting another run.</w:t>
      </w:r>
      <w:r>
        <w:t xml:space="preserve"> </w:t>
      </w:r>
      <w:r>
        <w:t xml:space="preserve">The included role counts were: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whole-run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windows across 18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run-0 and run-1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ses-1 through ses-5, run-0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target-session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3,930</w:t>
            </w:r>
          </w:p>
        </w:tc>
      </w:tr>
    </w:tbl>
    <w:p>
      <w:pPr>
        <w:pStyle w:val="BodyText"/>
      </w:pPr>
      <w:r>
        <w:t xml:space="preserve">Each person had 40 training and 20 validation windows. The fixed first support</w:t>
      </w:r>
      <w:r>
        <w:t xml:space="preserve"> </w:t>
      </w:r>
      <w:r>
        <w:t xml:space="preserve">run allowed at most 20 events, at most 10 per class, before partial exclusion.</w:t>
      </w:r>
      <w:r>
        <w:t xml:space="preserve"> </w:t>
      </w:r>
      <w:r>
        <w:t xml:space="preserve">Among 90 target sessions, 14 had 19 included support events and 76 had 20.</w:t>
      </w:r>
      <w:r>
        <w:t xml:space="preserve"> </w:t>
      </w:r>
      <w:r>
        <w:t xml:space="preserve">There was no replacement or accumulation of support from other target sessions.</w:t>
      </w:r>
      <w:r>
        <w:t xml:space="preserve"> </w:t>
      </w:r>
      <w:r>
        <w:t xml:space="preserve">The query inventory retained all 4,320 event identities, including 30 partial</w:t>
      </w:r>
      <w:r>
        <w:t xml:space="preserve"> </w:t>
      </w:r>
      <w:r>
        <w:t xml:space="preserve">exclusions, yielding 4,290 included queries. The saved-result comparison</w:t>
      </w:r>
      <w:r>
        <w:t xml:space="preserve"> </w:t>
      </w:r>
      <w:r>
        <w:t xml:space="preserve">verified the same trial IDs, labels, sessions, runs, roles and included-window</w:t>
      </w:r>
      <w:r>
        <w:t xml:space="preserve"> </w:t>
      </w:r>
      <w:r>
        <w:t xml:space="preserve">hashes for every CPU method and every EEGNet seed.</w:t>
      </w:r>
    </w:p>
    <w:bookmarkEnd w:id="20"/>
    <w:bookmarkStart w:id="21" w:name="Xe2daa19c5a83099f32d183609c3d9fc32dadc21"/>
    <w:p>
      <w:pPr>
        <w:pStyle w:val="Heading1"/>
      </w:pPr>
      <w:r>
        <w:t xml:space="preserve">S2. Epoch-local preprocessing and descriptive coordinates</w:t>
      </w:r>
    </w:p>
    <w:p>
      <w:pPr>
        <w:pStyle w:val="FirstParagraph"/>
      </w:pPr>
      <w:r>
        <w:t xml:space="preserve">The channel order was F7, F3, Fz, F4, F8, FC5, FC1, FC2, FC6, C3, Cz, C4,</w:t>
      </w:r>
      <w:r>
        <w:t xml:space="preserve"> </w:t>
      </w:r>
      <w:r>
        <w:t xml:space="preserve">CP5, CP1, CP2, CP6, P7, P3, Pz, P4, P8 and POz. Labels were left hand = 0</w:t>
      </w:r>
      <w:r>
        <w:t xml:space="preserve"> </w:t>
      </w:r>
      <w:r>
        <w:t xml:space="preserve">and right hand = 1. MNE numerical input was in volts; the native physical</w:t>
      </w:r>
      <w:r>
        <w:t xml:space="preserve"> </w:t>
      </w:r>
      <w:r>
        <w:t xml:space="preserve">metadata used microvolts. Each epoch independently underwent:</w:t>
      </w:r>
    </w:p>
    <w:p>
      <w:pPr>
        <w:pStyle w:val="Compact"/>
        <w:numPr>
          <w:ilvl w:val="0"/>
          <w:numId w:val="1001"/>
        </w:numPr>
      </w:pPr>
      <w:r>
        <w:t xml:space="preserve">Common-average reference over all 22 channels at each sample.</w:t>
      </w:r>
    </w:p>
    <w:p>
      <w:pPr>
        <w:pStyle w:val="Compact"/>
        <w:numPr>
          <w:ilvl w:val="0"/>
          <w:numId w:val="1001"/>
        </w:numPr>
      </w:pPr>
      <w:r>
        <w:t xml:space="preserve">Fourth-order SciPy Butterworth SOS band-pass filtering at 8–30 Hz with</w:t>
      </w:r>
      <w:r>
        <w:t xml:space="preserve"> </w:t>
      </w:r>
      <w:r>
        <w:rPr>
          <w:rStyle w:val="VerbatimChar"/>
        </w:rPr>
        <w:t xml:space="preserve">sosfiltfilt</w:t>
      </w:r>
      <w:r>
        <w:t xml:space="preserve"> </w:t>
      </w:r>
      <w:r>
        <w:t xml:space="preserve">and its default odd padding.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resample_poly(up=1, down=4)</w:t>
      </w:r>
      <w:r>
        <w:t xml:space="preserve"> </w:t>
      </w:r>
      <w:r>
        <w:t xml:space="preserve">with its default Kaiser-5 window and constant</w:t>
      </w:r>
      <w:r>
        <w:t xml:space="preserve"> </w:t>
      </w:r>
      <w:r>
        <w:t xml:space="preserve">padding, yielding 22 × 640 float32 values at 128 Hz in volts.</w:t>
      </w:r>
    </w:p>
    <w:p>
      <w:pPr>
        <w:pStyle w:val="FirstParagraph"/>
      </w:pPr>
      <w:r>
        <w:t xml:space="preserve">These operations fitted no state across epochs. Zero-phase filtering is an</w:t>
      </w:r>
      <w:r>
        <w:t xml:space="preserve"> </w:t>
      </w:r>
      <w:r>
        <w:t xml:space="preserve">offline convention. A raw within-window peak-to-peak value above 250 µV in any</w:t>
      </w:r>
      <w:r>
        <w:t xml:space="preserve"> </w:t>
      </w:r>
      <w:r>
        <w:t xml:space="preserve">channel generated a fixed quality flag. All 1,512 flagged complete windows</w:t>
      </w:r>
      <w:r>
        <w:t xml:space="preserve"> </w:t>
      </w:r>
      <w:r>
        <w:t xml:space="preserve">remained among the 7,156 primary windows. No expert artifact certification or</w:t>
      </w:r>
      <w:r>
        <w:t xml:space="preserve"> </w:t>
      </w:r>
      <w:r>
        <w:t xml:space="preserve">verified reconstruction of the acquisition CPz reference was claimed.</w:t>
      </w:r>
    </w:p>
    <w:p>
      <w:pPr>
        <w:pStyle w:val="BodyText"/>
      </w:pPr>
      <w:r>
        <w:t xml:space="preserve">The predefined power description used Welch estimates with a Hann window,</w:t>
      </w:r>
      <w:r>
        <w:t xml:space="preserve"> </w:t>
      </w:r>
      <w:r>
        <w:t xml:space="preserve">256-sample segments, 128-sample overlap, constant detrending, density scaling,</w:t>
      </w:r>
      <w:r>
        <w:t xml:space="preserve"> </w:t>
      </w:r>
      <w:r>
        <w:t xml:space="preserve">one-sided output and mean averaging. Mu power integrated 8–13 Hz and Beta</w:t>
      </w:r>
      <w:r>
        <w:t xml:space="preserve"> </w:t>
      </w:r>
      <w:r>
        <w:t xml:space="preserve">power 13–30 Hz by trapezoidal integration including band-edge bins. Features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log10(max(power, float64_tiny))</w:t>
      </w:r>
      <w:r>
        <w:t xml:space="preserve">, ordered channel-major with Mu then</w:t>
      </w:r>
      <w:r>
        <w:t xml:space="preserve"> </w:t>
      </w:r>
      <w:r>
        <w:t xml:space="preserve">Beta, giving 44 features. They are absolute task-window powers in V² before</w:t>
      </w:r>
      <w:r>
        <w:t xml:space="preserve"> </w:t>
      </w:r>
      <w:r>
        <w:t xml:space="preserve">the log transform, not baseline-normalized ERD.</w:t>
      </w:r>
    </w:p>
    <w:p>
      <w:pPr>
        <w:pStyle w:val="BodyText"/>
      </w:pPr>
      <w:r>
        <w:t xml:space="preserve">Covariance descriptions used a fixed 21 × 22 Helmert basis to remove the CAR</w:t>
      </w:r>
      <w:r>
        <w:t xml:space="preserve"> </w:t>
      </w:r>
      <w:r>
        <w:t xml:space="preserve">null direction. Epochs were time-centered, covariance used the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denominator, and trace-normalized covariance was shrunk as</w:t>
      </w:r>
      <w:r>
        <w:t xml:space="preserve"> </w:t>
      </w:r>
      <w:r>
        <w:rPr>
          <w:rStyle w:val="VerbatimChar"/>
        </w:rPr>
        <w:t xml:space="preserve">0.9*C + 0.1*I/21</w:t>
      </w:r>
      <w:r>
        <w:t xml:space="preserve">. The source-training-only affine-invariant Riemann mean</w:t>
      </w:r>
      <w:r>
        <w:t xml:space="preserve"> </w:t>
      </w:r>
      <w:r>
        <w:t xml:space="preserve">used an arithmetic initializer, unit step, at most 100 iterations and tolerance</w:t>
      </w:r>
      <w:r>
        <w:t xml:space="preserve"> </w:t>
      </w:r>
      <w:r>
        <w:rPr>
          <w:rStyle w:val="VerbatimChar"/>
        </w:rPr>
        <w:t xml:space="preserve">1e-10</w:t>
      </w:r>
      <w:r>
        <w:t xml:space="preserve">. Other roles supplied distances to that fixed reference, never a refit.</w:t>
      </w:r>
      <w:r>
        <w:t xml:space="preserve"> </w:t>
      </w:r>
      <w:r>
        <w:t xml:space="preserve">A source-training StandardScaler and full-SVD PCA retained four components</w:t>
      </w:r>
      <w:r>
        <w:t xml:space="preserve"> </w:t>
      </w:r>
      <w:r>
        <w:t xml:space="preserve">without whitening. Primary preprocessing and decoder fits did not change in</w:t>
      </w:r>
      <w:r>
        <w:t xml:space="preserve"> </w:t>
      </w:r>
      <w:r>
        <w:t xml:space="preserve">the fixed quality-flag, count-matched or C3/Cz/C4 descriptive sensitivities.</w:t>
      </w:r>
    </w:p>
    <w:p>
      <w:pPr>
        <w:pStyle w:val="BodyText"/>
      </w:pPr>
      <w:r>
        <w:t xml:space="preserve">For the pre-frozen drift associations, the covariance measure was target-query</w:t>
      </w:r>
      <w:r>
        <w:t xml:space="preserve"> </w:t>
      </w:r>
      <w:r>
        <w:t xml:space="preserve">mean distance minus source-query mean distance. The task-axis measure was the</w:t>
      </w:r>
      <w:r>
        <w:t xml:space="preserve"> </w:t>
      </w:r>
      <w:r>
        <w:t xml:space="preserve">one-dimensional Wasserstein distance between target and source query projections</w:t>
      </w:r>
      <w:r>
        <w:t xml:space="preserve"> </w:t>
      </w:r>
      <w:r>
        <w:t xml:space="preserve">onto the fixed source-training right-minus-left power direction. Target labels</w:t>
      </w:r>
      <w:r>
        <w:t xml:space="preserve"> </w:t>
      </w:r>
      <w:r>
        <w:t xml:space="preserve">did not construct that drift variable; labels were used for BA and explicitly</w:t>
      </w:r>
      <w:r>
        <w:t xml:space="preserve"> </w:t>
      </w:r>
      <w:r>
        <w:t xml:space="preserve">supervised retrospective class descriptions. These remaining-cohort associations</w:t>
      </w:r>
      <w:r>
        <w:t xml:space="preserve"> </w:t>
      </w:r>
      <w:r>
        <w:t xml:space="preserve">were descriptive analyses, not development-only reliability probes or policy</w:t>
      </w:r>
      <w:r>
        <w:t xml:space="preserve"> </w:t>
      </w:r>
      <w:r>
        <w:t xml:space="preserve">selection.</w:t>
      </w:r>
    </w:p>
    <w:bookmarkEnd w:id="21"/>
    <w:bookmarkStart w:id="25" w:name="X30c558383e01fe798d41d3fb6bdf77103d13f93"/>
    <w:p>
      <w:pPr>
        <w:pStyle w:val="Heading1"/>
      </w:pPr>
      <w:r>
        <w:t xml:space="preserve">S3. Decoder definitions and label budgets</w:t>
      </w:r>
    </w:p>
    <w:bookmarkStart w:id="22" w:name="s3.1.-cpu-baselines"/>
    <w:p>
      <w:pPr>
        <w:pStyle w:val="Heading2"/>
      </w:pPr>
      <w:r>
        <w:t xml:space="preserve">S3.1. CPU baselines</w:t>
      </w:r>
    </w:p>
    <w:p>
      <w:pPr>
        <w:pStyle w:val="FirstParagraph"/>
      </w:pPr>
      <w:r>
        <w:t xml:space="preserve">CSP used four components, Ledoit–Wolf regularization, log mean-square 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; LDA used</w:t>
      </w:r>
      <w:r>
        <w:t xml:space="preserve"> </w:t>
      </w:r>
      <w:r>
        <w:rPr>
          <w:rStyle w:val="VerbatimChar"/>
        </w:rPr>
        <w:t xml:space="preserve">solver="lsqr"</w:t>
      </w:r>
      <w:r>
        <w:t xml:space="preserve"> </w:t>
      </w:r>
      <w:r>
        <w:t xml:space="preserve">and automatic shrinkage.</w:t>
      </w:r>
      <w:r>
        <w:t xml:space="preserve"> </w:t>
      </w:r>
      <w:r>
        <w:t xml:space="preserve">The baseline seed was 42 and there was one prespecified configuration.</w:t>
      </w:r>
      <w:r>
        <w:t xml:space="preserve"> </w:t>
      </w:r>
      <w:r>
        <w:t xml:space="preserve">Source-only CSP/LDA fitted source training and then froze both stages.</w:t>
      </w:r>
      <w:r>
        <w:t xml:space="preserve"> </w:t>
      </w:r>
      <w:r>
        <w:t xml:space="preserve">Frozen-CSP/LDA recalibration reused source filters and refitted LDA on source</w:t>
      </w:r>
      <w:r>
        <w:t xml:space="preserve"> </w:t>
      </w:r>
      <w:r>
        <w:t xml:space="preserve">training plus current support. Full refitting fitted both CSP and LDA on that</w:t>
      </w:r>
      <w:r>
        <w:t xml:space="preserve"> </w:t>
      </w:r>
      <w:r>
        <w:t xml:space="preserve">same union. Every fit recorded exact trial IDs; validation and query were</w:t>
      </w:r>
      <w:r>
        <w:t xml:space="preserve"> </w:t>
      </w:r>
      <w:r>
        <w:t xml:space="preserve">forbidden from fitting or selecting the CPU pipeline. Source-query predictions</w:t>
      </w:r>
      <w:r>
        <w:t xml:space="preserve"> </w:t>
      </w:r>
      <w:r>
        <w:t xml:space="preserve">used the same source model for all three method labels.</w:t>
      </w:r>
    </w:p>
    <w:bookmarkEnd w:id="22"/>
    <w:bookmarkStart w:id="23" w:name="s3.2.-source-only-eegnet"/>
    <w:p>
      <w:pPr>
        <w:pStyle w:val="Heading2"/>
      </w:pPr>
      <w:r>
        <w:t xml:space="preserve">S3.2. Source-only EEGNet</w:t>
      </w:r>
    </w:p>
    <w:p>
      <w:pPr>
        <w:pStyle w:val="FirstParagraph"/>
      </w:pPr>
      <w:r>
        <w:t xml:space="preserve">The official</w:t>
      </w:r>
      <w:r>
        <w:t xml:space="preserve"> </w:t>
      </w:r>
      <w:r>
        <w:rPr>
          <w:rStyle w:val="VerbatimChar"/>
        </w:rPr>
        <w:t xml:space="preserve">braindecode.models.EEGNet</w:t>
      </w:r>
      <w:r>
        <w:t xml:space="preserve"> </w:t>
      </w:r>
      <w:r>
        <w:t xml:space="preserve">implementation used F1=4, D=2, F2=8,</w:t>
      </w:r>
      <w:r>
        <w:t xml:space="preserve"> </w:t>
      </w:r>
      <w:r>
        <w:t xml:space="preserve">temporal kernel 64, depthwise kernel 16, mean-pool sizes 4 and 8, ELU, dropout</w:t>
      </w:r>
      <w:r>
        <w:t xml:space="preserve"> </w:t>
      </w:r>
      <w:r>
        <w:t xml:space="preserve">0.5, automatic final-convolution length and spatial max norm 1.0. Batch</w:t>
      </w:r>
      <w:r>
        <w:t xml:space="preserve"> </w:t>
      </w:r>
      <w:r>
        <w:t xml:space="preserve">normalization used momentum 0.01, affine parameters and epsilon 0.001.</w:t>
      </w:r>
      <w:r>
        <w:t xml:space="preserve"> </w:t>
      </w:r>
      <w:r>
        <w:rPr>
          <w:rStyle w:val="VerbatimChar"/>
        </w:rPr>
        <w:t xml:space="preserve">final_layer_with_constraint=false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norm_rate=0.25</w:t>
      </w:r>
      <w:r>
        <w:t xml:space="preserve"> </w:t>
      </w:r>
      <w:r>
        <w:t xml:space="preserve">were retained exactly</w:t>
      </w:r>
      <w:r>
        <w:t xml:space="preserve"> </w:t>
      </w:r>
      <w:r>
        <w:t xml:space="preserve">as recorded in the executed configuration.</w:t>
      </w:r>
    </w:p>
    <w:p>
      <w:pPr>
        <w:pStyle w:val="BodyText"/>
      </w:pPr>
      <w:r>
        <w:t xml:space="preserve">For each participant, channel mean and standard deviation were fitted over</w:t>
      </w:r>
      <w:r>
        <w:t xml:space="preserve"> </w:t>
      </w:r>
      <w:r>
        <w:t xml:space="preserve">source-training trials and time only, with a</w:t>
      </w:r>
      <w:r>
        <w:t xml:space="preserve"> </w:t>
      </w:r>
      <w:r>
        <w:rPr>
          <w:rStyle w:val="VerbatimChar"/>
        </w:rPr>
        <w:t xml:space="preserve">1e-8</w:t>
      </w:r>
      <w:r>
        <w:t xml:space="preserve"> </w:t>
      </w:r>
      <w:r>
        <w:t xml:space="preserve">V scale floor. The optimizer</w:t>
      </w:r>
      <w:r>
        <w:t xml:space="preserve"> </w:t>
      </w:r>
      <w:r>
        <w:t xml:space="preserve">was Adam: learning rate 0.001, betas (0.9, 0.999), epsilon</w:t>
      </w:r>
      <w:r>
        <w:t xml:space="preserve"> </w:t>
      </w:r>
      <w:r>
        <w:rPr>
          <w:rStyle w:val="VerbatimChar"/>
        </w:rPr>
        <w:t xml:space="preserve">1e-8</w:t>
      </w:r>
      <w:r>
        <w:t xml:space="preserve">, zero weight</w:t>
      </w:r>
      <w:r>
        <w:t xml:space="preserve"> </w:t>
      </w:r>
      <w:r>
        <w:t xml:space="preserve">decay, no AMSGrad or scheduler. Training used unweighted cross entropy, no</w:t>
      </w:r>
      <w:r>
        <w:t xml:space="preserve"> </w:t>
      </w:r>
      <w:r>
        <w:t xml:space="preserve">label smoothing, batch size 16, shuffled training rows,</w:t>
      </w:r>
      <w:r>
        <w:t xml:space="preserve"> </w:t>
      </w:r>
      <w:r>
        <w:rPr>
          <w:rStyle w:val="VerbatimChar"/>
        </w:rPr>
        <w:t xml:space="preserve">drop_last=false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 </w:t>
      </w:r>
      <w:r>
        <w:t xml:space="preserve">and at most 100 epochs. The source-validation mean cross entropy</w:t>
      </w:r>
      <w:r>
        <w:t xml:space="preserve"> </w:t>
      </w:r>
      <w:r>
        <w:t xml:space="preserve">selected the checkpoint, with patience 15, minimum improvement zero and the</w:t>
      </w:r>
      <w:r>
        <w:t xml:space="preserve"> </w:t>
      </w:r>
      <w:r>
        <w:t xml:space="preserve">earliest epoch on ties. The complete best state was restored. All seeds</w:t>
      </w:r>
      <w:r>
        <w:t xml:space="preserve"> </w:t>
      </w:r>
      <w:r>
        <w:t xml:space="preserve">20261012, 20261013 and 20261014 were retained; no favorable seed was selected.</w:t>
      </w:r>
    </w:p>
    <w:p>
      <w:pPr>
        <w:pStyle w:val="BodyText"/>
      </w:pPr>
      <w:r>
        <w:t xml:space="preserve">The 54 completed source fits used 2,871 epochs and 8,613 optimizer steps.</w:t>
      </w:r>
      <w:r>
        <w:t xml:space="preserve"> </w:t>
      </w:r>
      <w:r>
        <w:t xml:space="preserve">Eleven reached the 100-epoch cap; reaching that cap was not relabeled as a</w:t>
      </w:r>
      <w:r>
        <w:t xml:space="preserve"> </w:t>
      </w:r>
      <w:r>
        <w:t xml:space="preserve">patience termination. Validation BA/CE was descriptive because validation</w:t>
      </w:r>
      <w:r>
        <w:t xml:space="preserve"> </w:t>
      </w:r>
      <w:r>
        <w:t xml:space="preserve">selected epochs. It received no new population interval or hypothesis test.</w:t>
      </w:r>
    </w:p>
    <w:p>
      <w:pPr>
        <w:pStyle w:val="BodyText"/>
      </w:pPr>
      <w:r>
        <w:t xml:space="preserve">For the fixed checkpoint query evaluation, original package/checkpoint bytes and</w:t>
      </w:r>
      <w:r>
        <w:t xml:space="preserve"> </w:t>
      </w:r>
      <w:r>
        <w:t xml:space="preserve">embedded source context were verified before loading with</w:t>
      </w:r>
      <w:r>
        <w:t xml:space="preserve"> </w:t>
      </w:r>
      <w:r>
        <w:rPr>
          <w:rStyle w:val="VerbatimChar"/>
        </w:rPr>
        <w:t xml:space="preserve">torch.load(map_location="cpu", weights_only=True)</w:t>
      </w:r>
      <w:r>
        <w:t xml:space="preserve">. Evaluation mode,</w:t>
      </w:r>
      <w:r>
        <w:t xml:space="preserve"> </w:t>
      </w:r>
      <w:r>
        <w:t xml:space="preserve">disabled gradients and inference mode prohibited optimizer, parameter,</w:t>
      </w:r>
      <w:r>
        <w:t xml:space="preserve"> </w:t>
      </w:r>
      <w:r>
        <w:t xml:space="preserve">batch-normalization and normalization updates. The original state digest was</w:t>
      </w:r>
      <w:r>
        <w:t xml:space="preserve"> </w:t>
      </w:r>
      <w:r>
        <w:t xml:space="preserve">recorded before and after each model’s predictions. Labels supported only the</w:t>
      </w:r>
      <w:r>
        <w:t xml:space="preserve"> </w:t>
      </w:r>
      <w:r>
        <w:t xml:space="preserve">fixed metrics; class prediction was untuned logit argmax. The original source</w:t>
      </w:r>
      <w:r>
        <w:t xml:space="preserve"> </w:t>
      </w:r>
      <w:r>
        <w:t xml:space="preserve">CE replay absolute tolerance remained</w:t>
      </w:r>
      <w:r>
        <w:t xml:space="preserve"> </w:t>
      </w:r>
      <w:r>
        <w:rPr>
          <w:rStyle w:val="VerbatimChar"/>
        </w:rPr>
        <w:t xml:space="preserve">1e-7</w:t>
      </w:r>
      <w:r>
        <w:t xml:space="preserve">. Independent saved-result audits</w:t>
      </w:r>
      <w:r>
        <w:t xml:space="preserve"> </w:t>
      </w:r>
      <w:r>
        <w:t xml:space="preserve">checked the recorded states and arithmetic without a second model forward.</w:t>
      </w:r>
    </w:p>
    <w:bookmarkEnd w:id="23"/>
    <w:bookmarkStart w:id="24" w:name="s3.3.-comparison-boundary"/>
    <w:p>
      <w:pPr>
        <w:pStyle w:val="Heading2"/>
      </w:pPr>
      <w:r>
        <w:t xml:space="preserve">S3.3. Comparison boundary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 estimator/optimizer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Additional source-validation labels for selection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support labels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EEGNet, each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CPU validation run was not used for model selection or fitting. EEGNet</w:t>
      </w:r>
      <w:r>
        <w:t xml:space="preserve"> </w:t>
      </w:r>
      <w:r>
        <w:t xml:space="preserve">therefore had different source-label use, and only the CPU updates used target</w:t>
      </w:r>
      <w:r>
        <w:t xml:space="preserve"> </w:t>
      </w:r>
      <w:r>
        <w:t xml:space="preserve">support. Equal query identities do not establish equal information or compute</w:t>
      </w:r>
      <w:r>
        <w:t xml:space="preserve"> </w:t>
      </w:r>
      <w:r>
        <w:t xml:space="preserve">budgets. The two CPU update methods shared exact labeled fitting IDs, although</w:t>
      </w:r>
      <w:r>
        <w:t xml:space="preserve"> </w:t>
      </w:r>
      <w:r>
        <w:t xml:space="preserve">updating both stages and updating LDA alone involved different computations.</w:t>
      </w:r>
      <w:r>
        <w:t xml:space="preserve"> </w:t>
      </w:r>
      <w:r>
        <w:t xml:space="preserve">The original full-refit versus frozen contrast deliberately added current</w:t>
      </w:r>
      <w:r>
        <w:t xml:space="preserve"> </w:t>
      </w:r>
      <w:r>
        <w:t xml:space="preserve">support; it was not an equal-target-label architecture comparison.</w:t>
      </w:r>
    </w:p>
    <w:bookmarkEnd w:id="24"/>
    <w:bookmarkEnd w:id="25"/>
    <w:bookmarkStart w:id="26" w:name="X9f426fdd0ac18789b74e68514d40195340d1949"/>
    <w:p>
      <w:pPr>
        <w:pStyle w:val="Heading1"/>
      </w:pPr>
      <w:r>
        <w:t xml:space="preserve">S4. Endpoints, resampling and evidence hierarchy</w:t>
      </w:r>
    </w:p>
    <w:p>
      <w:pPr>
        <w:pStyle w:val="FirstParagraph"/>
      </w:pPr>
      <w:r>
        <w:t xml:space="preserve">BA was the mean of left and right recall. Confusion counts, recalls, predicted</w:t>
      </w:r>
      <w:r>
        <w:t xml:space="preserve"> </w:t>
      </w:r>
      <w:r>
        <w:t xml:space="preserve">class proportions and single-class prediction indicators accompanied each</w:t>
      </w:r>
      <w:r>
        <w:t xml:space="preserve"> </w:t>
      </w:r>
      <w:r>
        <w:t xml:space="preserve">session. CPU target endpoints first averaged five sessions per participant.</w:t>
      </w:r>
      <w:r>
        <w:t xml:space="preserve"> </w:t>
      </w:r>
      <w:r>
        <w:t xml:space="preserve">EEGNet first averaged all three seeds within participant/session, then averaged</w:t>
      </w:r>
      <w:r>
        <w:t xml:space="preserve"> </w:t>
      </w:r>
      <w:r>
        <w:t xml:space="preserve">five target sessions per participant. Source query remained separate. Cohort</w:t>
      </w:r>
      <w:r>
        <w:t xml:space="preserve"> </w:t>
      </w:r>
      <w:r>
        <w:t xml:space="preserve">means weighted participants equally, never pooled trials or treated seeds and</w:t>
      </w:r>
      <w:r>
        <w:t xml:space="preserve"> </w:t>
      </w:r>
      <w:r>
        <w:t xml:space="preserve">sessions as additional independent people. Development6 and remaining12 were</w:t>
      </w:r>
      <w:r>
        <w:t xml:space="preserve"> </w:t>
      </w:r>
      <w:r>
        <w:t xml:space="preserve">separate; all18 was a secondary exploratory combination.</w:t>
      </w:r>
    </w:p>
    <w:p>
      <w:pPr>
        <w:pStyle w:val="BodyText"/>
      </w:pPr>
      <w:r>
        <w:t xml:space="preserve">The primary contrast remained full CSP/LDA refit minus source-only CSP/LDA in</w:t>
      </w:r>
      <w:r>
        <w:t xml:space="preserve"> </w:t>
      </w:r>
      <w:r>
        <w:t xml:space="preserve">remaining12, with paired participant resampling. Mean/BA descriptive intervals</w:t>
      </w:r>
      <w:r>
        <w:t xml:space="preserve"> </w:t>
      </w:r>
      <w:r>
        <w:t xml:space="preserve">used 10,000 draws with seed 42 and the 2.5th/97.5th percentiles. The saved-query</w:t>
      </w:r>
      <w:r>
        <w:t xml:space="preserve"> </w:t>
      </w:r>
      <w:r>
        <w:t xml:space="preserve">comparison and decoder endpoint summaries used lexicographic participant-ID</w:t>
      </w:r>
      <w:r>
        <w:t xml:space="preserve"> </w:t>
      </w:r>
      <w:r>
        <w:t xml:space="preserve">order. The six-person reliability bootstrap used numeric order 1,4,7,10,13,16,</w:t>
      </w:r>
      <w:r>
        <w:t xml:space="preserve"> </w:t>
      </w:r>
      <w:r>
        <w:t xml:space="preserve">averaged source folds or support sessions within person first, and used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 </w:t>
      </w:r>
      <w:r>
        <w:t xml:space="preserve">for 10,000 six-ID samples with replacement. Missing participant</w:t>
      </w:r>
      <w:r>
        <w:t xml:space="preserve"> </w:t>
      </w:r>
      <w:r>
        <w:t xml:space="preserve">values made the entire reliability interval unavailable rather than silently</w:t>
      </w:r>
      <w:r>
        <w:t xml:space="preserve"> </w:t>
      </w:r>
      <w:r>
        <w:t xml:space="preserve">changing its participant denominator.</w:t>
      </w:r>
    </w:p>
    <w:p>
      <w:pPr>
        <w:pStyle w:val="BodyText"/>
      </w:pPr>
      <w:r>
        <w:t xml:space="preserve">The original descriptive Spearman drift intervals instead used</w:t>
      </w:r>
      <w:r>
        <w:t xml:space="preserve"> </w:t>
      </w:r>
      <w:r>
        <w:rPr>
          <w:b/>
          <w:bCs/>
        </w:rPr>
        <w:t xml:space="preserve">2,000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participant-block bootstrap draws</w:t>
      </w:r>
      <w:r>
        <w:t xml:space="preserve">, seed 42. Each selected participant</w:t>
      </w:r>
      <w:r>
        <w:t xml:space="preserve"> </w:t>
      </w:r>
      <w:r>
        <w:t xml:space="preserve">contributed all its session rows together. They did not use 10,000 independent</w:t>
      </w:r>
      <w:r>
        <w:t xml:space="preserve"> </w:t>
      </w:r>
      <w:r>
        <w:t xml:space="preserve">session or trial samples. Both original drift measures retained 2,000 valid</w:t>
      </w:r>
      <w:r>
        <w:t xml:space="preserve"> </w:t>
      </w:r>
      <w:r>
        <w:t xml:space="preserve">block draws. The difference between these two resampling designs is preserved.</w:t>
      </w:r>
    </w:p>
    <w:p>
      <w:pPr>
        <w:pStyle w:val="BodyText"/>
      </w:pPr>
      <w:r>
        <w:t xml:space="preserve">No new EEGNet-minus-CPU contrast interval, p value, multiple-testing claim or</w:t>
      </w:r>
      <w:r>
        <w:t xml:space="preserve"> </w:t>
      </w:r>
      <w:r>
        <w:t xml:space="preserve">formal test against 50% was added. The saved comparison reproduced the original</w:t>
      </w:r>
      <w:r>
        <w:t xml:space="preserve"> </w:t>
      </w:r>
      <w:r>
        <w:t xml:space="preserve">CPU primary contrast, +7.42 percentage points [2.49, 12.48], with nine positive</w:t>
      </w:r>
      <w:r>
        <w:t xml:space="preserve"> </w:t>
      </w:r>
      <w:r>
        <w:t xml:space="preserve">and three negative participant differences. The original full-refit minus</w:t>
      </w:r>
      <w:r>
        <w:t xml:space="preserve"> </w:t>
      </w:r>
      <w:r>
        <w:t xml:space="preserve">LDA-only secondary contrast was +5.47</w:t>
      </w:r>
      <w:r>
        <w:t xml:space="preserve"> </w:t>
      </w:r>
      <w:r>
        <w:t xml:space="preserve">percentage points [2.17, 8.91]. Its target-label budget was the same for the two</w:t>
      </w:r>
      <w:r>
        <w:t xml:space="preserve"> </w:t>
      </w:r>
      <w:r>
        <w:t xml:space="preserve">update methods; it was not promoted to a primary endpoint. LDA-only minus frozen</w:t>
      </w:r>
      <w:r>
        <w:t xml:space="preserve"> </w:t>
      </w:r>
      <w:r>
        <w:t xml:space="preserve">remained uncertain at +1.95 points [−0.98, +5.09]. All subsequent same-dataset</w:t>
      </w:r>
      <w:r>
        <w:t xml:space="preserve"> </w:t>
      </w:r>
      <w:r>
        <w:t xml:space="preserve">interpretation remained exploratory</w:t>
      </w:r>
      <w:r>
        <w:t xml:space="preserve"> </w:t>
      </w:r>
      <w:r>
        <w:t xml:space="preserve">after prior test exposure. No task-aware policy benefited from looking at</w:t>
      </w:r>
      <w:r>
        <w:t xml:space="preserve"> </w:t>
      </w:r>
      <w:r>
        <w:t xml:space="preserve">these query outcomes.</w:t>
      </w:r>
    </w:p>
    <w:bookmarkEnd w:id="26"/>
    <w:bookmarkStart w:id="31" w:name="Xe5825e2f4c6bc5a2a313338c69d3e75013e88c8"/>
    <w:p>
      <w:pPr>
        <w:pStyle w:val="Heading1"/>
      </w:pPr>
      <w:r>
        <w:t xml:space="preserve">S5. Development-only measurement reliability</w:t>
      </w:r>
    </w:p>
    <w:bookmarkStart w:id="27" w:name="s5.1.-fixed-low-dimensional-power-probes"/>
    <w:p>
      <w:pPr>
        <w:pStyle w:val="Heading2"/>
      </w:pPr>
      <w:r>
        <w:t xml:space="preserve">S5.1. Fixed low-dimensional power probes</w:t>
      </w:r>
    </w:p>
    <w:p>
      <w:pPr>
        <w:pStyle w:val="FirstParagraph"/>
      </w:pPr>
      <w:r>
        <w:t xml:space="preserve">The candidates were standardized 44-dimensional Mu/Beta power, its source PCA4</w:t>
      </w:r>
      <w:r>
        <w:t xml:space="preserve"> </w:t>
      </w:r>
      <w:r>
        <w:t xml:space="preserve">coordinates and six C3/Cz/C4 Mu/Beta coordinates. Only the six development IDs’</w:t>
      </w:r>
      <w:r>
        <w:t xml:space="preserve"> </w:t>
      </w:r>
      <w:r>
        <w:t xml:space="preserve">source training and preassigned current support entered the calculations.</w:t>
      </w:r>
      <w:r>
        <w:t xml:space="preserve"> </w:t>
      </w:r>
      <w:r>
        <w:t xml:space="preserve">Source-run probes trained on run-0’s 20 rows and evaluated run-1’s 20, then</w:t>
      </w:r>
      <w:r>
        <w:t xml:space="preserve"> </w:t>
      </w:r>
      <w:r>
        <w:t xml:space="preserve">reversed the roles. Each run contained ten events per class. StandardScaler and</w:t>
      </w:r>
      <w:r>
        <w:t xml:space="preserve"> </w:t>
      </w:r>
      <w:r>
        <w:t xml:space="preserve">PCA for a fold were fitted to its TRAIN20 alone. The diagnostic classifier</w:t>
      </w:r>
      <w:r>
        <w:t xml:space="preserve"> </w:t>
      </w:r>
      <w:r>
        <w:t xml:space="preserve">used the right-minus-left class-centroid axis and the midpoint threshold.</w:t>
      </w:r>
      <w:r>
        <w:t xml:space="preserve"> </w:t>
      </w:r>
      <w:r>
        <w:t xml:space="preserve">It did not reuse a transform fitted on the held-out source run.</w:t>
      </w:r>
    </w:p>
    <w:p>
      <w:pPr>
        <w:pStyle w:val="BodyText"/>
      </w:pPr>
      <w:r>
        <w:t xml:space="preserve">The exact Cartesian set of 20 × 20 circular label phases was shared across</w:t>
      </w:r>
      <w:r>
        <w:t xml:space="preserve"> </w:t>
      </w:r>
      <w:r>
        <w:t xml:space="preserve">the two source folds and three candidates, including identity. Label-dependent</w:t>
      </w:r>
      <w:r>
        <w:t xml:space="preserve"> </w:t>
      </w:r>
      <w:r>
        <w:t xml:space="preserve">centroid directions and midpoints were recomputed for controls; label-independent</w:t>
      </w:r>
      <w:r>
        <w:t xml:space="preserve"> </w:t>
      </w:r>
      <w:r>
        <w:t xml:space="preserve">fold scales/PCA could be reused. The 14,400 phase-control fold/candidate</w:t>
      </w:r>
      <w:r>
        <w:t xml:space="preserve"> </w:t>
      </w:r>
      <w:r>
        <w:t xml:space="preserve">evaluations included the 36 identity/observed probes; these were auxiliary</w:t>
      </w:r>
      <w:r>
        <w:t xml:space="preserve"> </w:t>
      </w:r>
      <w:r>
        <w:t xml:space="preserve">measurements, not replacements for the primary decoder baseline. All candidates remained;</w:t>
      </w:r>
      <w:r>
        <w:t xml:space="preserve"> </w:t>
      </w:r>
      <w:r>
        <w:t xml:space="preserve">the highest point estimate did not select a winner.</w:t>
      </w:r>
    </w:p>
    <w:bookmarkEnd w:id="27"/>
    <w:bookmarkStart w:id="28" w:name="X1e4ed1f0f452c0fec5fa8b74eac0f77aeeca802"/>
    <w:p>
      <w:pPr>
        <w:pStyle w:val="Heading2"/>
      </w:pPr>
      <w:r>
        <w:t xml:space="preserve">S5.2. Supervised SOURCE20 CSP transfer probes</w:t>
      </w:r>
    </w:p>
    <w:p>
      <w:pPr>
        <w:pStyle w:val="FirstParagraph"/>
      </w:pPr>
      <w:r>
        <w:t xml:space="preserve">The completed signed-score run02 fitted CSP and LDA anew on each TRAIN20 fold.</w:t>
      </w:r>
      <w:r>
        <w:t xml:space="preserve"> </w:t>
      </w:r>
      <w:r>
        <w:t xml:space="preserve">Because CSP is label-dependent, every training-label phase refitted both stages.</w:t>
      </w:r>
      <w:r>
        <w:t xml:space="preserve"> </w:t>
      </w:r>
      <w:r>
        <w:t xml:space="preserve">For each participant/fold, 20 training-label phases produced 20 cached models</w:t>
      </w:r>
      <w:r>
        <w:t xml:space="preserve"> </w:t>
      </w:r>
      <w:r>
        <w:t xml:space="preserve">and their held-out predictions. Crossing those predictions with the 20 held-out</w:t>
      </w:r>
      <w:r>
        <w:t xml:space="preserve"> </w:t>
      </w:r>
      <w:r>
        <w:t xml:space="preserve">label phases yielded all 400 joint</w:t>
      </w:r>
      <w:r>
        <w:t xml:space="preserve"> </w:t>
      </w:r>
      <w:r>
        <w:rPr>
          <w:rStyle w:val="VerbatimChar"/>
        </w:rPr>
        <w:t xml:space="preserve">(run0_shift, run1_shift)</w:t>
      </w:r>
      <w:r>
        <w:t xml:space="preserve"> </w:t>
      </w:r>
      <w:r>
        <w:t xml:space="preserve">pairs. Held-out</w:t>
      </w:r>
      <w:r>
        <w:t xml:space="preserve"> </w:t>
      </w:r>
      <w:r>
        <w:t xml:space="preserve">labels never entered fitting, so caching across held-out phases preserved the</w:t>
      </w:r>
      <w:r>
        <w:t xml:space="preserve"> </w:t>
      </w:r>
      <w:r>
        <w:t xml:space="preserve">exact full-pipeline controls.</w:t>
      </w:r>
    </w:p>
    <w:p>
      <w:pPr>
        <w:pStyle w:val="BodyText"/>
      </w:pPr>
      <w:r>
        <w:t xml:space="preserve">Across six IDs, this produced 240 fitted pipelines—240 CSP plus 240 LDA fits,</w:t>
      </w:r>
      <w:r>
        <w:t xml:space="preserve"> </w:t>
      </w:r>
      <w:r>
        <w:t xml:space="preserve">including the 12 identity-fold pipelines—4,800 cached held-out trial predictions,</w:t>
      </w:r>
      <w:r>
        <w:t xml:space="preserve"> </w:t>
      </w:r>
      <w:r>
        <w:t xml:space="preserve">4,800 fold/phase BA evaluations and 2,400 participant/phase-pair twofold means.</w:t>
      </w:r>
      <w:r>
        <w:t xml:space="preserve"> </w:t>
      </w:r>
      <w:r>
        <w:t xml:space="preserve">All twelve source runs had 20 unique circular label assignments. The observed</w:t>
      </w:r>
      <w:r>
        <w:t xml:space="preserve"> </w:t>
      </w:r>
      <w:r>
        <w:t xml:space="preserve">value was the identity phase pair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. All 240 attempted pipelines completed;</w:t>
      </w:r>
      <w:r>
        <w:t xml:space="preserve"> </w:t>
      </w:r>
      <w:r>
        <w:t xml:space="preserve">the implemented expected singular-fit failures would have remained explicit</w:t>
      </w:r>
      <w:r>
        <w:t xml:space="preserve"> </w:t>
      </w:r>
      <w:r>
        <w:t xml:space="preserve">unavailable values, not exclusions of participants or controls.</w:t>
      </w:r>
    </w:p>
    <w:bookmarkEnd w:id="28"/>
    <w:bookmarkStart w:id="29" w:name="X4ffb903ab36e1f5c9d89dc1eedb82dd790d1227"/>
    <w:p>
      <w:pPr>
        <w:pStyle w:val="Heading2"/>
      </w:pPr>
      <w:r>
        <w:t xml:space="preserve">S5.3. Frozen SOURCE40 coordinates and signed scores</w:t>
      </w:r>
    </w:p>
    <w:p>
      <w:pPr>
        <w:pStyle w:val="FirstParagraph"/>
      </w:pPr>
      <w:r>
        <w:t xml:space="preserve">Current support used the six existing SOURCE40 baseline CSP/LDA models without</w:t>
      </w:r>
      <w:r>
        <w:t xml:space="preserve"> </w:t>
      </w:r>
      <w:r>
        <w:t xml:space="preserve">a new decoder fit. For an exported cue-anchored window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four CSP features were the</w:t>
      </w:r>
      <w:r>
        <w:t xml:space="preserve"> </w:t>
      </w:r>
      <w:r>
        <w:rPr>
          <w:b/>
          <w:bCs/>
        </w:rPr>
        <w:t xml:space="preserve">natural</w:t>
      </w:r>
      <w:r>
        <w:rPr>
          <w:b/>
          <w:bCs/>
        </w:rPr>
        <w:t xml:space="preserve"> </w:t>
      </w:r>
      <w:r>
        <w:rPr>
          <w:b/>
          <w:bCs/>
        </w:rPr>
        <w:t xml:space="preserve">logarithms</w:t>
      </w:r>
      <w:r>
        <w:t xml:space="preserve"> </w:t>
      </w:r>
      <w:r>
        <w:t xml:space="preserve">of mean squared projected amplitude:</w:t>
      </w:r>
    </w:p>
    <w:p>
      <w:pPr>
        <w:pStyle w:val="BodyText"/>
      </w:pPr>
      <w:r>
        <w:rPr>
          <w:rStyle w:val="VerbatimChar"/>
        </w:rPr>
        <w:t xml:space="preserve">f_j(X) = ln(mean_t((W_j X_t)^2)), j=1,...,4</w:t>
      </w:r>
      <w:r>
        <w:t xml:space="preserve">.</w:t>
      </w:r>
    </w:p>
    <w:p>
      <w:pPr>
        <w:pStyle w:val="BodyText"/>
      </w:pPr>
      <w:r>
        <w:t xml:space="preserve">The executed consumer rejected nonpositive/nonfinite power rather than inventing</w:t>
      </w:r>
      <w:r>
        <w:t xml:space="preserve"> </w:t>
      </w:r>
      <w:r>
        <w:t xml:space="preserve">features. The vector diagnostic fitted a four-coordinate StandardScaler on</w:t>
      </w:r>
      <w:r>
        <w:t xml:space="preserve"> </w:t>
      </w:r>
      <w:r>
        <w:t xml:space="preserve">SOURCE40 features only, using population variance (</w:t>
      </w:r>
      <w:r>
        <w:rPr>
          <w:rStyle w:val="VerbatimChar"/>
        </w:rPr>
        <w:t xml:space="preserve">ddof=0</w:t>
      </w:r>
      <w:r>
        <w:t xml:space="preserve">), and applied that</w:t>
      </w:r>
      <w:r>
        <w:t xml:space="preserve"> </w:t>
      </w:r>
      <w:r>
        <w:t xml:space="preserve">fixed transform to support. Its fixed source direction was</w:t>
      </w:r>
      <w:r>
        <w:t xml:space="preserve"> </w:t>
      </w:r>
      <w:r>
        <w:rPr>
          <w:rStyle w:val="VerbatimChar"/>
        </w:rPr>
        <w:t xml:space="preserve">d_source = mean(z|right) − mean(z|left)</w:t>
      </w:r>
      <w:r>
        <w:t xml:space="preserve"> </w:t>
      </w:r>
      <w:r>
        <w:t xml:space="preserve">and its unit direction was</w:t>
      </w:r>
      <w:r>
        <w:t xml:space="preserve"> </w:t>
      </w:r>
      <w:r>
        <w:rPr>
          <w:rStyle w:val="VerbatimChar"/>
        </w:rPr>
        <w:t xml:space="preserve">u_source = d_source / ||d_source||</w:t>
      </w:r>
      <w:r>
        <w:t xml:space="preserve"> </w:t>
      </w:r>
      <w:r>
        <w:t xml:space="preserve">when estimable.</w:t>
      </w:r>
    </w:p>
    <w:p>
      <w:pPr>
        <w:pStyle w:val="BodyText"/>
      </w:pPr>
      <w:r>
        <w:t xml:space="preserve">Within each support class, trials were chronologically ordered by acquisition</w:t>
      </w:r>
      <w:r>
        <w:t xml:space="preserve"> </w:t>
      </w:r>
      <w:r>
        <w:t xml:space="preserve">time, start sample and source row. The first</w:t>
      </w:r>
      <w:r>
        <w:t xml:space="preserve"> </w:t>
      </w:r>
      <w:r>
        <w:rPr>
          <w:rStyle w:val="VerbatimChar"/>
        </w:rPr>
        <w:t xml:space="preserve">floor(n_class/2)</w:t>
      </w:r>
      <w:r>
        <w:t xml:space="preserve"> </w:t>
      </w:r>
      <w:r>
        <w:t xml:space="preserve">entered the</w:t>
      </w:r>
      <w:r>
        <w:t xml:space="preserve"> </w:t>
      </w:r>
      <w:r>
        <w:t xml:space="preserve">first half and the remainder entered the second; corresponding class halves</w:t>
      </w:r>
      <w:r>
        <w:t xml:space="preserve"> </w:t>
      </w:r>
      <w:r>
        <w:t xml:space="preserve">were combined. For a half direction</w:t>
      </w:r>
      <w:r>
        <w:t xml:space="preserve"> </w:t>
      </w:r>
      <w:r>
        <w:rPr>
          <w:rStyle w:val="VerbatimChar"/>
        </w:rPr>
        <w:t xml:space="preserve">d_h</w:t>
      </w:r>
      <w:r>
        <w:t xml:space="preserve">, the diagnostics retained source/full</w:t>
      </w:r>
      <w:r>
        <w:t xml:space="preserve"> </w:t>
      </w:r>
      <w:r>
        <w:t xml:space="preserve">support cosine, half-to-half cosine and the signed axis contrast</w:t>
      </w:r>
    </w:p>
    <w:p>
      <w:pPr>
        <w:pStyle w:val="BodyText"/>
      </w:pPr>
      <w:r>
        <w:rPr>
          <w:rStyle w:val="VerbatimChar"/>
        </w:rPr>
        <w:t xml:space="preserve">A_h = (d_h · u_source) / SD_SOURCE40(z · u_source)</w:t>
      </w:r>
      <w:r>
        <w:t xml:space="preserve">.</w:t>
      </w:r>
    </w:p>
    <w:p>
      <w:pPr>
        <w:pStyle w:val="BodyText"/>
      </w:pPr>
      <w:r>
        <w:t xml:space="preserve">This contrast has</w:t>
      </w:r>
      <w:r>
        <w:t xml:space="preserve"> </w:t>
      </w:r>
      <w:r>
        <w:rPr>
          <w:b/>
          <w:bCs/>
        </w:rPr>
        <w:t xml:space="preserve">no factor of one half</w:t>
      </w:r>
      <w:r>
        <w:t xml:space="preserve">. Its source projection SD used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. Zero directions, missing classes and non-estimable scales remained</w:t>
      </w:r>
      <w:r>
        <w:t xml:space="preserve"> </w:t>
      </w:r>
      <w:r>
        <w:t xml:space="preserve">explicitly unavailable.</w:t>
      </w:r>
    </w:p>
    <w:p>
      <w:pPr>
        <w:pStyle w:val="BodyText"/>
      </w:pPr>
      <w:r>
        <w:t xml:space="preserve">The separate LDA diagnostic used original unstandardized CSP log features,</w:t>
      </w:r>
      <w:r>
        <w:t xml:space="preserve"> </w:t>
      </w:r>
      <w:r>
        <w:t xml:space="preserve">saved coefficient/intercept and classes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 = f @ w + b; prediction = right if s &gt; 0, otherwise left</w:t>
      </w:r>
      <w:r>
        <w:t xml:space="preserve">.</w:t>
      </w:r>
    </w:p>
    <w:p>
      <w:pPr>
        <w:pStyle w:val="BodyText"/>
      </w:pPr>
      <w:r>
        <w:t xml:space="preserve">The intercept and zero threshold remained unchanged; support was neither</w:t>
      </w:r>
      <w:r>
        <w:t xml:space="preserve"> </w:t>
      </w:r>
      <w:r>
        <w:t xml:space="preserve">centered nor used to fit a score scale. With</w:t>
      </w:r>
      <w:r>
        <w:t xml:space="preserve"> </w:t>
      </w:r>
      <w:r>
        <w:rPr>
          <w:rStyle w:val="VerbatimChar"/>
        </w:rPr>
        <w:t xml:space="preserve">SD_s = SD_SOURCE40(s)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, each half retained the balanced true-class signed margin</w:t>
      </w:r>
    </w:p>
    <w:p>
      <w:pPr>
        <w:pStyle w:val="BodyText"/>
      </w:pPr>
      <w:r>
        <w:rPr>
          <w:rStyle w:val="VerbatimChar"/>
        </w:rPr>
        <w:t xml:space="preserve">M_h = (mean(s|right,h) − mean(s|left,h)) / (2*SD_s)</w:t>
      </w:r>
      <w:r>
        <w:t xml:space="preserve">.</w:t>
      </w:r>
    </w:p>
    <w:p>
      <w:pPr>
        <w:pStyle w:val="BodyText"/>
      </w:pPr>
      <w:r>
        <w:t xml:space="preserve">The factor of one half is part of this score-margin definition. Separate right</w:t>
      </w:r>
      <w:r>
        <w:t xml:space="preserve"> </w:t>
      </w:r>
      <w:r>
        <w:t xml:space="preserve">margin</w:t>
      </w:r>
      <w:r>
        <w:t xml:space="preserve"> </w:t>
      </w:r>
      <w:r>
        <w:rPr>
          <w:rStyle w:val="VerbatimChar"/>
        </w:rPr>
        <w:t xml:space="preserve">mean(s|right,h)/SD_s</w:t>
      </w:r>
      <w:r>
        <w:t xml:space="preserve">, left margin</w:t>
      </w:r>
      <w:r>
        <w:t xml:space="preserve"> </w:t>
      </w:r>
      <w:r>
        <w:rPr>
          <w:rStyle w:val="VerbatimChar"/>
        </w:rPr>
        <w:t xml:space="preserve">−mean(s|left,h)/SD_s</w:t>
      </w:r>
      <w:r>
        <w:t xml:space="preserve">, score</w:t>
      </w:r>
      <w:r>
        <w:t xml:space="preserve"> </w:t>
      </w:r>
      <w:r>
        <w:t xml:space="preserve">location, recalls, predicted proportions, BA and collapse were also saved.</w:t>
      </w:r>
      <w:r>
        <w:t xml:space="preserve"> </w:t>
      </w:r>
      <w:r>
        <w:t xml:space="preserve">The vector-axis contrast and LDA margin are distinct measurements. Neither is</w:t>
      </w:r>
      <w:r>
        <w:t xml:space="preserve"> </w:t>
      </w:r>
      <w:r>
        <w:t xml:space="preserve">a calibrated probability or a validated neural-information measure. A positive</w:t>
      </w:r>
      <w:r>
        <w:t xml:space="preserve"> </w:t>
      </w:r>
      <w:r>
        <w:t xml:space="preserve">half-product can arise from two negative margins, and a positive class contrast</w:t>
      </w:r>
      <w:r>
        <w:t xml:space="preserve"> </w:t>
      </w:r>
      <w:r>
        <w:t xml:space="preserve">can coexist with both classes on one side of the frozen threshold.</w:t>
      </w:r>
    </w:p>
    <w:bookmarkEnd w:id="29"/>
    <w:bookmarkStart w:id="30" w:name="s5.4.-support-controls-and-denominators"/>
    <w:p>
      <w:pPr>
        <w:pStyle w:val="Heading2"/>
      </w:pPr>
      <w:r>
        <w:t xml:space="preserve">S5.4. Support controls and denominators</w:t>
      </w:r>
    </w:p>
    <w:p>
      <w:pPr>
        <w:pStyle w:val="FirstParagraph"/>
      </w:pPr>
      <w:r>
        <w:t xml:space="preserve">Each current support run supplied all 19 or 20 circular label phases, including</w:t>
      </w:r>
      <w:r>
        <w:t xml:space="preserve"> </w:t>
      </w:r>
      <w:r>
        <w:t xml:space="preserve">identity, with source features, axes, scales and LDA fixed. The primary control</w:t>
      </w:r>
      <w:r>
        <w:t xml:space="preserve"> </w:t>
      </w:r>
      <w:r>
        <w:t xml:space="preserve">recomputed classwise chronological halves after every phase. A separate</w:t>
      </w:r>
      <w:r>
        <w:t xml:space="preserve"> </w:t>
      </w:r>
      <w:r>
        <w:t xml:space="preserve">sensitivity retained the original half indices while rotating labels.</w:t>
      </w:r>
      <w:r>
        <w:t xml:space="preserve"> </w:t>
      </w:r>
      <w:r>
        <w:t xml:space="preserve">For an estimable observation, the descriptive upper-tail fraction was</w:t>
      </w:r>
      <w:r>
        <w:t xml:space="preserve"> </w:t>
      </w:r>
      <w:r>
        <w:rPr>
          <w:rStyle w:val="VerbatimChar"/>
        </w:rPr>
        <w:t xml:space="preserve">count(available control &gt;= observed) / count(available control)</w:t>
      </w:r>
      <w:r>
        <w:t xml:space="preserve">, retaining</w:t>
      </w:r>
      <w:r>
        <w:t xml:space="preserve"> </w:t>
      </w:r>
      <w:r>
        <w:t xml:space="preserve">ties and identity without a plus-one adjustment. Attempted, available,</w:t>
      </w:r>
      <w:r>
        <w:t xml:space="preserve"> </w:t>
      </w:r>
      <w:r>
        <w:t xml:space="preserve">unavailable and unique-assignment denominators were recorded explicitly.</w:t>
      </w:r>
      <w:r>
        <w:t xml:space="preserve"> </w:t>
      </w:r>
      <w:r>
        <w:t xml:space="preserve">Unverified stationarity, cyclic boundaries and cue-order dependence prevent</w:t>
      </w:r>
      <w:r>
        <w:t xml:space="preserve"> </w:t>
      </w:r>
      <w:r>
        <w:t xml:space="preserve">treating these fractions as formal permutation p values.</w:t>
      </w:r>
    </w:p>
    <w:p>
      <w:pPr>
        <w:pStyle w:val="BodyText"/>
      </w:pPr>
      <w:r>
        <w:t xml:space="preserve">For CSP run02 there were 596 support phases per half method; all 596 were</w:t>
      </w:r>
      <w:r>
        <w:t xml:space="preserve"> </w:t>
      </w:r>
      <w:r>
        <w:t xml:space="preserve">available for each of four saved control metrics—source/full-support cosine,</w:t>
      </w:r>
      <w:r>
        <w:t xml:space="preserve"> </w:t>
      </w:r>
      <w:r>
        <w:t xml:space="preserve">half-to-half cosine, vector half-contrast product and LDA half-margin product—</w:t>
      </w:r>
      <w:r>
        <w:t xml:space="preserve"> </w:t>
      </w:r>
      <w:r>
        <w:t xml:space="preserve">with zero unavailable.</w:t>
      </w:r>
      <w:r>
        <w:t xml:space="preserve"> </w:t>
      </w:r>
      <w:r>
        <w:t xml:space="preserve">For the three power candidates there were 1,788 phases per method, all available</w:t>
      </w:r>
      <w:r>
        <w:t xml:space="preserve"> </w:t>
      </w:r>
      <w:r>
        <w:t xml:space="preserve">for each of three metrics; the two methods contributed 3,576 method/phase</w:t>
      </w:r>
      <w:r>
        <w:t xml:space="preserve"> </w:t>
      </w:r>
      <w:r>
        <w:t xml:space="preserve">evaluations. Phase counts do not add participants. No sign flip, candidate,</w:t>
      </w:r>
      <w:r>
        <w:t xml:space="preserve"> </w:t>
      </w:r>
      <w:r>
        <w:t xml:space="preserve">confidence cutoff or adaptation threshold was selected from the results.</w:t>
      </w:r>
    </w:p>
    <w:bookmarkEnd w:id="30"/>
    <w:bookmarkEnd w:id="31"/>
    <w:bookmarkStart w:id="32" w:name="X34cf7aac01b4f9f084f9328276ef40c46c40ce7"/>
    <w:p>
      <w:pPr>
        <w:pStyle w:val="Heading1"/>
      </w:pPr>
      <w:r>
        <w:t xml:space="preserve">S6. Retained outcomes and numerical-validation scope</w:t>
      </w:r>
    </w:p>
    <w:p>
      <w:pPr>
        <w:pStyle w:val="FirstParagraph"/>
      </w:pPr>
      <w:r>
        <w:t xml:space="preserve">The neural query analysis retained 16 collapsed seed/session outcomes across</w:t>
      </w:r>
      <w:r>
        <w:t xml:space="preserve"> </w:t>
      </w:r>
      <w:r>
        <w:t xml:space="preserve">seven source-model jobs and seven participants: 14 target and two source</w:t>
      </w:r>
      <w:r>
        <w:t xml:space="preserve"> </w:t>
      </w:r>
      <w:r>
        <w:t xml:space="preserve">outcomes. The frozen CPU model retained three target-session collapses; its</w:t>
      </w:r>
      <w:r>
        <w:t xml:space="preserve"> </w:t>
      </w:r>
      <w:r>
        <w:t xml:space="preserve">two updates retained zero. These denominators differ and their raw counts are</w:t>
      </w:r>
      <w:r>
        <w:t xml:space="preserve"> </w:t>
      </w:r>
      <w:r>
        <w:t xml:space="preserve">not a matched statistical comparison. All participant decreases and all three</w:t>
      </w:r>
      <w:r>
        <w:t xml:space="preserve"> </w:t>
      </w:r>
      <w:r>
        <w:t xml:space="preserve">neural seeds stayed in the aggregates. The five collapsed source-validation</w:t>
      </w:r>
      <w:r>
        <w:t xml:space="preserve"> </w:t>
      </w:r>
      <w:r>
        <w:t xml:space="preserve">fits and eleven 100-epoch terminations also remained in the source records.</w:t>
      </w:r>
    </w:p>
    <w:p>
      <w:pPr>
        <w:pStyle w:val="BodyText"/>
      </w:pPr>
      <w:r>
        <w:t xml:space="preserve">CSP run02’s observed source twofold mean BA was 62.9167% [52.5, 71.6667]; the</w:t>
      </w:r>
      <w:r>
        <w:t xml:space="preserve"> </w:t>
      </w:r>
      <w:r>
        <w:t xml:space="preserve">participant mean of five support half-cosines was 0.295325 [0.032041, 0.573003].</w:t>
      </w:r>
      <w:r>
        <w:t xml:space="preserve"> </w:t>
      </w:r>
      <w:r>
        <w:t xml:space="preserve">Among 30 support sessions, signed score half-margins were both positive in 19,</w:t>
      </w:r>
      <w:r>
        <w:t xml:space="preserve"> </w:t>
      </w:r>
      <w:r>
        <w:t xml:space="preserve">both negative in two and opposite in nine; five sessions had frozen-score</w:t>
      </w:r>
      <w:r>
        <w:t xml:space="preserve"> </w:t>
      </w:r>
      <w:r>
        <w:t xml:space="preserve">class collapse. These are calibration-pool measurements, not independent</w:t>
      </w:r>
      <w:r>
        <w:t xml:space="preserve"> </w:t>
      </w:r>
      <w:r>
        <w:t xml:space="preserve">target-query performance of an adaptation rule.</w:t>
      </w:r>
    </w:p>
    <w:p>
      <w:pPr>
        <w:pStyle w:val="BodyText"/>
      </w:pPr>
      <w:r>
        <w:t xml:space="preserve">The completed CSP measurement retained the original scientific definition. Its</w:t>
      </w:r>
      <w:r>
        <w:t xml:space="preserve"> </w:t>
      </w:r>
      <w:r>
        <w:t xml:space="preserve">saved-feature numerical check reconstructed 629,137 arithmetic fields with</w:t>
      </w:r>
      <w:r>
        <w:t xml:space="preserve"> </w:t>
      </w:r>
      <w:r>
        <w:t xml:space="preserve">maximum difference zero; it did not independently recompute EEG projections or</w:t>
      </w:r>
      <w:r>
        <w:t xml:space="preserve"> </w:t>
      </w:r>
      <w:r>
        <w:t xml:space="preserve">refit estimators. Earlier incomplete or differently specified diagnostics are</w:t>
      </w:r>
      <w:r>
        <w:t xml:space="preserve"> </w:t>
      </w:r>
      <w:r>
        <w:t xml:space="preserve">not pooled with these measurements. Their original files and failures remain in</w:t>
      </w:r>
      <w:r>
        <w:t xml:space="preserve"> </w:t>
      </w:r>
      <w:r>
        <w:t xml:space="preserve">the separate audit history rather than being rewritten as successful attempts.</w:t>
      </w:r>
    </w:p>
    <w:bookmarkEnd w:id="32"/>
    <w:bookmarkStart w:id="33" w:name="Xa30c631834ef932deb52ae78cc5af874ca8e748"/>
    <w:p>
      <w:pPr>
        <w:pStyle w:val="Heading1"/>
      </w:pPr>
      <w:r>
        <w:t xml:space="preserve">S7. Exported cue windows and unresolved within-trial task phases</w:t>
      </w:r>
    </w:p>
    <w:p>
      <w:pPr>
        <w:pStyle w:val="FirstParagraph"/>
      </w:pPr>
      <w:r>
        <w:t xml:space="preserve">The released intervals are</w:t>
      </w:r>
      <w:r>
        <w:t xml:space="preserve"> </w:t>
      </w:r>
      <w:r>
        <w:rPr>
          <w:b/>
          <w:bCs/>
        </w:rPr>
        <w:t xml:space="preserve">cue-anchored exported task-label windows</w:t>
      </w:r>
      <w:r>
        <w:t xml:space="preserve">, rather</w:t>
      </w:r>
      <w:r>
        <w:t xml:space="preserve"> </w:t>
      </w:r>
      <w:r>
        <w:t xml:space="preserve">than five seconds certified to contain uninterrupted motor imagery. Three</w:t>
      </w:r>
      <w:r>
        <w:t xml:space="preserve"> </w:t>
      </w:r>
      <w:r>
        <w:t xml:space="preserve">questions are distinct: whether all samples of an interval are available,</w:t>
      </w:r>
      <w:r>
        <w:t xml:space="preserve"> </w:t>
      </w:r>
      <w:r>
        <w:t xml:space="preserve">whether its start corresponds to the intended marker, and whether its complete</w:t>
      </w:r>
      <w:r>
        <w:t xml:space="preserve"> </w:t>
      </w:r>
      <w:r>
        <w:t xml:space="preserve">span lies within active imagery or feedback. The first is established for the</w:t>
      </w:r>
      <w:r>
        <w:t xml:space="preserve"> </w:t>
      </w:r>
      <w:r>
        <w:t xml:space="preserve">7,156 included intervals. The documented cue convention supports the second at</w:t>
      </w:r>
      <w:r>
        <w:t xml:space="preserve"> </w:t>
      </w:r>
      <w:r>
        <w:t xml:space="preserve">the derivative/export level. The third remains unresolved at trial level.</w:t>
      </w:r>
    </w:p>
    <w:p>
      <w:pPr>
        <w:pStyle w:val="BodyText"/>
      </w:pPr>
      <w:r>
        <w:t xml:space="preserve">The original authors’ codebook distinguishes class cue markers 769/770 from</w:t>
      </w:r>
      <w:r>
        <w:t xml:space="preserve"> </w:t>
      </w:r>
      <w:r>
        <w:t xml:space="preserve">subsequent task-start markers 7691/7701</w:t>
      </w:r>
      <w:r>
        <w:t xml:space="preserve"> </w:t>
      </w:r>
      <w:r>
        <w:t xml:space="preserve">[</w:t>
      </w:r>
      <w:hyperlink w:anchor="ref-kumarcodebook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The preserved official</w:t>
      </w:r>
      <w:r>
        <w:t xml:space="preserve"> </w:t>
      </w:r>
      <w:r>
        <w:t xml:space="preserve">MOABB Kumar adapter maps the former pair to left/right hand and declares an</w:t>
      </w:r>
      <w:r>
        <w:t xml:space="preserve"> </w:t>
      </w:r>
      <w:r>
        <w:t xml:space="preserve">interval of [0,5] seconds. NEMAR identifies MOABB conversion and preserves</w:t>
      </w:r>
      <w:r>
        <w:t xml:space="preserve"> </w:t>
      </w:r>
      <w:r>
        <w:t xml:space="preserve">corresponding onset/sample/class rows. Its metadata reports MOABB</w:t>
      </w:r>
      <w:r>
        <w:t xml:space="preserve"> </w:t>
      </w:r>
      <w:r>
        <w:rPr>
          <w:rStyle w:val="VerbatimChar"/>
        </w:rPr>
        <w:t xml:space="preserve">1.5.0dev0</w:t>
      </w:r>
      <w:r>
        <w:t xml:space="preserve">,</w:t>
      </w:r>
      <w:r>
        <w:t xml:space="preserve"> </w:t>
      </w:r>
      <w:r>
        <w:t xml:space="preserve">but the exact historical converter commit/options and original GDF marker</w:t>
      </w:r>
      <w:r>
        <w:t xml:space="preserve"> </w:t>
      </w:r>
      <w:r>
        <w:t xml:space="preserve">arrays have not been independently replayed. A current adapter is evidence of</w:t>
      </w:r>
      <w:r>
        <w:t xml:space="preserve"> </w:t>
      </w:r>
      <w:r>
        <w:t xml:space="preserve">the documented convention, not proof of every historical conversion operation.</w:t>
      </w:r>
    </w:p>
    <w:p>
      <w:pPr>
        <w:pStyle w:val="BodyText"/>
      </w:pPr>
      <w:r>
        <w:t xml:space="preserve">The original Methods describe one-second fixation, a 1.5-second class cue,</w:t>
      </w:r>
      <w:r>
        <w:t xml:space="preserve"> </w:t>
      </w:r>
      <w:r>
        <w:t xml:space="preserve">then a five-second offline task period or online feedback lasting at most seven</w:t>
      </w:r>
      <w:r>
        <w:t xml:space="preserve"> </w:t>
      </w:r>
      <w:r>
        <w:t xml:space="preserve">seconds; a two-second result display and 1.5-second rest follow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Online evidence-threshold crossing or timeout can terminate the active period.</w:t>
      </w:r>
      <w:r>
        <w:t xml:space="preserve"> </w:t>
      </w:r>
      <w:r>
        <w:t xml:space="preserve">Consequently, a nominal five-second interval beginning at the class cue</w:t>
      </w:r>
      <w:r>
        <w:t xml:space="preserve"> </w:t>
      </w:r>
      <w:r>
        <w:t xml:space="preserve">contains cue presentation and at most the following 3.5 seconds of the task</w:t>
      </w:r>
      <w:r>
        <w:t xml:space="preserve"> </w:t>
      </w:r>
      <w:r>
        <w:t xml:space="preserve">phase, assuming the described phase schedule. Earlier online termination may</w:t>
      </w:r>
      <w:r>
        <w:t xml:space="preserve"> </w:t>
      </w:r>
      <w:r>
        <w:t xml:space="preserve">introduce post-termination signal, but its presence and duration cannot be</w:t>
      </w:r>
      <w:r>
        <w:t xml:space="preserve"> </w:t>
      </w:r>
      <w:r>
        <w:t xml:space="preserve">assigned to individual intervals from the retained labels. We do not claim that</w:t>
      </w:r>
      <w:r>
        <w:t xml:space="preserve"> </w:t>
      </w:r>
      <w:r>
        <w:t xml:space="preserve">every online interval includes result display or rest.</w:t>
      </w:r>
    </w:p>
    <w:p>
      <w:pPr>
        <w:pStyle w:val="BodyText"/>
      </w:pPr>
      <w:r>
        <w:t xml:space="preserve">The source codebook describes 32766 as recording boundary triggers and 1000 as</w:t>
      </w:r>
      <w:r>
        <w:t xml:space="preserve"> </w:t>
      </w:r>
      <w:r>
        <w:t xml:space="preserve">trial/rest start. For 7692/7702 it describes offline trial end and online</w:t>
      </w:r>
      <w:r>
        <w:t xml:space="preserve"> </w:t>
      </w:r>
      <w:r>
        <w:t xml:space="preserve">timeout/incorrect-hit events. The online 7693/7703 description is literally</w:t>
      </w:r>
      <w:r>
        <w:t xml:space="preserve"> </w:t>
      </w:r>
      <w:r>
        <w:t xml:space="preserve">“</w:t>
      </w:r>
      <w:r>
        <w:t xml:space="preserve">Cue Left/Right Delivered</w:t>
      </w:r>
      <w:r>
        <w:t xml:space="preserve">”</w:t>
      </w:r>
      <w:r>
        <w:t xml:space="preserve">; we do not silently reinterpret it as a correct hit.</w:t>
      </w:r>
      <w:r>
        <w:t xml:space="preserve"> </w:t>
      </w:r>
      <w:r>
        <w:t xml:space="preserve">The authors’ versioned task-bounded extraction function starts at 7691/7701</w:t>
      </w:r>
      <w:r>
        <w:t xml:space="preserve"> </w:t>
      </w:r>
      <w:r>
        <w:t xml:space="preserve">and terminates at the subsequent 7692/7702 or 7693/7703. This supports the</w:t>
      </w:r>
      <w:r>
        <w:t xml:space="preserve"> </w:t>
      </w:r>
      <w:r>
        <w:t xml:space="preserve">distinction between their task-period markers and the class-cue export, without</w:t>
      </w:r>
      <w:r>
        <w:t xml:space="preserve"> </w:t>
      </w:r>
      <w:r>
        <w:t xml:space="preserve">equating either annotation convention with evidence of sustained imagery physiology.</w:t>
      </w:r>
    </w:p>
    <w:p>
      <w:pPr>
        <w:pStyle w:val="BodyText"/>
      </w:pPr>
      <w:r>
        <w:t xml:space="preserve">The 360 saved event tables contain</w:t>
      </w:r>
      <w:r>
        <w:t xml:space="preserve"> </w:t>
      </w:r>
      <w:r>
        <w:rPr>
          <w:rStyle w:val="VerbatimChar"/>
        </w:rPr>
        <w:t xml:space="preserve">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, but not the complete within-trial marker sequence. Each of the 44</w:t>
      </w:r>
      <w:r>
        <w:t xml:space="preserve"> </w:t>
      </w:r>
      <w:r>
        <w:t xml:space="preserve">partial intervals is the twentieth and final retained class event of an online</w:t>
      </w:r>
      <w:r>
        <w:t xml:space="preserve"> </w:t>
      </w:r>
      <w:r>
        <w:t xml:space="preserve">recording and ends at its previously audited EDF sample boundary. Their</w:t>
      </w:r>
      <w:r>
        <w:t xml:space="preserve"> </w:t>
      </w:r>
      <w:r>
        <w:t xml:space="preserve">identities, lengths and exclusion reasons remain unchanged. This demonstrates</w:t>
      </w:r>
      <w:r>
        <w:t xml:space="preserve"> </w:t>
      </w:r>
      <w:r>
        <w:t xml:space="preserve">recording-boundary truncation of the stored interval,</w:t>
      </w:r>
      <w:r>
        <w:t xml:space="preserve"> </w:t>
      </w:r>
      <w:r>
        <w:rPr>
          <w:b/>
          <w:bCs/>
        </w:rPr>
        <w:t xml:space="preserve">not 44 verified early</w:t>
      </w:r>
      <w:r>
        <w:rPr>
          <w:b/>
          <w:bCs/>
        </w:rPr>
        <w:t xml:space="preserve"> </w:t>
      </w:r>
      <w:r>
        <w:rPr>
          <w:b/>
          <w:bCs/>
        </w:rPr>
        <w:t xml:space="preserve">task terminations</w:t>
      </w:r>
      <w:r>
        <w:t xml:space="preserve">, and does not by itself establish an indexing error. No</w:t>
      </w:r>
      <w:r>
        <w:t xml:space="preserve"> </w:t>
      </w:r>
      <w:r>
        <w:t xml:space="preserve">retained interval overlaps the next retained class-event onset; absence of</w:t>
      </w:r>
      <w:r>
        <w:t xml:space="preserve"> </w:t>
      </w:r>
      <w:r>
        <w:t xml:space="preserve">this overlap still cannot demonstrate continuous imagery within a window.</w:t>
      </w:r>
    </w:p>
    <w:p>
      <w:pPr>
        <w:pStyle w:val="BodyText"/>
      </w:pPr>
      <w:r>
        <w:t xml:space="preserve">The minimum evidence for a future phase-specific amendment is the original</w:t>
      </w:r>
      <w:r>
        <w:t xml:space="preserve"> </w:t>
      </w:r>
      <w:r>
        <w:t xml:space="preserve">bar-task</w:t>
      </w:r>
      <w:r>
        <w:t xml:space="preserve"> </w:t>
      </w:r>
      <w:r>
        <w:rPr>
          <w:rStyle w:val="VerbatimChar"/>
        </w:rPr>
        <w:t xml:space="preserve">POS</w:t>
      </w:r>
      <w:r>
        <w:t xml:space="preserve">/</w:t>
      </w:r>
      <w:r>
        <w:rPr>
          <w:rStyle w:val="VerbatimChar"/>
        </w:rPr>
        <w:t xml:space="preserve">TYP</w:t>
      </w:r>
      <w:r>
        <w:t xml:space="preserve"> </w:t>
      </w:r>
      <w:r>
        <w:t xml:space="preserve">marker arrays for all 360 runs, their sample rate and</w:t>
      </w:r>
      <w:r>
        <w:t xml:space="preserve"> </w:t>
      </w:r>
      <w:r>
        <w:t xml:space="preserve">sample-origin convention, and a pinned converter or maintainer-confirmed</w:t>
      </w:r>
      <w:r>
        <w:t xml:space="preserve"> </w:t>
      </w:r>
      <w:r>
        <w:t xml:space="preserve">mapping to the current trial IDs. Cue, task start, outcome/task end and</w:t>
      </w:r>
      <w:r>
        <w:t xml:space="preserve"> </w:t>
      </w:r>
      <w:r>
        <w:t xml:space="preserve">recording boundaries must be matched without consulting decoding outcomes.</w:t>
      </w:r>
      <w:r>
        <w:t xml:space="preserve"> </w:t>
      </w:r>
      <w:r>
        <w:t xml:space="preserve">Before any new evaluation, an amendment would need to specify one anchor and</w:t>
      </w:r>
      <w:r>
        <w:t xml:space="preserve"> </w:t>
      </w:r>
      <w:r>
        <w:t xml:space="preserve">duration, handling of early ends and altered support/query budgets. Existing</w:t>
      </w:r>
      <w:r>
        <w:t xml:space="preserve"> </w:t>
      </w:r>
      <w:r>
        <w:t xml:space="preserve">cue-window predictions and models would remain the original analysis; they</w:t>
      </w:r>
      <w:r>
        <w:t xml:space="preserve"> </w:t>
      </w:r>
      <w:r>
        <w:t xml:space="preserve">cannot be relabeled as task-only models. No re-epoching, new fit or inference</w:t>
      </w:r>
      <w:r>
        <w:t xml:space="preserve"> </w:t>
      </w:r>
      <w:r>
        <w:t xml:space="preserve">was performed here. The correction to the original paper changes reported CSP</w:t>
      </w:r>
      <w:r>
        <w:t xml:space="preserve"> </w:t>
      </w:r>
      <w:r>
        <w:t xml:space="preserve">numbers, not these marker definitions</w:t>
      </w:r>
      <w:r>
        <w:t xml:space="preserve"> </w:t>
      </w:r>
      <w:r>
        <w:t xml:space="preserve">[</w:t>
      </w:r>
      <w:hyperlink w:anchor="ref-kumar2024correction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Relevant original Methods were read as accessible indexed full-text passages</w:t>
      </w:r>
      <w:r>
        <w:t xml:space="preserve"> </w:t>
      </w:r>
      <w:r>
        <w:t xml:space="preserve">from the publisher and PMC; the complete original XML could not be downloaded.</w:t>
      </w:r>
      <w:r>
        <w:t xml:space="preserve"> </w:t>
      </w:r>
      <w:r>
        <w:t xml:space="preserve">The complete author codebook, task-bounded extraction source and previously</w:t>
      </w:r>
      <w:r>
        <w:t xml:space="preserve"> </w:t>
      </w:r>
      <w:r>
        <w:t xml:space="preserve">saved correction XML were read. The original Methods identify UT Austin</w:t>
      </w:r>
      <w:r>
        <w:t xml:space="preserve"> </w:t>
      </w:r>
      <w:r>
        <w:t xml:space="preserve">protocol 2020-03-0073 and written informed consent. These are the original</w:t>
      </w:r>
      <w:r>
        <w:t xml:space="preserve"> </w:t>
      </w:r>
      <w:r>
        <w:t xml:space="preserve">study’s statements only. The author’s institutional determination for the</w:t>
      </w:r>
      <w:r>
        <w:t xml:space="preserve"> </w:t>
      </w:r>
      <w:r>
        <w:t xml:space="preserve">present secondary analysis remains unresolved; no approval, exemption or</w:t>
      </w:r>
      <w:r>
        <w:t xml:space="preserve"> </w:t>
      </w:r>
      <w:r>
        <w:t xml:space="preserve">no-review conclusion is inferred from public availability.</w:t>
      </w:r>
    </w:p>
    <w:bookmarkEnd w:id="33"/>
    <w:bookmarkStart w:id="37" w:name="Xdf4172530d2e876111186ce84047ae2b6ab4b8f"/>
    <w:p>
      <w:pPr>
        <w:pStyle w:val="Heading1"/>
      </w:pPr>
      <w:r>
        <w:t xml:space="preserve">S8. Exploratory decoding sensitivity to the fixed amplitude-QC flag</w:t>
      </w:r>
    </w:p>
    <w:bookmarkStart w:id="34" w:name="X3988381b6fe6c74e61dea83f36e553eae26106c"/>
    <w:p>
      <w:pPr>
        <w:pStyle w:val="Heading2"/>
      </w:pPr>
      <w:r>
        <w:t xml:space="preserve">S8.1. Status, input rules and exact identity joins</w:t>
      </w:r>
    </w:p>
    <w:p>
      <w:pPr>
        <w:pStyle w:val="FirstParagraph"/>
      </w:pPr>
      <w:r>
        <w:t xml:space="preserve">The sensitivity was requested and its protocol recorded</w:t>
      </w:r>
      <w:r>
        <w:t xml:space="preserve"> </w:t>
      </w:r>
      <w:r>
        <w:rPr>
          <w:b/>
          <w:bCs/>
        </w:rPr>
        <w:t xml:space="preserve">after the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results had been observed</w:t>
      </w:r>
      <w:r>
        <w:t xml:space="preserve">, but before computing these new summaries. It is</w:t>
      </w:r>
      <w:r>
        <w:t xml:space="preserve"> </w:t>
      </w:r>
      <w:r>
        <w:t xml:space="preserve">not preregistration, an amendment to the primary endpoint, artifact correction</w:t>
      </w:r>
      <w:r>
        <w:t xml:space="preserve"> </w:t>
      </w:r>
      <w:r>
        <w:t xml:space="preserve">or an untouched test. The original main results and 44 incomplete-window</w:t>
      </w:r>
      <w:r>
        <w:t xml:space="preserve"> </w:t>
      </w:r>
      <w:r>
        <w:t xml:space="preserve">exclusions, including 30 incomplete query identities, were preserved.</w:t>
      </w:r>
    </w:p>
    <w:p>
      <w:pPr>
        <w:pStyle w:val="BodyText"/>
      </w:pPr>
      <w:r>
        <w:t xml:space="preserve">Only saved predictions, the existing Boolean</w:t>
      </w:r>
      <w:r>
        <w:t xml:space="preserve"> </w:t>
      </w:r>
      <w:r>
        <w:rPr>
          <w:rStyle w:val="VerbatimChar"/>
        </w:rPr>
        <w:t xml:space="preserve">qc_peak_to_peak_over_250uv</w:t>
      </w:r>
      <w:r>
        <w:t xml:space="preserve"> </w:t>
      </w:r>
      <w:r>
        <w:t xml:space="preserve">flag and frozen text metadata were used. The flag</w:t>
      </w:r>
      <w:r>
        <w:t xml:space="preserve"> </w:t>
      </w:r>
      <w:r>
        <w:t xml:space="preserve">was checked against the saved maximum raw channel peak-to-peak amplitude and</w:t>
      </w:r>
      <w:r>
        <w:t xml:space="preserve"> </w:t>
      </w:r>
      <w:r>
        <w:t xml:space="preserve">the fixed strict threshold</w:t>
      </w:r>
      <w:r>
        <w:t xml:space="preserve"> </w:t>
      </w:r>
      <w:r>
        <w:rPr>
          <w:rStyle w:val="VerbatimChar"/>
        </w:rPr>
        <w:t xml:space="preserve">&gt;0.00025 V</w:t>
      </w:r>
      <w:r>
        <w:t xml:space="preserve"> </w:t>
      </w:r>
      <w:r>
        <w:t xml:space="preserve">in any channel. The threshold was not</w:t>
      </w:r>
      <w:r>
        <w:t xml:space="preserve"> </w:t>
      </w:r>
      <w:r>
        <w:t xml:space="preserve">changed or selected by performance. Partial-window QC entries can be null and</w:t>
      </w:r>
      <w:r>
        <w:t xml:space="preserve"> </w:t>
      </w:r>
      <w:r>
        <w:t xml:space="preserve">are never silently interpreted as unflagged complete examples. The original</w:t>
      </w:r>
      <w:r>
        <w:t xml:space="preserve"> </w:t>
      </w:r>
      <w:r>
        <w:t xml:space="preserve">1,512 flagged complete windows comprised 76/720 source TRAIN, 36/360 source</w:t>
      </w:r>
      <w:r>
        <w:t xml:space="preserve"> </w:t>
      </w:r>
      <w:r>
        <w:t xml:space="preserve">validation, 36/360 source query, 478/1,786 target support and 886/3,930 target</w:t>
      </w:r>
      <w:r>
        <w:t xml:space="preserve"> </w:t>
      </w:r>
      <w:r>
        <w:t xml:space="preserve">query windows. Thus 922/4,290 unique included queries were flagged and 3,368 were</w:t>
      </w:r>
      <w:r>
        <w:t xml:space="preserve"> </w:t>
      </w:r>
      <w:r>
        <w:t xml:space="preserve">unflagged. Flagging is not expert artifact certification; unflagged does not</w:t>
      </w:r>
      <w:r>
        <w:t xml:space="preserve"> </w:t>
      </w:r>
      <w:r>
        <w:t xml:space="preserve">mean artifact-free.</w:t>
      </w:r>
    </w:p>
    <w:p>
      <w:pPr>
        <w:pStyle w:val="BodyText"/>
      </w:pPr>
      <w:r>
        <w:t xml:space="preserve">Each saved prediction was joined by exact</w:t>
      </w:r>
      <w:r>
        <w:t xml:space="preserve"> </w:t>
      </w:r>
      <w:r>
        <w:rPr>
          <w:rStyle w:val="VerbatimChar"/>
        </w:rPr>
        <w:t xml:space="preserve">trial_id</w:t>
      </w:r>
      <w:r>
        <w:t xml:space="preserve"> </w:t>
      </w:r>
      <w:r>
        <w:t xml:space="preserve">with unique, consistent</w:t>
      </w:r>
      <w:r>
        <w:t xml:space="preserve"> </w:t>
      </w:r>
      <w:r>
        <w:t xml:space="preserve">participant/session/run/role, original label, inclusion and QC values. Every</w:t>
      </w:r>
      <w:r>
        <w:t xml:space="preserve"> </w:t>
      </w:r>
      <w:r>
        <w:t xml:space="preserve">complete query required all three CPU methods and all three fixed EEGNet</w:t>
      </w:r>
      <w:r>
        <w:t xml:space="preserve"> </w:t>
      </w:r>
      <w:r>
        <w:t xml:space="preserve">seeds. Unexpected, missing, repeated or inconsistent identities caused failure</w:t>
      </w:r>
      <w:r>
        <w:t xml:space="preserve"> </w:t>
      </w:r>
      <w:r>
        <w:t xml:space="preserve">rather than partial scoring. The join comprised 25,740 stored predictions for</w:t>
      </w:r>
      <w:r>
        <w:t xml:space="preserve"> </w:t>
      </w:r>
      <w:r>
        <w:t xml:space="preserve">4,290 complete queries in 108 participant/method/seed groups. A separate</w:t>
      </w:r>
      <w:r>
        <w:t xml:space="preserve"> </w:t>
      </w:r>
      <w:r>
        <w:t xml:space="preserve">4,320-row query ledger retained the 30 incomplete identities and their original</w:t>
      </w:r>
      <w:r>
        <w:t xml:space="preserve"> </w:t>
      </w:r>
      <w:r>
        <w:t xml:space="preserve">exclusion reasons. All 144 reconstructed original participant endpoint values</w:t>
      </w:r>
      <w:r>
        <w:t xml:space="preserve"> </w:t>
      </w:r>
      <w:r>
        <w:t xml:space="preserve">matched the corresponding saved values exactly.</w:t>
      </w:r>
    </w:p>
    <w:bookmarkEnd w:id="34"/>
    <w:bookmarkStart w:id="35" w:name="s8.2.-class-eligibility-and-aggregation"/>
    <w:p>
      <w:pPr>
        <w:pStyle w:val="Heading2"/>
      </w:pPr>
      <w:r>
        <w:t xml:space="preserve">S8.2. Class eligibility and aggregation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all_included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unflagged</w:t>
      </w:r>
      <w:r>
        <w:t xml:space="preserve"> </w:t>
      </w:r>
      <w:r>
        <w:t xml:space="preserve">subsets retain rows for each participant,</w:t>
      </w:r>
      <w:r>
        <w:t xml:space="preserve"> </w:t>
      </w:r>
      <w:r>
        <w:t xml:space="preserve">method, seed and each of six sessions, plus separately labeled target-pooled</w:t>
      </w:r>
      <w:r>
        <w:t xml:space="preserve"> </w:t>
      </w:r>
      <w:r>
        <w:t xml:space="preserve">and all-query-pooled scopes. Counts include true left/right, predicted</w:t>
      </w:r>
      <w:r>
        <w:t xml:space="preserve"> </w:t>
      </w:r>
      <w:r>
        <w:t xml:space="preserve">left/right, all confusion cells and single-class prediction flags. Empty and</w:t>
      </w:r>
      <w:r>
        <w:t xml:space="preserve"> </w:t>
      </w:r>
      <w:r>
        <w:t xml:space="preserve">single-true-class groups remain present with undefined BA and an explicit</w:t>
      </w:r>
      <w:r>
        <w:t xml:space="preserve"> </w:t>
      </w:r>
      <w:r>
        <w:t xml:space="preserve">reason; unavailable values are not set to zero or chance.</w:t>
      </w:r>
    </w:p>
    <w:p>
      <w:pPr>
        <w:pStyle w:val="BodyText"/>
      </w:pPr>
      <w:r>
        <w:t xml:space="preserve">Mathematical BA requires at least one example of each true class. A group with</w:t>
      </w:r>
      <w:r>
        <w:t xml:space="preserve"> </w:t>
      </w:r>
      <w:r>
        <w:t xml:space="preserve">fewer than five examples in either class is flagged as low-count descriptive</w:t>
      </w:r>
      <w:r>
        <w:t xml:space="preserve"> </w:t>
      </w:r>
      <w:r>
        <w:t xml:space="preserve">data but is not deleted by a new minimum-count rule. A group containing both</w:t>
      </w:r>
      <w:r>
        <w:t xml:space="preserve"> </w:t>
      </w:r>
      <w:r>
        <w:t xml:space="preserve">true classes can have model class collapse; a zero-query group has no defined</w:t>
      </w:r>
      <w:r>
        <w:t xml:space="preserve"> </w:t>
      </w:r>
      <w:r>
        <w:t xml:space="preserve">collapse assessment. EEGNet BA is computed separately for every seed and then</w:t>
      </w:r>
      <w:r>
        <w:t xml:space="preserve"> </w:t>
      </w:r>
      <w:r>
        <w:t xml:space="preserve">averaged over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within participant/session. Counts represent unique</w:t>
      </w:r>
      <w:r>
        <w:t xml:space="preserve"> </w:t>
      </w:r>
      <w:r>
        <w:t xml:space="preserve">query identities, not trials multiplied by seeds, and no voting ensemble is</w:t>
      </w:r>
      <w:r>
        <w:t xml:space="preserve"> </w:t>
      </w:r>
      <w:r>
        <w:t xml:space="preserve">constructed.</w:t>
      </w:r>
    </w:p>
    <w:p>
      <w:pPr>
        <w:pStyle w:val="BodyText"/>
      </w:pPr>
      <w:r>
        <w:t xml:space="preserve">The target endpoint requires all five target-session BAs and gives each equal</w:t>
      </w:r>
      <w:r>
        <w:t xml:space="preserve"> </w:t>
      </w:r>
      <w:r>
        <w:t xml:space="preserve">weight. If any target session is undefined, that participant’s equal-session</w:t>
      </w:r>
      <w:r>
        <w:t xml:space="preserve"> </w:t>
      </w:r>
      <w:r>
        <w:t xml:space="preserve">endpoint is undefined; fewer sessions are never silently averaged. Cohort means</w:t>
      </w:r>
      <w:r>
        <w:t xml:space="preserve"> </w:t>
      </w:r>
      <w:r>
        <w:t xml:space="preserve">use the explicitly listed eligible participants. Source, target-pooled and</w:t>
      </w:r>
      <w:r>
        <w:t xml:space="preserve"> </w:t>
      </w:r>
      <w:r>
        <w:t xml:space="preserve">all-query-pooled endpoints have their own eligibility counts and cannot replace</w:t>
      </w:r>
      <w:r>
        <w:t xml:space="preserve"> </w:t>
      </w:r>
      <w:r>
        <w:t xml:space="preserve">the primary equal-session endpoint. Development 6, remaining 12 and secondary</w:t>
      </w:r>
      <w:r>
        <w:t xml:space="preserve"> </w:t>
      </w:r>
      <w:r>
        <w:t xml:space="preserve">all 18 remain separate.</w:t>
      </w:r>
    </w:p>
    <w:p>
      <w:pPr>
        <w:pStyle w:val="BodyText"/>
      </w:pPr>
      <w:r>
        <w:t xml:space="preserve">Two remaining-cohort identities lose their unflagged five-session endpoint for</w:t>
      </w:r>
      <w:r>
        <w:t xml:space="preserve"> </w:t>
      </w:r>
      <w:r>
        <w:t xml:space="preserve">all four methods. Sub-8 has no unflagged queries in ses-3 or ses-4 and only 28</w:t>
      </w:r>
      <w:r>
        <w:t xml:space="preserve"> </w:t>
      </w:r>
      <w:r>
        <w:t xml:space="preserve">across target sessions (16 left/12 right); its source query retains one left</w:t>
      </w:r>
      <w:r>
        <w:t xml:space="preserve"> </w:t>
      </w:r>
      <w:r>
        <w:t xml:space="preserve">and zero right events, so source BA is also undefined. Sub-12 retains four</w:t>
      </w:r>
      <w:r>
        <w:t xml:space="preserve"> </w:t>
      </w:r>
      <w:r>
        <w:t xml:space="preserve">target events, all left-hand, distributed 1/1/2/0/0 across the five sessions.</w:t>
      </w:r>
      <w:r>
        <w:t xml:space="preserve"> </w:t>
      </w:r>
      <w:r>
        <w:t xml:space="preserve">Every target session is missing the other class. Other low-count sessions</w:t>
      </w:r>
      <w:r>
        <w:t xml:space="preserve"> </w:t>
      </w:r>
      <w:r>
        <w:t xml:space="preserve">remain, including sub-8/ses-2 and sub-11/ses-2 (each 2 left/1 right), and</w:t>
      </w:r>
      <w:r>
        <w:t xml:space="preserve"> </w:t>
      </w:r>
      <w:r>
        <w:t xml:space="preserve">sub-5/ses-5 (3 left/12 right). Unflagged equal-session summaries therefore</w:t>
      </w:r>
      <w:r>
        <w:t xml:space="preserve"> </w:t>
      </w:r>
      <w:r>
        <w:t xml:space="preserve">include 6/6 development and 10/12 remaining participants. The eligible remaining</w:t>
      </w:r>
      <w:r>
        <w:t xml:space="preserve"> </w:t>
      </w:r>
      <w:r>
        <w:t xml:space="preserve">IDs are sub-2, 3, 5, 6, 9, 11, 14, 15, 17 and 18; sub-8 and 12 remain in all</w:t>
      </w:r>
      <w:r>
        <w:t xml:space="preserve"> </w:t>
      </w:r>
      <w:r>
        <w:t xml:space="preserve">eligibility and missing-class tables.</w:t>
      </w:r>
    </w:p>
    <w:bookmarkEnd w:id="35"/>
    <w:bookmarkStart w:id="36" w:name="Xe17ad25c12e3bca51b381460113dd91502a7921"/>
    <w:p>
      <w:pPr>
        <w:pStyle w:val="Heading2"/>
      </w:pPr>
      <w:r>
        <w:t xml:space="preserve">S8.3. Paired sensitivities, same-participant comparisons and influence</w:t>
      </w:r>
    </w:p>
    <w:p>
      <w:pPr>
        <w:pStyle w:val="FirstParagraph"/>
      </w:pPr>
      <w:r>
        <w:t xml:space="preserve">The original remaining 12 full-refit minus frozen contrast stays the primary</w:t>
      </w:r>
      <w:r>
        <w:t xml:space="preserve"> </w:t>
      </w:r>
      <w:r>
        <w:t xml:space="preserve">comparison in the original analysis. Full-refit minus LDA-only stays secondary.</w:t>
      </w:r>
      <w:r>
        <w:t xml:space="preserve"> </w:t>
      </w:r>
      <w:r>
        <w:t xml:space="preserve">Their QC-restricted counterparts are</w:t>
      </w:r>
      <w:r>
        <w:t xml:space="preserve"> </w:t>
      </w:r>
      <w:r>
        <w:rPr>
          <w:b/>
          <w:bCs/>
        </w:rPr>
        <w:t xml:space="preserve">new exploratory sensitivities</w:t>
      </w:r>
      <w:r>
        <w:t xml:space="preserve">. Both</w:t>
      </w:r>
      <w:r>
        <w:t xml:space="preserve"> </w:t>
      </w:r>
      <w:r>
        <w:t xml:space="preserve">use paired participant differences and 10,000 percentile bootstrap draws with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, lexicographic participant-ID ordering and 2.5th/97.5th</w:t>
      </w:r>
      <w:r>
        <w:t xml:space="preserve"> </w:t>
      </w:r>
      <w:r>
        <w:t xml:space="preserve">percentiles. Fewer than two eligible participants yield no interval. No new</w:t>
      </w:r>
      <w:r>
        <w:t xml:space="preserve"> </w:t>
      </w:r>
      <w:r>
        <w:t xml:space="preserve">p value, formal chance test, multiplicity-adjusted claim or adaptation gate is</w:t>
      </w:r>
      <w:r>
        <w:t xml:space="preserve"> </w:t>
      </w:r>
      <w:r>
        <w:t xml:space="preserve">introduced.</w:t>
      </w:r>
    </w:p>
    <w:p>
      <w:pPr>
        <w:pStyle w:val="BodyText"/>
      </w:pPr>
      <w:r>
        <w:t xml:space="preserve">In the unflagged remaining 10, full-refit minus frozen is +5.96 percentage points</w:t>
      </w:r>
      <w:r>
        <w:t xml:space="preserve"> </w:t>
      </w:r>
      <w:r>
        <w:t xml:space="preserve">[0.99, 11.24]; full-refit minus LDA-only is +3.82 [1.11, 6.72]. The corresponding</w:t>
      </w:r>
      <w:r>
        <w:t xml:space="preserve"> </w:t>
      </w:r>
      <w:r>
        <w:t xml:space="preserve">original 12-person values remain +7.42 [2.49, 12.48] and +5.47 [2.17, 8.91].</w:t>
      </w:r>
      <w:r>
        <w:t xml:space="preserve"> </w:t>
      </w:r>
      <w:r>
        <w:t xml:space="preserve">Contrasting these two cohort means directly would mix QC and changed membership.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same 10</w:t>
      </w:r>
      <w:r>
        <w:t xml:space="preserve"> </w:t>
      </w:r>
      <w:r>
        <w:t xml:space="preserve">eligible identities, original full-minus-frozen is +6.50</w:t>
      </w:r>
      <w:r>
        <w:t xml:space="preserve"> </w:t>
      </w:r>
      <w:r>
        <w:t xml:space="preserve">and unflagged is +5.96; the paired change is −0.54 [−1.30, +0.16] points. For</w:t>
      </w:r>
      <w:r>
        <w:t xml:space="preserve"> </w:t>
      </w:r>
      <w:r>
        <w:t xml:space="preserve">full-minus-LDA-only, original is +4.53 and unflagged +3.82; the paired change is</w:t>
      </w:r>
      <w:r>
        <w:t xml:space="preserve"> </w:t>
      </w:r>
      <w:r>
        <w:t xml:space="preserve">−0.71 [−2.11, +0.42] points. These bounded checks do not support attributing</w:t>
      </w:r>
      <w:r>
        <w:t xml:space="preserve"> </w:t>
      </w:r>
      <w:r>
        <w:t xml:space="preserve">the original average improvement solely to flagged query amplitudes, but also</w:t>
      </w:r>
      <w:r>
        <w:t xml:space="preserve"> </w:t>
      </w:r>
      <w:r>
        <w:t xml:space="preserve">do not prove general artifact robustness.</w:t>
      </w:r>
    </w:p>
    <w:p>
      <w:pPr>
        <w:pStyle w:val="BodyText"/>
      </w:pPr>
      <w:r>
        <w:t xml:space="preserve">Deterministic leave-one-participant-out means are retained for both CPU</w:t>
      </w:r>
      <w:r>
        <w:t xml:space="preserve"> </w:t>
      </w:r>
      <w:r>
        <w:t xml:space="preserve">contrasts without excluding anyone by observed gain. The original full-minus-</w:t>
      </w:r>
      <w:r>
        <w:t xml:space="preserve"> </w:t>
      </w:r>
      <w:r>
        <w:t xml:space="preserve">frozen mean ranges from +6.22 to +8.62 points over the 12 omissions; the unflagged</w:t>
      </w:r>
      <w:r>
        <w:t xml:space="preserve"> </w:t>
      </w:r>
      <w:r>
        <w:t xml:space="preserve">10-person range is +4.61 to +7.24. The three original negative individual</w:t>
      </w:r>
      <w:r>
        <w:t xml:space="preserve"> </w:t>
      </w:r>
      <w:r>
        <w:t xml:space="preserve">differences are −5.82, −0.67 and −0.20 points (sub-6, 14, 15). Small negative</w:t>
      </w:r>
      <w:r>
        <w:t xml:space="preserve"> </w:t>
      </w:r>
      <w:r>
        <w:t xml:space="preserve">differences are not automatically interpreted as substantial harm or tested</w:t>
      </w:r>
      <w:r>
        <w:t xml:space="preserve"> </w:t>
      </w:r>
      <w:r>
        <w:t xml:space="preserve">individual effects. These are influence descriptions, not additional</w:t>
      </w:r>
      <w:r>
        <w:t xml:space="preserve"> </w:t>
      </w:r>
      <w:r>
        <w:t xml:space="preserve">independent participants or an exclusion rule.</w:t>
      </w:r>
    </w:p>
    <w:p>
      <w:pPr>
        <w:pStyle w:val="BodyText"/>
      </w:pPr>
      <w:r>
        <w:t xml:space="preserve">Conditioning query evaluation on amplitude changes its class/sample composition</w:t>
      </w:r>
      <w:r>
        <w:t xml:space="preserve"> </w:t>
      </w:r>
      <w:r>
        <w:t xml:space="preserve">and may select observations. The 76 flagged source TRAIN examples, 478 flagged</w:t>
      </w:r>
      <w:r>
        <w:t xml:space="preserve"> </w:t>
      </w:r>
      <w:r>
        <w:t xml:space="preserve">target support examples and 36 flagged validation examples were still used as</w:t>
      </w:r>
      <w:r>
        <w:t xml:space="preserve"> </w:t>
      </w:r>
      <w:r>
        <w:t xml:space="preserve">originally prescribed; no historical fit or checkpoint selection was cleaned</w:t>
      </w:r>
      <w:r>
        <w:t xml:space="preserve"> </w:t>
      </w:r>
      <w:r>
        <w:t xml:space="preserve">or repeated. The analysis therefore cannot remove training artifacts, resolve</w:t>
      </w:r>
      <w:r>
        <w:t xml:space="preserve"> </w:t>
      </w:r>
      <w:r>
        <w:t xml:space="preserve">task-phase uncertainty, demonstrate a reliable update rule or provide an</w:t>
      </w:r>
      <w:r>
        <w:t xml:space="preserve"> </w:t>
      </w:r>
      <w:r>
        <w:t xml:space="preserve">independent replication. All previously exposed-cohort follow-up remains</w:t>
      </w:r>
      <w:r>
        <w:t xml:space="preserve"> </w:t>
      </w:r>
      <w:r>
        <w:t xml:space="preserve">exploratory.</w:t>
      </w:r>
    </w:p>
    <w:bookmarkEnd w:id="36"/>
    <w:bookmarkEnd w:id="37"/>
    <w:bookmarkStart w:id="38" w:name="Xf752267022da57153e2b065e276673c7d395725"/>
    <w:p>
      <w:pPr>
        <w:pStyle w:val="Heading1"/>
      </w:pPr>
      <w:r>
        <w:t xml:space="preserve">S9. Saved learning histories and the weak source-only neural reference</w:t>
      </w:r>
    </w:p>
    <w:p>
      <w:pPr>
        <w:pStyle w:val="FirstParagraph"/>
      </w:pPr>
      <w:r>
        <w:t xml:space="preserve">All 54 original metadata histories supply 2,871 consecutive recorded epochs and</w:t>
      </w:r>
      <w:r>
        <w:t xml:space="preserve"> </w:t>
      </w:r>
      <w:r>
        <w:t xml:space="preserve">8,613 optimizer steps. We extracted text histories, selection metadata and</w:t>
      </w:r>
      <w:r>
        <w:t xml:space="preserve"> </w:t>
      </w:r>
      <w:r>
        <w:t xml:space="preserve">existing query metric tables; binary model members were only streamed for</w:t>
      </w:r>
      <w:r>
        <w:t xml:space="preserve"> </w:t>
      </w:r>
      <w:r>
        <w:t xml:space="preserve">integrity hashing, never deserialized. No query array or EEG was read and no</w:t>
      </w:r>
      <w:r>
        <w:t xml:space="preserve"> </w:t>
      </w:r>
      <w:r>
        <w:t xml:space="preserve">new forward pass, optimizer or fit was invoked. Complete curves are supplied</w:t>
      </w:r>
      <w:r>
        <w:t xml:space="preserve"> </w:t>
      </w:r>
      <w:r>
        <w:t xml:space="preserve">as 2,871 text rows with participant, cohort, seed, job, epoch, training CE and</w:t>
      </w:r>
      <w:r>
        <w:t xml:space="preserve"> </w:t>
      </w:r>
      <w:r>
        <w:t xml:space="preserve">validation CE; the accompanying 54-fit table retains every selected epoch and</w:t>
      </w:r>
      <w:r>
        <w:t xml:space="preserve"> </w:t>
      </w:r>
      <w:r>
        <w:t xml:space="preserve">stopping reason. Empty console logs in 37 archives were not treated as proof of</w:t>
      </w:r>
      <w:r>
        <w:t xml:space="preserve"> </w:t>
      </w:r>
      <w:r>
        <w:t xml:space="preserve">zero execution, and no missing curve was reconstructed.</w:t>
      </w:r>
    </w:p>
    <w:p>
      <w:pPr>
        <w:pStyle w:val="BodyText"/>
      </w:pPr>
      <w:r>
        <w:t xml:space="preserve">Twelve models selected epoch 1 and 11 reached 100 epochs. In the remaining 36</w:t>
      </w:r>
      <w:r>
        <w:t xml:space="preserve"> </w:t>
      </w:r>
      <w:r>
        <w:t xml:space="preserve">fits, the corresponding counts are 8 and 10; median executed and selected</w:t>
      </w:r>
      <w:r>
        <w:t xml:space="preserve"> </w:t>
      </w:r>
      <w:r>
        <w:t xml:space="preserve">epochs are 29.5 and 14.5. Final training CE is below its first value in 53/54</w:t>
      </w:r>
      <w:r>
        <w:t xml:space="preserve"> </w:t>
      </w:r>
      <w:r>
        <w:t xml:space="preserve">models (35/36 remaining), whereas final validation CE is above its first value</w:t>
      </w:r>
      <w:r>
        <w:t xml:space="preserve"> </w:t>
      </w:r>
      <w:r>
        <w:t xml:space="preserve">in 29/54 (19/36 remaining). Remaining-cohort medians are training CE 0.704246</w:t>
      </w:r>
      <w:r>
        <w:t xml:space="preserve"> </w:t>
      </w:r>
      <w:r>
        <w:t xml:space="preserve">initially and 0.596543 finally; validation CE 0.693048 initially, 0.691847 at</w:t>
      </w:r>
      <w:r>
        <w:t xml:space="preserve"> </w:t>
      </w:r>
      <w:r>
        <w:t xml:space="preserve">the selected epoch and 0.692351 finally. These are repeated-model descriptions,</w:t>
      </w:r>
      <w:r>
        <w:t xml:space="preserve"> </w:t>
      </w:r>
      <w:r>
        <w:t xml:space="preserve">not participant-level intervals. Training CE is accumulated in training mode</w:t>
      </w:r>
      <w:r>
        <w:t xml:space="preserve"> </w:t>
      </w:r>
      <w:r>
        <w:t xml:space="preserve">while parameters change within each epoch; validation CE uses the post-epoch</w:t>
      </w:r>
      <w:r>
        <w:t xml:space="preserve"> </w:t>
      </w:r>
      <w:r>
        <w:t xml:space="preserve">model in evaluation mode. Dropout and batch-normalization mode also differ.</w:t>
      </w:r>
      <w:r>
        <w:t xml:space="preserve"> </w:t>
      </w:r>
      <w:r>
        <w:t xml:space="preserve">The loss difference is consequently not a calibrated generalization-gap</w:t>
      </w:r>
      <w:r>
        <w:t xml:space="preserve"> </w:t>
      </w:r>
      <w:r>
        <w:t xml:space="preserve">measurement or proof of one failure mechanism.</w:t>
      </w:r>
    </w:p>
    <w:p>
      <w:pPr>
        <w:pStyle w:val="BodyText"/>
      </w:pPr>
      <w:r>
        <w:t xml:space="preserve">The remaining 12 independent source-query mean BA is 52.9167%, compared with</w:t>
      </w:r>
      <w:r>
        <w:t xml:space="preserve"> </w:t>
      </w:r>
      <w:r>
        <w:t xml:space="preserve">51.5783% over later target sessions, a descriptive −1.3384-point difference.</w:t>
      </w:r>
      <w:r>
        <w:t xml:space="preserve"> </w:t>
      </w:r>
      <w:r>
        <w:t xml:space="preserve">Weak source discrimination precedes transfer, so later near-chance performance</w:t>
      </w:r>
      <w:r>
        <w:t xml:space="preserve"> </w:t>
      </w:r>
      <w:r>
        <w:t xml:space="preserve">cannot chiefly be assigned to cross-session drift. Source query has only 20</w:t>
      </w:r>
      <w:r>
        <w:t xml:space="preserve"> </w:t>
      </w:r>
      <w:r>
        <w:t xml:space="preserve">trials per participant; the target endpoint averages five sessions. These</w:t>
      </w:r>
      <w:r>
        <w:t xml:space="preserve"> </w:t>
      </w:r>
      <w:r>
        <w:t xml:space="preserve">different sampling precisions preclude treating the mean difference as an</w:t>
      </w:r>
      <w:r>
        <w:t xml:space="preserve"> </w:t>
      </w:r>
      <w:r>
        <w:t xml:space="preserve">isolated causal drift estimate. Selected-validation performance is not an</w:t>
      </w:r>
      <w:r>
        <w:t xml:space="preserve"> </w:t>
      </w:r>
      <w:r>
        <w:t xml:space="preserve">independent query endpoint.</w:t>
      </w:r>
    </w:p>
    <w:p>
      <w:pPr>
        <w:pStyle w:val="BodyText"/>
      </w:pPr>
      <w:r>
        <w:t xml:space="preserve">Every fixed seed stays in the results. Remaining-cohort target means for</w:t>
      </w:r>
      <w:r>
        <w:t xml:space="preserve"> </w:t>
      </w:r>
      <w:r>
        <w:t xml:space="preserve">20261012/20261013/20261014 are 52.42/49.94/52.37%; the average within-participant</w:t>
      </w:r>
      <w:r>
        <w:t xml:space="preserve"> </w:t>
      </w:r>
      <w:r>
        <w:t xml:space="preserve">target mean BA range is 8.06 percentage points, maximum 24.62. These values do</w:t>
      </w:r>
      <w:r>
        <w:t xml:space="preserve"> </w:t>
      </w:r>
      <w:r>
        <w:t xml:space="preserve">not select an advantageous seed or imply population uncertainty from 54</w:t>
      </w:r>
      <w:r>
        <w:t xml:space="preserve"> </w:t>
      </w:r>
      <w:r>
        <w:t xml:space="preserve">independent people. The finding concerns this small-source implementation,</w:t>
      </w:r>
      <w:r>
        <w:t xml:space="preserve"> </w:t>
      </w:r>
      <w:r>
        <w:t xml:space="preserve">not the general suitability of deep learning for motor-imagery EEG.</w:t>
      </w:r>
    </w:p>
    <w:bookmarkEnd w:id="38"/>
    <w:bookmarkStart w:id="46" w:name="X83240362937f7958e925f797d9b1f5ebd744ce0"/>
    <w:p>
      <w:pPr>
        <w:pStyle w:val="Heading1"/>
      </w:pPr>
      <w:r>
        <w:t xml:space="preserve">S10. Scientific software versions and text-only reproduction</w:t>
      </w:r>
    </w:p>
    <w:p>
      <w:pPr>
        <w:pStyle w:val="FirstParagraph"/>
      </w:pPr>
      <w:r>
        <w:t xml:space="preserve">The CPU baseline used Python 3.11.16, NumPy 2.2.6, SciPy 1.15.3,</w:t>
      </w:r>
      <w:r>
        <w:t xml:space="preserve"> </w:t>
      </w:r>
      <w:r>
        <w:t xml:space="preserve">scikit-learn 1.7.2 and MNE 1.10.2, with recorded OMP/OpenBLAS/MKL thread</w:t>
      </w:r>
      <w:r>
        <w:t xml:space="preserve"> </w:t>
      </w:r>
      <w:r>
        <w:t xml:space="preserve">limits of one. The GPU source fits used PyTorch/Torchaudio 2.8.0+cu128 and</w:t>
      </w:r>
      <w:r>
        <w:t xml:space="preserve"> </w:t>
      </w:r>
      <w:r>
        <w:t xml:space="preserve">Braindecode 1.2.0. Fixed checkpoint inference used PyTorch/Torchaudio 2.8.0+cpu</w:t>
      </w:r>
      <w:r>
        <w:t xml:space="preserve"> </w:t>
      </w:r>
      <w:r>
        <w:t xml:space="preserve">and Braindecode 1.2.0 with the same Python/NumPy/SciPy/scikit-learn/MNE versions,</w:t>
      </w:r>
      <w:r>
        <w:t xml:space="preserve"> </w:t>
      </w:r>
      <w:r>
        <w:t xml:space="preserve">one PyTorch thread, OMP/OpenBLAS limits of one and</w:t>
      </w:r>
      <w:r>
        <w:t xml:space="preserve"> </w:t>
      </w:r>
      <w:r>
        <w:rPr>
          <w:rStyle w:val="VerbatimChar"/>
        </w:rPr>
        <w:t xml:space="preserve">CUBLAS_WORKSPACE_CONFIG=:4096:8</w:t>
      </w:r>
      <w:r>
        <w:t xml:space="preserve">. GPU fitting and CPU inference are distinct</w:t>
      </w:r>
      <w:r>
        <w:t xml:space="preserve"> </w:t>
      </w:r>
      <w:r>
        <w:t xml:space="preserve">stages; these software statements do not establish equal compute budgets.</w:t>
      </w:r>
    </w:p>
    <w:p>
      <w:pPr>
        <w:pStyle w:val="BodyText"/>
      </w:pPr>
      <w:r>
        <w:t xml:space="preserve">The public QC inputs comprise the frozen 7,200-event metadata (including 44</w:t>
      </w:r>
      <w:r>
        <w:t xml:space="preserve"> </w:t>
      </w:r>
      <w:r>
        <w:t xml:space="preserve">historical incomplete identities), 25,740 saved predictions, original analysis</w:t>
      </w:r>
      <w:r>
        <w:t xml:space="preserve"> </w:t>
      </w:r>
      <w:r>
        <w:t xml:space="preserve">configuration, 72 participant-by-method endpoint rows and their provenance</w:t>
      </w:r>
      <w:r>
        <w:t xml:space="preserve"> </w:t>
      </w:r>
      <w:r>
        <w:t xml:space="preserve">manifest. The dictionary records left=0/right=1,</w:t>
      </w:r>
      <w:r>
        <w:t xml:space="preserve"> </w:t>
      </w:r>
      <w:r>
        <w:rPr>
          <w:rStyle w:val="VerbatimChar"/>
        </w:rPr>
        <w:t xml:space="preserve">cpu_fixed</w:t>
      </w:r>
      <w:r>
        <w:t xml:space="preserve"> </w:t>
      </w:r>
      <w:r>
        <w:t xml:space="preserve">for CPU seeds,</w:t>
      </w:r>
      <w:r>
        <w:t xml:space="preserve"> </w:t>
      </w:r>
      <w:r>
        <w:t xml:space="preserve">the three EEGNet seeds, roles, inclusion/exclusion reasons, original amplitude</w:t>
      </w:r>
      <w:r>
        <w:t xml:space="preserve"> </w:t>
      </w:r>
      <w:r>
        <w:t xml:space="preserve">flags and input lengths/hashes. Full per-session class counts, missing groups,</w:t>
      </w:r>
      <w:r>
        <w:t xml:space="preserve"> </w:t>
      </w:r>
      <w:r>
        <w:t xml:space="preserve">confusion cells, paired differences and influence rows accompany the results.</w:t>
      </w:r>
      <w:r>
        <w:t xml:space="preserve"> </w:t>
      </w:r>
      <w:r>
        <w:t xml:space="preserve">No EEG samples, checkpoint parameters, private credentials or new dataset</w:t>
      </w:r>
      <w:r>
        <w:t xml:space="preserve"> </w:t>
      </w:r>
      <w:r>
        <w:t xml:space="preserve">collection is included in these compact inputs. Source-derived data retain</w:t>
      </w:r>
      <w:r>
        <w:t xml:space="preserve"> </w:t>
      </w:r>
      <w:r>
        <w:t xml:space="preserve">their NEMAR CC BY 4.0 attribution; that attribution is distinct from software</w:t>
      </w:r>
      <w:r>
        <w:t xml:space="preserve"> </w:t>
      </w:r>
      <w:r>
        <w:t xml:space="preserve">dependency licenses.</w:t>
      </w:r>
    </w:p>
    <w:p>
      <w:pPr>
        <w:pStyle w:val="BodyText"/>
      </w:pPr>
      <w:r>
        <w:t xml:space="preserve">From a repository checkout, the following command reproduces the public</w:t>
      </w:r>
      <w:r>
        <w:t xml:space="preserve"> </w:t>
      </w:r>
      <w:r>
        <w:t xml:space="preserve">saved-prediction arithmetic only, using Python 3.11 and the recorded NumPy 2.2.6.</w:t>
      </w:r>
      <w:r>
        <w:t xml:space="preserve"> </w:t>
      </w:r>
      <w:r>
        <w:t xml:space="preserve">Choose a new output directory; the existing frozen results are not overwritten: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qc_text_reproduction_new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research_logs/kumar_submission_qc_20261015/run01/POST_OBSERVATION_PROTOCOL.md qc_text_reproduction_new/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scripts/analyze_kumar_saved_query_qc_20261015.py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--portable-inputs</w:t>
      </w:r>
      <w:r>
        <w:rPr>
          <w:rStyle w:val="NormalTok"/>
        </w:rPr>
        <w:t xml:space="preserve"> research_logs/kumar_submission_qc_20261015/run01/public_inputs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qc_text_reproduction_new</w:t>
      </w:r>
    </w:p>
    <w:p>
      <w:pPr>
        <w:pStyle w:val="FirstParagraph"/>
      </w:pPr>
      <w:r>
        <w:t xml:space="preserve">The portable input path needs no private original checkpoint or prediction</w:t>
      </w:r>
      <w:r>
        <w:t xml:space="preserve"> </w:t>
      </w:r>
      <w:r>
        <w:t xml:space="preserve">directory. The original-input computation and portable text-only replay</w:t>
      </w:r>
      <w:r>
        <w:t xml:space="preserve"> </w:t>
      </w:r>
      <w:r>
        <w:t xml:space="preserve">produced the same 13 scientific CSVs byte-for-byte. These are repeat arithmetic</w:t>
      </w:r>
      <w:r>
        <w:t xml:space="preserve"> </w:t>
      </w:r>
      <w:r>
        <w:t xml:space="preserve">checks, not repeat model inference. Public saved history tables can be inspected</w:t>
      </w:r>
      <w:r>
        <w:t xml:space="preserve"> </w:t>
      </w:r>
      <w:r>
        <w:t xml:space="preserve">without weights. To independently validate their original archive/member hashes</w:t>
      </w:r>
      <w:r>
        <w:t xml:space="preserve"> </w:t>
      </w:r>
      <w:r>
        <w:t xml:space="preserve">requires authorized possession of the 54 unmodified originals; use the portable</w:t>
      </w:r>
      <w:r>
        <w:t xml:space="preserve"> </w:t>
      </w:r>
      <w:r>
        <w:t xml:space="preserve">relative-filename index and a new destination: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scripts/summarize_kumar_saved_training_curves.py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--archive-index</w:t>
      </w:r>
      <w:r>
        <w:rPr>
          <w:rStyle w:val="NormalTok"/>
        </w:rPr>
        <w:t xml:space="preserve"> research_logs/kumar_submission_training_review_20261015/run01/archive_input_index.json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--archives</w:t>
      </w:r>
      <w:r>
        <w:rPr>
          <w:rStyle w:val="NormalTok"/>
        </w:rPr>
        <w:t xml:space="preserve"> /absolute/path/to/54_original_archives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/absolute/path/to/new_text_only_review</w:t>
      </w:r>
    </w:p>
    <w:p>
      <w:pPr>
        <w:pStyle w:val="FirstParagraph"/>
      </w:pPr>
      <w:r>
        <w:t xml:space="preserve">This second command reads only allowlisted metadata/text and streams binary</w:t>
      </w:r>
      <w:r>
        <w:t xml:space="preserve"> </w:t>
      </w:r>
      <w:r>
        <w:t xml:space="preserve">members to SHA 256; it does not load tensor values or construct a model. Both</w:t>
      </w:r>
      <w:r>
        <w:t xml:space="preserve"> </w:t>
      </w:r>
      <w:r>
        <w:t xml:space="preserve">postprocessors require explicit output arguments. Invoking either without</w:t>
      </w:r>
      <w:r>
        <w:t xml:space="preserve"> </w:t>
      </w:r>
      <w:r>
        <w:t xml:space="preserve">arguments exits with usage instead of initiating fitting or evaluation. Neither</w:t>
      </w:r>
      <w:r>
        <w:t xml:space="preserve"> </w:t>
      </w:r>
      <w:r>
        <w:t xml:space="preserve">command invokes the scientific training/query runners; no such rerun is needed</w:t>
      </w:r>
      <w:r>
        <w:t xml:space="preserve"> </w:t>
      </w:r>
      <w:r>
        <w:t xml:space="preserve">to reproduce the new saved-prediction summaries. The fixed protocols, code,</w:t>
      </w:r>
      <w:r>
        <w:t xml:space="preserve"> </w:t>
      </w:r>
      <w:r>
        <w:t xml:space="preserve">CSV dictionaries and complete hashes provide the detailed implementation record</w:t>
      </w:r>
      <w:r>
        <w:t xml:space="preserve"> </w:t>
      </w:r>
      <w:r>
        <w:t xml:space="preserve">without reproducing operational authorization or storage logs in this supplement.</w:t>
      </w:r>
    </w:p>
    <w:bookmarkStart w:id="45" w:name="refs"/>
    <w:bookmarkStart w:id="40" w:name="ref-kumarcode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Dataset_Description.pdf</w:t>
      </w:r>
      <w:r>
        <w:t xml:space="preserve">. Author-supplied codebook in the TransLearning repository; Available:</w:t>
      </w:r>
      <w:r>
        <w:t xml:space="preserve"> </w:t>
      </w:r>
      <w:hyperlink ns1:id="rId39">
        <w:r>
          <w:rPr>
            <w:rStyle w:val="Hyperlink"/>
          </w:rPr>
          <w:t xml:space="preserve">https://github.com/neurosatya/TransLearning/blob/548470542e63f97ab777684c1f5e4f1cace4b8ed/Dataset_Description.pdf</w:t>
        </w:r>
      </w:hyperlink>
    </w:p>
    <w:bookmarkEnd w:id="40"/>
    <w:bookmarkStart w:id="42" w:name="ref-kumar2024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Kumar S, Alawieh H, Racz FS, Fakhreddine R, Millán J del R.</w:t>
      </w:r>
      <w:r>
        <w:t xml:space="preserve"> </w:t>
      </w:r>
      <w:r>
        <w:t xml:space="preserve">Transfer learning promotes acquisition of individual BCI skills</w:t>
      </w:r>
      <w:r>
        <w:t xml:space="preserve">. PNAS Nexus. 2024;3: pgae076. doi:</w:t>
      </w:r>
      <w:hyperlink ns1:id="rId41">
        <w:r>
          <w:rPr>
            <w:rStyle w:val="Hyperlink"/>
          </w:rPr>
          <w:t xml:space="preserve">10.1093/pnasnexus/pgae076</w:t>
        </w:r>
      </w:hyperlink>
    </w:p>
    <w:bookmarkEnd w:id="42"/>
    <w:bookmarkStart w:id="44" w:name="ref-kumar2024correcti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Correction to: Transfer learning promotes acquisition of individual BCI skills</w:t>
      </w:r>
      <w:r>
        <w:t xml:space="preserve">. PNAS Nexus. 2024;3: pgae137. doi:</w:t>
      </w:r>
      <w:hyperlink ns1:id="rId43">
        <w:r>
          <w:rPr>
            <w:rStyle w:val="Hyperlink"/>
          </w:rPr>
          <w:t xml:space="preserve">10.1093/pnasnexus/pgae137</w:t>
        </w:r>
      </w:hyperlink>
    </w:p>
    <w:bookmarkEnd w:id="44"/>
    <w:bookmarkEnd w:id="45"/>
    <w:bookmarkEnd w:id="46"/>
    <w:sectPr>
      <w:footerReference w:type="default" ns1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41" Target="https://doi.org/10.1093/pnasnexus/pgae076" TargetMode="External" /><ns0:Relationship Type="http://schemas.openxmlformats.org/officeDocument/2006/relationships/hyperlink" Id="rId43" Target="https://doi.org/10.1093/pnasnexus/pgae137" TargetMode="External" /><ns0:Relationship Type="http://schemas.openxmlformats.org/officeDocument/2006/relationships/hyperlink" Id="rId39" Target="https://github.com/neurosatya/TransLearning/blob/548470542e63f97ab777684c1f5e4f1cace4b8ed/Dataset_Description.pdf" TargetMode="Externa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1093/pnasnexus/pgae076" TargetMode="External" /><Relationship Type="http://schemas.openxmlformats.org/officeDocument/2006/relationships/hyperlink" Id="rId43" Target="https://doi.org/10.1093/pnasnexus/pgae137" TargetMode="External" /><Relationship Type="http://schemas.openxmlformats.org/officeDocument/2006/relationships/hyperlink" Id="rId39" Target="https://github.com/neurosatya/TransLearning/blob/548470542e63f97ab777684c1f5e4f1cace4b8ed/Dataset_Descrip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Text. Supplementary scientific methods</dc:title>
  <dc:creator/>
  <dc:language>en-US</dc:language>
  <cp:keywords/>
  <dcterms:created xsi:type="dcterms:W3CDTF">2026-10-15T12:09:35Z</dcterms:created>
  <dcterms:modified xsi:type="dcterms:W3CDTF">2026-10-15T12:09:35Z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