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PLOS ONE author worksheet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Longitudinal motor-imagery EEG decoding: Frozen baselines,</w:t>
      </w:r>
      <w:r>
        <w:t xml:space="preserve"> </w:t>
      </w:r>
      <w:r>
        <w:t xml:space="preserve">supervised recalibration, and task-measurement reliability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final author review and later entry into the PLOS ONE submission</w:t>
      </w:r>
      <w:r>
        <w:t xml:space="preserve"> </w:t>
      </w:r>
      <w:r>
        <w:t xml:space="preserve">system. This worksheet is not part of the scientific manuscript, is not a</w:t>
      </w:r>
      <w:r>
        <w:t xml:space="preserve"> </w:t>
      </w:r>
      <w:r>
        <w:t xml:space="preserve">journal form already submitted, and does not grant new experimental permissions.</w:t>
      </w:r>
      <w:r>
        <w:t xml:space="preserve"> </w:t>
      </w:r>
      <w:r>
        <w:t xml:space="preserve">The eight earlier factual answers have already been recorded.</w:t>
      </w:r>
    </w:p>
    <w:bookmarkStart w:id="20" w:name="recorded-submission-fields"/>
    <w:p>
      <w:pPr>
        <w:pStyle w:val="Heading1"/>
      </w:pPr>
      <w:r>
        <w:t xml:space="preserve">Recorded submission fields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truthful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/ article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PLOS ONE / Research Article; author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motor-imagery EEG decoding: Frozen baselines, supervised recalibration, and task-measurement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EEG decoding with limited recalibration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 and corresponding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Ziyuan Zhu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of Artificial Intelligence Medicine, Chongqing Medical University, Chongqing,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zzy2630816871@gmail.com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Postal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Jinyun Campus, Chongqing Medical University, No. 61, Daxuecheng Middle Road, Shapingba District, Chongqing 401331,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0009-0005-1153-4926; author reports Given name Ziyuan / Family name Zhu correction. This task did not independently refresh the profile. The author should link the actual ORCID in the journal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Ziyuan Zhu: Conceptualization; Methodology; Software; Formal analysis; Validation; Visualization; Writing – original draft; Writing – review &amp; editing. These queried roles were author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received no specific funding for this work. Enter in the financial-disclosure portal field; do not import the original study’s funding or reinsert financial disclosure in the upload manuscript.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declares no competing interests.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Preprint / conference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 by the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journal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 by the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Institutional/collaborator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 for original code or derived results; this does not select a license or eliminate third-party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contact with 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supplied; do not assume none. Record any real editorial correspondence if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Editor suggestions / opposed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selected. Do not invent names, affiliations, contacts, conflicts or opposition reasons.</w:t>
            </w:r>
          </w:p>
        </w:tc>
      </w:tr>
    </w:tbl>
    <w:p>
      <w:pPr>
        <w:pStyle w:val="BodyText"/>
      </w:pPr>
      <w:r>
        <w:t xml:space="preserve">Identity/affiliation/contact were retrieved at the author’s direction from</w:t>
      </w:r>
      <w:r>
        <w:t xml:space="preserve"> </w:t>
      </w:r>
      <w:r>
        <w:t xml:space="preserve">first-paper fixed commit</w:t>
      </w:r>
      <w:r>
        <w:t xml:space="preserve"> </w:t>
      </w:r>
      <w:r>
        <w:rPr>
          <w:rStyle w:val="VerbatimChar"/>
        </w:rPr>
        <w:t xml:space="preserve">d9a11926076bd348696f6e690078955921dac3f8</w:t>
      </w:r>
      <w:r>
        <w:t xml:space="preserve">.</w:t>
      </w:r>
      <w:r>
        <w:t xml:space="preserve"> </w:t>
      </w:r>
      <w:r>
        <w:t xml:space="preserve">Paper-2 declarations come from the author’s actual eight-item reply recorded in</w:t>
      </w:r>
      <w:r>
        <w:t xml:space="preserve"> </w:t>
      </w:r>
      <w:r>
        <w:rPr>
          <w:rStyle w:val="VerbatimChar"/>
        </w:rPr>
        <w:t xml:space="preserve">research_logs/kumar_author_confirmation_20261015/run01/author_confirmation.json</w:t>
      </w:r>
      <w:r>
        <w:t xml:space="preserve">;</w:t>
      </w:r>
      <w:r>
        <w:t xml:space="preserve"> </w:t>
      </w:r>
      <w:r>
        <w:t xml:space="preserve">first-paper funding, ethics and final-approval statements were not transferred.</w:t>
      </w:r>
    </w:p>
    <w:bookmarkEnd w:id="20"/>
    <w:bookmarkStart w:id="25" w:name="decisions-and-facts-still-needed"/>
    <w:p>
      <w:pPr>
        <w:pStyle w:val="Heading1"/>
      </w:pPr>
      <w:r>
        <w:t xml:space="preserve">Decisions and facts still needed</w:t>
      </w:r>
    </w:p>
    <w:bookmarkStart w:id="21" w:name="X709e1cdf1592dba9ef5fc41ee9347dd30ce7f89"/>
    <w:p>
      <w:pPr>
        <w:pStyle w:val="Heading2"/>
      </w:pPr>
      <w:r>
        <w:t xml:space="preserve">1. Actual institutional determination for this secondary analysis</w:t>
      </w:r>
    </w:p>
    <w:p>
      <w:pPr>
        <w:pStyle w:val="FirstParagraph"/>
      </w:pPr>
      <w:r>
        <w:rPr>
          <w:b/>
          <w:bCs/>
        </w:rPr>
        <w:t xml:space="preserve">Current status: the author reports no conclusion yet.</w:t>
      </w:r>
    </w:p>
    <w:p>
      <w:pPr>
        <w:pStyle w:val="BodyText"/>
      </w:pPr>
      <w:r>
        <w:t xml:space="preserve">Obtain the responsible institution’s actual applicable conclusion and its</w:t>
      </w:r>
      <w:r>
        <w:t xml:space="preserve"> </w:t>
      </w:r>
      <w:r>
        <w:t xml:space="preserve">wording. Supply the responsible office/committee, decision or policy basis,</w:t>
      </w:r>
      <w:r>
        <w:t xml:space="preserve"> </w:t>
      </w:r>
      <w:r>
        <w:t xml:space="preserve">date and identifier only where real. Possible classifications depend on that</w:t>
      </w:r>
      <w:r>
        <w:t xml:space="preserve"> </w:t>
      </w:r>
      <w:r>
        <w:t xml:space="preserve">institution’s rules; this worksheet does not choose approval, exemption, waiver,</w:t>
      </w:r>
      <w:r>
        <w:t xml:space="preserve"> </w:t>
      </w:r>
      <w:r>
        <w:t xml:space="preserve">non-human-subjects research or review-not-required status.</w:t>
      </w:r>
    </w:p>
    <w:p>
      <w:pPr>
        <w:pStyle w:val="BodyText"/>
      </w:pPr>
      <w:r>
        <w:t xml:space="preserve">The original paper’s Methods report University of Texas at Austin protocol</w:t>
      </w:r>
      <w:r>
        <w:t xml:space="preserve"> </w:t>
      </w:r>
      <w:r>
        <w:t xml:space="preserve">2020-03-0073 and written informed consent. Accessible indexed Methods passages</w:t>
      </w:r>
      <w:r>
        <w:t xml:space="preserve"> </w:t>
      </w:r>
      <w:r>
        <w:t xml:space="preserve">were checked; a direct complete-original-XML retrieval was unsuccessful.</w:t>
      </w:r>
      <w:r>
        <w:t xml:space="preserve"> </w:t>
      </w:r>
      <w:r>
        <w:t xml:space="preserve">These facts support attribution about the original collection, not a new</w:t>
      </w:r>
      <w:r>
        <w:t xml:space="preserve"> </w:t>
      </w:r>
      <w:r>
        <w:t xml:space="preserve">institutional decision for this project. Do not sign a human-participants</w:t>
      </w:r>
      <w:r>
        <w:t xml:space="preserve"> </w:t>
      </w:r>
      <w:r>
        <w:t xml:space="preserve">checklist with a fabricated approval or treat public availability as an</w:t>
      </w:r>
      <w:r>
        <w:t xml:space="preserve"> </w:t>
      </w:r>
      <w:r>
        <w:t xml:space="preserve">automatic exemption.</w:t>
      </w:r>
    </w:p>
    <w:p>
      <w:pPr>
        <w:pStyle w:val="BodyText"/>
      </w:pPr>
      <w:r>
        <w:rPr>
          <w:b/>
          <w:bCs/>
        </w:rPr>
        <w:t xml:space="preserve">Author/institution response:</w:t>
      </w:r>
      <w:r>
        <w:t xml:space="preserve"> </w:t>
      </w:r>
      <w:r>
        <w:t xml:space="preserve">pending.</w:t>
      </w:r>
    </w:p>
    <w:bookmarkEnd w:id="21"/>
    <w:bookmarkStart w:id="22" w:name="X80f9c10f78c51d384b1fa0eefd825a19f5b5611"/>
    <w:p>
      <w:pPr>
        <w:pStyle w:val="Heading2"/>
      </w:pPr>
      <w:r>
        <w:t xml:space="preserve">2. Concrete license and public-material choice</w:t>
      </w:r>
    </w:p>
    <w:p>
      <w:pPr>
        <w:pStyle w:val="FirstParagraph"/>
      </w:pPr>
      <w:r>
        <w:rPr>
          <w:b/>
          <w:bCs/>
        </w:rPr>
        <w:t xml:space="preserve">Proposed author choice: MIT for original project code; CC BY 4.0 for original</w:t>
      </w:r>
      <w:r>
        <w:rPr>
          <w:b/>
          <w:bCs/>
        </w:rPr>
        <w:t xml:space="preserve"> </w:t>
      </w:r>
      <w:r>
        <w:rPr>
          <w:b/>
          <w:bCs/>
        </w:rPr>
        <w:t xml:space="preserve">paper figures and non-sensitive derived tables. No operative grant is active.</w:t>
      </w:r>
    </w:p>
    <w:p>
      <w:pPr>
        <w:pStyle w:val="BodyText"/>
      </w:pPr>
      <w:r>
        <w:t xml:space="preserve">The inactive complete MIT text is</w:t>
      </w:r>
      <w:r>
        <w:t xml:space="preserve"> </w:t>
      </w:r>
      <w:r>
        <w:rPr>
          <w:rStyle w:val="VerbatimChar"/>
        </w:rPr>
        <w:t xml:space="preserve">research_logs/kumar_submission_compliance_20261015/run01/MIT_LICENSE_PROPOSAL.txt</w:t>
      </w:r>
      <w:r>
        <w:t xml:space="preserve">.</w:t>
      </w:r>
      <w:r>
        <w:t xml:space="preserve"> </w:t>
      </w:r>
      <w:r>
        <w:t xml:space="preserve">The detailed rights inventory is</w:t>
      </w:r>
      <w:r>
        <w:t xml:space="preserve"> </w:t>
      </w:r>
      <w:r>
        <w:rPr>
          <w:rStyle w:val="VerbatimChar"/>
        </w:rPr>
        <w:t xml:space="preserve">docs/plos_one_submission_check_20261015.md</w:t>
      </w:r>
      <w:r>
        <w:t xml:space="preserve">.</w:t>
      </w:r>
      <w:r>
        <w:t xml:space="preserve"> </w:t>
      </w:r>
      <w:r>
        <w:t xml:space="preserve">The final file-by-file release manifest, with lengths and SHA256, must bind the</w:t>
      </w:r>
      <w:r>
        <w:t xml:space="preserve"> </w:t>
      </w:r>
      <w:r>
        <w:t xml:space="preserve">selected scope before a root license is activated.</w:t>
      </w:r>
    </w:p>
    <w:p>
      <w:pPr>
        <w:pStyle w:val="BodyText"/>
      </w:pPr>
      <w:r>
        <w:t xml:space="preserve">The proposed original-code allowlist covers the project’s independently written</w:t>
      </w:r>
      <w:r>
        <w:t xml:space="preserve"> </w:t>
      </w:r>
      <w:r>
        <w:rPr>
          <w:rStyle w:val="VerbatimChar"/>
        </w:rPr>
        <w:t xml:space="preserve">src/learning_preserving_bci/</w:t>
      </w:r>
      <w:r>
        <w:t xml:space="preserve"> </w:t>
      </w:r>
      <w:r>
        <w:t xml:space="preserve">implementation and relevant Kumar scripts/tests,</w:t>
      </w:r>
      <w:r>
        <w:t xml:space="preserve"> </w:t>
      </w:r>
      <w:r>
        <w:t xml:space="preserve">including the new saved-prediction QC and figure scripts and their synthetic</w:t>
      </w:r>
      <w:r>
        <w:t xml:space="preserve"> </w:t>
      </w:r>
      <w:r>
        <w:t xml:space="preserve">tests. Frozen configurations accompany this code. Upstream MNE/sklearn/</w:t>
      </w:r>
      <w:r>
        <w:t xml:space="preserve"> </w:t>
      </w:r>
      <w:r>
        <w:t xml:space="preserve">Braindecode/Torch code remains separately licensed; neither upstream authorship</w:t>
      </w:r>
      <w:r>
        <w:t xml:space="preserve"> </w:t>
      </w:r>
      <w:r>
        <w:t xml:space="preserve">nor package ownership is assigned to this project’s author.</w:t>
      </w:r>
    </w:p>
    <w:p>
      <w:pPr>
        <w:pStyle w:val="BodyText"/>
      </w:pPr>
      <w:r>
        <w:t xml:space="preserve">The proposed manuscript/data allowlist covers:</w:t>
      </w:r>
    </w:p>
    <w:p>
      <w:pPr>
        <w:pStyle w:val="Compact"/>
        <w:numPr>
          <w:ilvl w:val="0"/>
          <w:numId w:val="1001"/>
        </w:numPr>
      </w:pPr>
      <w:r>
        <w:t xml:space="preserve">The new English manuscript, scientific supporting methods and compact</w:t>
      </w:r>
      <w:r>
        <w:t xml:space="preserve"> </w:t>
      </w:r>
      <w:r>
        <w:t xml:space="preserve">audit/reproduction appendix, with the final PDF/DOCX review versions.</w:t>
      </w:r>
    </w:p>
    <w:p>
      <w:pPr>
        <w:pStyle w:val="Compact"/>
        <w:numPr>
          <w:ilvl w:val="0"/>
          <w:numId w:val="1001"/>
        </w:numPr>
      </w:pPr>
      <w:r>
        <w:t xml:space="preserve">The four original figures, their exact machine-readable source tables and</w:t>
      </w:r>
      <w:r>
        <w:t xml:space="preserve"> </w:t>
      </w:r>
      <w:r>
        <w:t xml:space="preserve">production TIFFs; no source-paper figure or full text is republished.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 Data:</w:t>
      </w:r>
      <w:r>
        <w:t xml:space="preserve"> </w:t>
      </w:r>
      <w:r>
        <w:t xml:space="preserve">saved CPU/EEGNet predictions, fixed event/role/label/QC metadata,</w:t>
      </w:r>
      <w:r>
        <w:t xml:space="preserve"> </w:t>
      </w:r>
      <w:r>
        <w:t xml:space="preserve">original and sensitivity participant/session counts and endpoints, complete</w:t>
      </w:r>
      <w:r>
        <w:t xml:space="preserve"> </w:t>
      </w:r>
      <w:r>
        <w:t xml:space="preserve">saved training histories and the values behind all plots. The compact public</w:t>
      </w:r>
      <w:r>
        <w:t xml:space="preserve"> </w:t>
      </w:r>
      <w:r>
        <w:t xml:space="preserve">QC inputs contain 7,200 event identities and 25,740 stored prediction rows.</w:t>
      </w:r>
    </w:p>
    <w:p>
      <w:pPr>
        <w:pStyle w:val="Compact"/>
        <w:numPr>
          <w:ilvl w:val="0"/>
          <w:numId w:val="1001"/>
        </w:numPr>
      </w:pPr>
      <w:r>
        <w:t xml:space="preserve">The saved-result postprocessing and synthetic tests, explicit input/output</w:t>
      </w:r>
      <w:r>
        <w:t xml:space="preserve"> </w:t>
      </w:r>
      <w:r>
        <w:t xml:space="preserve">manifests, protocol/configuration pins and reproduction instructions.</w:t>
      </w:r>
    </w:p>
    <w:p>
      <w:pPr>
        <w:pStyle w:val="FirstParagraph"/>
      </w:pPr>
      <w:r>
        <w:t xml:space="preserve">Excluded: original EEG, epoch/feature arrays, learned weights/model archives,</w:t>
      </w:r>
      <w:r>
        <w:t xml:space="preserve"> </w:t>
      </w:r>
      <w:r>
        <w:t xml:space="preserve">credentials, first-paper manuscripts and unrelated datasets. Public</w:t>
      </w:r>
      <w:r>
        <w:t xml:space="preserve"> </w:t>
      </w:r>
      <w:r>
        <w:t xml:space="preserve">reproduction uses saved text and does not require a second model forward or</w:t>
      </w:r>
      <w:r>
        <w:t xml:space="preserve"> </w:t>
      </w:r>
      <w:r>
        <w:t xml:space="preserve">private R2 access.</w:t>
      </w:r>
    </w:p>
    <w:p>
      <w:pPr>
        <w:pStyle w:val="BodyText"/>
      </w:pPr>
      <w:r>
        <w:t xml:space="preserve">Important carve-outs: the NEMAR source remains CC BY 4.0 with source attribution;</w:t>
      </w:r>
      <w:r>
        <w:t xml:space="preserve"> </w:t>
      </w:r>
      <w:r>
        <w:t xml:space="preserve">the CSL build style remains CC BY-SA 3.0 outside article-content supplements;</w:t>
      </w:r>
      <w:r>
        <w:t xml:space="preserve"> </w:t>
      </w:r>
      <w:r>
        <w:t xml:space="preserve">Braindecode 1.2.0 has unused EEGMiner/GeneralizedGaussianFilter components under</w:t>
      </w:r>
      <w:r>
        <w:t xml:space="preserve"> </w:t>
      </w:r>
      <w:r>
        <w:t xml:space="preserve">CC BY-NC 4.0, so the whole environment cannot be called MIT/BSD. CUDA wheel/</w:t>
      </w:r>
      <w:r>
        <w:t xml:space="preserve"> </w:t>
      </w:r>
      <w:r>
        <w:t xml:space="preserve">container redistribution is not proposed or licensed by this review.</w:t>
      </w:r>
    </w:p>
    <w:p>
      <w:pPr>
        <w:pStyle w:val="BodyText"/>
      </w:pPr>
      <w:r>
        <w:rPr>
          <w:b/>
          <w:bCs/>
        </w:rPr>
        <w:t xml:space="preserve">Author choice:</w:t>
      </w:r>
      <w:r>
        <w:t xml:space="preserve"> </w:t>
      </w:r>
      <w:r>
        <w:t xml:space="preserve">accept the stated scoped proposal, or specify an alternative.</w:t>
      </w:r>
      <w:r>
        <w:t xml:space="preserve"> </w:t>
      </w:r>
      <w:r>
        <w:t xml:space="preserve">No response has yet been recorded.</w:t>
      </w:r>
    </w:p>
    <w:bookmarkEnd w:id="22"/>
    <w:bookmarkStart w:id="23" w:name="X28c0eefec8bae3c326073b02af5872c99002316"/>
    <w:p>
      <w:pPr>
        <w:pStyle w:val="Heading2"/>
      </w:pPr>
      <w:r>
        <w:t xml:space="preserve">3. Final personal review, AI disclosure and accountability</w:t>
      </w:r>
    </w:p>
    <w:p>
      <w:pPr>
        <w:pStyle w:val="FirstParagraph"/>
      </w:pPr>
      <w:r>
        <w:t xml:space="preserve">The actual AI assistance included software/validation, saved-result arithmetic,</w:t>
      </w:r>
      <w:r>
        <w:t xml:space="preserve"> </w:t>
      </w:r>
      <w:r>
        <w:t xml:space="preserve">figures, source/reference checking, drafting/editing and exports; it was more</w:t>
      </w:r>
      <w:r>
        <w:t xml:space="preserve"> </w:t>
      </w:r>
      <w:r>
        <w:t xml:space="preserve">than language polishing. OpenAI ChatGPT/Codex is disclosed in Methods and is</w:t>
      </w:r>
      <w:r>
        <w:t xml:space="preserve"> </w:t>
      </w:r>
      <w:r>
        <w:t xml:space="preserve">not an author. Technical evidence includes exact identity/hash joins,</w:t>
      </w:r>
      <w:r>
        <w:t xml:space="preserve"> </w:t>
      </w:r>
      <w:r>
        <w:t xml:space="preserve">original-endpoint reconstruction, synthetic tests, saved-arithmetic validation,</w:t>
      </w:r>
      <w:r>
        <w:t xml:space="preserve"> </w:t>
      </w:r>
      <w:r>
        <w:t xml:space="preserve">portable public-input replay and rendered-document/figure inspection.</w:t>
      </w:r>
      <w:r>
        <w:t xml:space="preserve"> </w:t>
      </w:r>
      <w:r>
        <w:t xml:space="preserve">Those checks were themselves AI-assisted and are not a substitute for the</w:t>
      </w:r>
      <w:r>
        <w:t xml:space="preserve"> </w:t>
      </w:r>
      <w:r>
        <w:t xml:space="preserve">author’s personal review or independent human replication.</w:t>
      </w:r>
    </w:p>
    <w:p>
      <w:pPr>
        <w:pStyle w:val="BodyText"/>
      </w:pPr>
      <w:r>
        <w:t xml:space="preserve">Before final approval, the author should review the following materials and</w:t>
      </w:r>
      <w:r>
        <w:t xml:space="preserve"> </w:t>
      </w:r>
      <w:r>
        <w:t xml:space="preserve">record the checks</w:t>
      </w:r>
      <w:r>
        <w:t xml:space="preserve"> </w:t>
      </w:r>
      <w:r>
        <w:rPr>
          <w:b/>
          <w:bCs/>
        </w:rPr>
        <w:t xml:space="preserve">actually performed</w:t>
      </w:r>
      <w:r>
        <w:t xml:space="preserve">, without retroactively asserting checks</w:t>
      </w:r>
      <w:r>
        <w:t xml:space="preserve"> </w:t>
      </w:r>
      <w:r>
        <w:t xml:space="preserve">that were not done:</w:t>
      </w:r>
    </w:p>
    <w:p>
      <w:pPr>
        <w:pStyle w:val="Compact"/>
        <w:numPr>
          <w:ilvl w:val="0"/>
          <w:numId w:val="1002"/>
        </w:numPr>
      </w:pPr>
      <w:r>
        <w:t xml:space="preserve">Primary 12-participant contrast and secondary equal-label-budget contrast;</w:t>
      </w:r>
      <w:r>
        <w:t xml:space="preserve"> </w:t>
      </w:r>
      <w:r>
        <w:t xml:space="preserve">all seeds, negative outcomes and class collapse; 54 models versus 18</w:t>
      </w:r>
      <w:r>
        <w:t xml:space="preserve"> </w:t>
      </w:r>
      <w:r>
        <w:t xml:space="preserve">participant identities; historical test exposure.</w:t>
      </w:r>
    </w:p>
    <w:p>
      <w:pPr>
        <w:pStyle w:val="Compact"/>
        <w:numPr>
          <w:ilvl w:val="0"/>
          <w:numId w:val="1002"/>
        </w:numPr>
      </w:pPr>
      <w:r>
        <w:t xml:space="preserve">Cue-anchored five-second window interpretation, missing trial-level phase</w:t>
      </w:r>
      <w:r>
        <w:t xml:space="preserve"> </w:t>
      </w:r>
      <w:r>
        <w:t xml:space="preserve">evidence and recording-boundary partial exclusions.</w:t>
      </w:r>
    </w:p>
    <w:p>
      <w:pPr>
        <w:pStyle w:val="Compact"/>
        <w:numPr>
          <w:ilvl w:val="0"/>
          <w:numId w:val="1002"/>
        </w:numPr>
      </w:pPr>
      <w:r>
        <w:t xml:space="preserve">Exploratory QC rules, missing-class groups and two unavailable five-session</w:t>
      </w:r>
      <w:r>
        <w:t xml:space="preserve"> </w:t>
      </w:r>
      <w:r>
        <w:t xml:space="preserve">sensitivity endpoints; retained artifacts in historical training/validation.</w:t>
      </w:r>
    </w:p>
    <w:p>
      <w:pPr>
        <w:pStyle w:val="Compact"/>
        <w:numPr>
          <w:ilvl w:val="0"/>
          <w:numId w:val="1002"/>
        </w:numPr>
      </w:pPr>
      <w:r>
        <w:t xml:space="preserve">Source-query EEGNet weakness, complete saved histories and the limits of</w:t>
      </w:r>
      <w:r>
        <w:t xml:space="preserve"> </w:t>
      </w:r>
      <w:r>
        <w:t xml:space="preserve">interpreting training/evaluation-mode loss differences.</w:t>
      </w:r>
    </w:p>
    <w:p>
      <w:pPr>
        <w:pStyle w:val="Compact"/>
        <w:numPr>
          <w:ilvl w:val="0"/>
          <w:numId w:val="1002"/>
        </w:numPr>
      </w:pPr>
      <w:r>
        <w:t xml:space="preserve">Citation accuracy/read-scope records, ethics attribution, data dictionary,</w:t>
      </w:r>
      <w:r>
        <w:t xml:space="preserve"> </w:t>
      </w:r>
      <w:r>
        <w:t xml:space="preserve">scoped license choice and full manuscript/appendices/figure captions.</w:t>
      </w:r>
    </w:p>
    <w:p>
      <w:pPr>
        <w:pStyle w:val="FirstParagraph"/>
      </w:pPr>
      <w:r>
        <w:rPr>
          <w:b/>
          <w:bCs/>
        </w:rPr>
        <w:t xml:space="preserve">Personal checks actually completed by the author:</w:t>
      </w:r>
      <w:r>
        <w:t xml:space="preserve"> </w:t>
      </w:r>
      <w:r>
        <w:t xml:space="preserve">pending author account.</w:t>
      </w:r>
    </w:p>
    <w:p>
      <w:pPr>
        <w:pStyle w:val="BodyText"/>
      </w:pPr>
      <w:r>
        <w:rPr>
          <w:b/>
          <w:bCs/>
        </w:rPr>
        <w:t xml:space="preserve">Approval of this exact final manuscript and accountability for its contents:</w:t>
      </w:r>
      <w:r>
        <w:t xml:space="preserve"> </w:t>
      </w:r>
      <w:r>
        <w:t xml:space="preserve">pending. Earlier authorship/funding answers are not that approval. No journal</w:t>
      </w:r>
      <w:r>
        <w:t xml:space="preserve"> </w:t>
      </w:r>
      <w:r>
        <w:t xml:space="preserve">submission is authorized or performed by this worksheet.</w:t>
      </w:r>
    </w:p>
    <w:bookmarkEnd w:id="23"/>
    <w:bookmarkStart w:id="24" w:name="X1c8c113c65d078528472f7f754a4f56694ee023"/>
    <w:p>
      <w:pPr>
        <w:pStyle w:val="Heading2"/>
      </w:pPr>
      <w:r>
        <w:t xml:space="preserve">4. Portal-only author entries at actual submission</w:t>
      </w:r>
    </w:p>
    <w:p>
      <w:pPr>
        <w:pStyle w:val="FirstParagraph"/>
      </w:pPr>
      <w:r>
        <w:t xml:space="preserve">Record any real prior interaction with PLOS, editor/reviewer suggestions or</w:t>
      </w:r>
      <w:r>
        <w:t xml:space="preserve"> </w:t>
      </w:r>
      <w:r>
        <w:t xml:space="preserve">exclusions, any acknowledgment requiring another person’s consent, and the</w:t>
      </w:r>
      <w:r>
        <w:t xml:space="preserve"> </w:t>
      </w:r>
      <w:r>
        <w:t xml:space="preserve">institutional answer above. No additional acknowledgment, endorsement,</w:t>
      </w:r>
      <w:r>
        <w:t xml:space="preserve"> </w:t>
      </w:r>
      <w:r>
        <w:t xml:space="preserve">manuscript ID, submission date, ethics certificate or archived-release DOI has</w:t>
      </w:r>
      <w:r>
        <w:t xml:space="preserve"> </w:t>
      </w:r>
      <w:r>
        <w:t xml:space="preserve">been generated or inferred.</w:t>
      </w:r>
    </w:p>
    <w:bookmarkEnd w:id="24"/>
    <w:bookmarkEnd w:id="25"/>
    <w:bookmarkStart w:id="26" w:name="Xc8ba7ed1118a836e8006d57ec57d45bbd4c302b"/>
    <w:p>
      <w:pPr>
        <w:pStyle w:val="Heading1"/>
      </w:pPr>
      <w:r>
        <w:t xml:space="preserve">Package separation and format qualification</w:t>
      </w:r>
    </w:p>
    <w:p>
      <w:pPr>
        <w:pStyle w:val="FirstParagraph"/>
      </w:pPr>
      <w:r>
        <w:t xml:space="preserve">The actual upload manuscript should be image-free with editable tables,</w:t>
      </w:r>
      <w:r>
        <w:t xml:space="preserve"> </w:t>
      </w:r>
      <w:r>
        <w:t xml:space="preserve">continuous line/page numbers and double spacing. Figures are separate uploads;</w:t>
      </w:r>
      <w:r>
        <w:t xml:space="preserve"> </w:t>
      </w:r>
      <w:r>
        <w:t xml:space="preserve">the illustrated PDF/Word copy is for the author’s review. The supporting item</w:t>
      </w:r>
      <w:r>
        <w:t xml:space="preserve"> </w:t>
      </w:r>
      <w:r>
        <w:t xml:space="preserve">names are S1 Text, S2 Text and S1 Data and must match their actual filenames</w:t>
      </w:r>
      <w:r>
        <w:t xml:space="preserve"> </w:t>
      </w:r>
      <w:r>
        <w:t xml:space="preserve">and final captions.</w:t>
      </w:r>
    </w:p>
    <w:p>
      <w:pPr>
        <w:pStyle w:val="BodyText"/>
      </w:pPr>
      <w:r>
        <w:t xml:space="preserve">Current production TIFFs preserve actual DPI/geometry/RGB/LZW checks. The</w:t>
      </w:r>
      <w:r>
        <w:t xml:space="preserve"> </w:t>
      </w:r>
      <w:r>
        <w:t xml:space="preserve">installed renderer uses Liberation Sans as an Arial-compatible substitute;</w:t>
      </w:r>
      <w:r>
        <w:t xml:space="preserve"> </w:t>
      </w:r>
      <w:r>
        <w:t xml:space="preserve">strict Arial/Times/Symbol family compliance has not been established. Preserve</w:t>
      </w:r>
      <w:r>
        <w:t xml:space="preserve"> </w:t>
      </w:r>
      <w:r>
        <w:t xml:space="preserve">this qualification rather than marking every PLOS production requirement</w:t>
      </w:r>
      <w:r>
        <w:t xml:space="preserve"> </w:t>
      </w:r>
      <w:r>
        <w:t xml:space="preserve">complete. An actual portal check is still needed before submission.</w:t>
      </w:r>
    </w:p>
    <w:p>
      <w:pPr>
        <w:pStyle w:val="BodyText"/>
      </w:pPr>
      <w:r>
        <w:t xml:space="preserve">The current scientific draft, final package manifest and cover letter are</w:t>
      </w:r>
      <w:r>
        <w:t xml:space="preserve"> </w:t>
      </w:r>
      <w:r>
        <w:t xml:space="preserve">prepared for review, not evidence of acceptance, completed licensing,</w:t>
      </w:r>
      <w:r>
        <w:t xml:space="preserve"> </w:t>
      </w:r>
      <w:r>
        <w:t xml:space="preserve">institutional clearance or formal journal submission.</w:t>
      </w:r>
    </w:p>
    <w:bookmarkEnd w:id="26"/>
    <w:sectPr>
      <w:footerReference w:type="default" ns1:id="rIdPlosPage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4" w:lineRule="auto"/>
    </w:pPr>
    <w:rPr>
      <w:rFonts w:ascii="Times New Roman" w:cs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264" w:lineRule="auto"/>
    </w:pPr>
    <w:rPr>
      <w:rFonts w:ascii="Times New Roman" w:cs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64" w:lineRule="auto"/>
    </w:pPr>
    <w:rPr>
      <w:rFonts w:ascii="Times New Roman" w:cs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 w:line="264" w:lineRule="auto"/>
    </w:pPr>
    <w:rPr>
      <w:rFonts w:ascii="Times New Roman" w:cs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64" w:lineRule="auto"/>
    </w:pPr>
    <w:rPr>
      <w:i/>
      <w:rFonts w:ascii="Times New Roman" w:cs="Times New Roman" w:hAnsi="Times New Roman"/>
      <w:sz w:val="22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PLOS ONE author worksheet</dc:title>
  <dc:creator/>
  <dc:language>en-US</dc:language>
  <cp:keywords/>
  <dcterms:created xsi:type="dcterms:W3CDTF">2026-10-15T12:09:35Z</dcterms:created>
  <dcterms:modified xsi:type="dcterms:W3CDTF">2026-10-15T12:09:35Z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