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Draft cover letter — for author review; not sent</w:t>
      </w:r>
    </w:p>
    <w:p>
      <w:pPr>
        <w:pStyle w:val="FirstParagraph"/>
      </w:pPr>
      <w:r>
        <w:t xml:space="preserve">Dear PLOS ONE Editors,</w:t>
      </w:r>
    </w:p>
    <w:p>
      <w:pPr>
        <w:pStyle w:val="BodyText"/>
      </w:pPr>
      <w:r>
        <w:t xml:space="preserve">Please consider the Research Article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Longitudinal motor-imagery EEG decoding:</w:t>
      </w:r>
      <w:r>
        <w:rPr>
          <w:b/>
          <w:bCs/>
        </w:rPr>
        <w:t xml:space="preserve"> </w:t>
      </w:r>
      <w:r>
        <w:rPr>
          <w:b/>
          <w:bCs/>
        </w:rPr>
        <w:t xml:space="preserve">Frozen baselines, supervised recalibration, and task-measurement reliability.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This secondary analysis uses 18 published participant identities across six</w:t>
      </w:r>
      <w:r>
        <w:t xml:space="preserve"> </w:t>
      </w:r>
      <w:r>
        <w:t xml:space="preserve">sessions from Kumar2024. The original study already investigated fixed/adaptive</w:t>
      </w:r>
      <w:r>
        <w:t xml:space="preserve"> </w:t>
      </w:r>
      <w:r>
        <w:t xml:space="preserve">common spatial patterns and first-run recalibration. Our narrower contribution</w:t>
      </w:r>
      <w:r>
        <w:t xml:space="preserve"> </w:t>
      </w:r>
      <w:r>
        <w:t xml:space="preserve">separates classifier-only from full spatial-filter/classifier updating with the</w:t>
      </w:r>
      <w:r>
        <w:t xml:space="preserve"> </w:t>
      </w:r>
      <w:r>
        <w:t xml:space="preserve">same 19/20 current-session labels and examines whether available task measurements</w:t>
      </w:r>
      <w:r>
        <w:t xml:space="preserve"> </w:t>
      </w:r>
      <w:r>
        <w:t xml:space="preserve">justify an update decision.</w:t>
      </w:r>
    </w:p>
    <w:p>
      <w:pPr>
        <w:pStyle w:val="BodyText"/>
      </w:pPr>
      <w:r>
        <w:t xml:space="preserve">The original primary 12-participant contrast favored full refitting over frozen</w:t>
      </w:r>
      <w:r>
        <w:t xml:space="preserve"> </w:t>
      </w:r>
      <w:r>
        <w:t xml:space="preserve">decoding by 7.42 percentage points (95% participant-bootstrap interval 2.49–12.48).</w:t>
      </w:r>
      <w:r>
        <w:t xml:space="preserve"> </w:t>
      </w:r>
      <w:r>
        <w:t xml:space="preserve">The secondary equal-label-budget contrast favored full refitting over</w:t>
      </w:r>
      <w:r>
        <w:t xml:space="preserve"> </w:t>
      </w:r>
      <w:r>
        <w:t xml:space="preserve">classifier-only updating by 5.47 points (2.17–8.91), without promotion to a primary</w:t>
      </w:r>
      <w:r>
        <w:t xml:space="preserve"> </w:t>
      </w:r>
      <w:r>
        <w:t xml:space="preserve">endpoint. All fixed neural seeds, negative results and collapsed predictions</w:t>
      </w:r>
      <w:r>
        <w:t xml:space="preserve"> </w:t>
      </w:r>
      <w:r>
        <w:t xml:space="preserve">remain reported. Weak independent source-query EEGNet performance limits a</w:t>
      </w:r>
      <w:r>
        <w:t xml:space="preserve"> </w:t>
      </w:r>
      <w:r>
        <w:t xml:space="preserve">cross-session-drift explanation. New QC sensitivity preserves missing-class</w:t>
      </w:r>
      <w:r>
        <w:t xml:space="preserve"> </w:t>
      </w:r>
      <w:r>
        <w:t xml:space="preserve">limitations; event tracing qualifies the endpoint as cue-anchored task-label</w:t>
      </w:r>
      <w:r>
        <w:t xml:space="preserve"> </w:t>
      </w:r>
      <w:r>
        <w:t xml:space="preserve">decoding, not isolated sustained imagery. Prior test exposure remains explicit.</w:t>
      </w:r>
      <w:r>
        <w:t xml:space="preserve"> </w:t>
      </w:r>
      <w:r>
        <w:t xml:space="preserve">No validated adaptive gate, skill-retention effect or clinical efficacy is claimed.</w:t>
      </w:r>
    </w:p>
    <w:p>
      <w:pPr>
        <w:pStyle w:val="BodyText"/>
      </w:pPr>
      <w:r>
        <w:t xml:space="preserve">The review materials provide scientific methods, a separate audit appendix and</w:t>
      </w:r>
      <w:r>
        <w:t xml:space="preserve"> </w:t>
      </w:r>
      <w:r>
        <w:t xml:space="preserve">machine-readable saved-result reproduction. Original-study ethics and consent</w:t>
      </w:r>
      <w:r>
        <w:t xml:space="preserve"> </w:t>
      </w:r>
      <w:r>
        <w:t xml:space="preserve">are distinguished from the pending institutional determination for this secondary</w:t>
      </w:r>
      <w:r>
        <w:t xml:space="preserve"> </w:t>
      </w:r>
      <w:r>
        <w:t xml:space="preserve">analysis. Specific license activation and final author approval remain pending;</w:t>
      </w:r>
      <w:r>
        <w:t xml:space="preserve"> </w:t>
      </w:r>
      <w:r>
        <w:t xml:space="preserve">this draft does not assert completed submission eligibility.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Ziyuan Zhu; College of Artificial Intelligence Medicine, Chongqing Medical</w:t>
      </w:r>
      <w:r>
        <w:t xml:space="preserve"> </w:t>
      </w:r>
      <w:r>
        <w:t xml:space="preserve">University, Chongqing, China; zzy2630816871@gmail.com</w:t>
      </w:r>
    </w:p>
    <w:p>
      <w:pPr>
        <w:pStyle w:val="BodyText"/>
      </w:pPr>
      <w:r>
        <w:rPr>
          <w:i/>
          <w:iCs/>
        </w:rPr>
        <w:t xml:space="preserve">Author-only completion note: resolve the institutional/license/final-approval</w:t>
      </w:r>
      <w:r>
        <w:rPr>
          <w:i/>
          <w:iCs/>
        </w:rPr>
        <w:t xml:space="preserve"> </w:t>
      </w:r>
      <w:r>
        <w:rPr>
          <w:i/>
          <w:iCs/>
        </w:rPr>
        <w:t xml:space="preserve">items and enter any actual prior PLOS contact, editor suggestions or reviewer</w:t>
      </w:r>
      <w:r>
        <w:rPr>
          <w:i/>
          <w:iCs/>
        </w:rPr>
        <w:t xml:space="preserve"> </w:t>
      </w:r>
      <w:r>
        <w:rPr>
          <w:i/>
          <w:iCs/>
        </w:rPr>
        <w:t xml:space="preserve">exclusions from the accompanying worksheet before using this letter.</w:t>
      </w:r>
    </w:p>
    <w:sectPr>
      <w:footerReference w:type="default" ns1:id="rIdPlosPageFooter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64" w:lineRule="auto"/>
    </w:pPr>
    <w:rPr>
      <w:rFonts w:ascii="Times New Roman" w:cs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264" w:lineRule="auto"/>
    </w:pPr>
    <w:rPr>
      <w:rFonts w:ascii="Times New Roman" w:cs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64" w:lineRule="auto"/>
    </w:pPr>
    <w:rPr>
      <w:rFonts w:ascii="Times New Roman" w:cs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 w:line="264" w:lineRule="auto"/>
    </w:pPr>
    <w:rPr>
      <w:rFonts w:ascii="Times New Roman" w:cs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64" w:lineRule="auto"/>
    </w:pPr>
    <w:rPr>
      <w:i/>
      <w:rFonts w:ascii="Times New Roman" w:cs="Times New Roman" w:hAnsi="Times New Roman"/>
      <w:sz w:val="22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cover letter — for author review; not sent</dc:title>
  <dc:creator/>
  <dc:language>en-US</dc:language>
  <cp:keywords/>
  <dcterms:created xsi:type="dcterms:W3CDTF">2026-10-15T12:09:35Z</dcterms:created>
  <dcterms:modified xsi:type="dcterms:W3CDTF">2026-10-15T12:09:35Z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/workspace/few-shot-mi-eeg/manuscript/kumar_plos_one_references_20261015.bib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