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31.png" ContentType="image/png"/>
  <ns0:Override PartName="/word/media/rId34.png" ContentType="image/png"/>
  <ns0:Override PartName="/word/media/rId39.png" ContentType="image/png"/>
  <ns0:Override PartName="/word/media/rId43.png" ContentType="image/png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Longitudinal motor-imagery EEG decoding: Frozen baselines, supervised recalibration, and task-measurement reliability</w:t>
      </w:r>
    </w:p>
    <w:p>
      <w:pPr>
        <w:pStyle w:val="FirstParagraph"/>
      </w:pPr>
      <w:r>
        <w:rPr>
          <w:b/>
          <w:bCs/>
        </w:rPr>
        <w:t xml:space="preserve">Short title:</w:t>
      </w:r>
      <w:r>
        <w:t xml:space="preserve"> </w:t>
      </w:r>
      <w:r>
        <w:t xml:space="preserve">Longitudinal EEG decoding with limited recalibration labels</w:t>
      </w:r>
    </w:p>
    <w:p>
      <w:pPr>
        <w:pStyle w:val="BodyText"/>
      </w:pPr>
      <w:r>
        <w:rPr>
          <w:b/>
          <w:bCs/>
        </w:rPr>
        <w:t xml:space="preserve">Ziyuan Zhu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Ziyuan Zhu; zzy2630816871@gmail.com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https://orcid.org/0009-0005-1153-4926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Supervised recalibration in motor-imagery brain–computer interfaces can update</w:t>
      </w:r>
      <w:r>
        <w:t xml:space="preserve"> </w:t>
      </w:r>
      <w:r>
        <w:t xml:space="preserve">both a classifier and its spatial representation, but a useful update decision</w:t>
      </w:r>
      <w:r>
        <w:t xml:space="preserve"> </w:t>
      </w:r>
      <w:r>
        <w:t xml:space="preserve">also requires reliable task measurements. We reanalyzed 18 published participant</w:t>
      </w:r>
      <w:r>
        <w:t xml:space="preserve"> </w:t>
      </w:r>
      <w:r>
        <w:t xml:space="preserve">identities across six sessions of Kumar2024 (NEMAR nm000177/v1.0.5). A frozen</w:t>
      </w:r>
      <w:r>
        <w:t xml:space="preserve"> </w:t>
      </w:r>
      <w:r>
        <w:t xml:space="preserve">protocol compared source-only CSP/LDA, classifier-only recalibration with frozen</w:t>
      </w:r>
      <w:r>
        <w:t xml:space="preserve"> </w:t>
      </w:r>
      <w:r>
        <w:t xml:space="preserve">CSP, and full CSP/LDA refitting using the same 19 or 20 current-session support</w:t>
      </w:r>
      <w:r>
        <w:t xml:space="preserve"> </w:t>
      </w:r>
      <w:r>
        <w:t xml:space="preserve">labels. An always-frozen EEGNet baseline retained three fixed seeds. The original</w:t>
      </w:r>
      <w:r>
        <w:t xml:space="preserve"> </w:t>
      </w:r>
      <w:r>
        <w:t xml:space="preserve">primary contrast in 12 remaining participants favored full refitting over frozen</w:t>
      </w:r>
      <w:r>
        <w:t xml:space="preserve"> </w:t>
      </w:r>
      <w:r>
        <w:t xml:space="preserve">decoding by 7.42 percentage points (95% participant-bootstrap interval 2.49–12.48).</w:t>
      </w:r>
      <w:r>
        <w:t xml:space="preserve"> </w:t>
      </w:r>
      <w:r>
        <w:t xml:space="preserve">The secondary same-label-budget contrast favored full refitting over LDA-only</w:t>
      </w:r>
      <w:r>
        <w:t xml:space="preserve"> </w:t>
      </w:r>
      <w:r>
        <w:t xml:space="preserve">updating by 5.47 points (2.17–8.91); it was not promoted to a primary endpoint.</w:t>
      </w:r>
      <w:r>
        <w:t xml:space="preserve"> </w:t>
      </w:r>
      <w:r>
        <w:t xml:space="preserve">Three individual decreases ranged from 0.20 to 5.82 points. An exploratory</w:t>
      </w:r>
      <w:r>
        <w:t xml:space="preserve"> </w:t>
      </w:r>
      <w:r>
        <w:t xml:space="preserve">amplitude-QC sensitivity retained a defined five-session endpoint for 10 of these</w:t>
      </w:r>
      <w:r>
        <w:t xml:space="preserve"> </w:t>
      </w:r>
      <w:r>
        <w:t xml:space="preserve">participants; its full-minus-frozen contrast was 5.96 points (0.99–11.24), with</w:t>
      </w:r>
      <w:r>
        <w:t xml:space="preserve"> </w:t>
      </w:r>
      <w:r>
        <w:t xml:space="preserve">substantial missing-class and selection limitations. EEGNet source-query balanced accuracy (BA) was</w:t>
      </w:r>
      <w:r>
        <w:t xml:space="preserve"> </w:t>
      </w:r>
      <w:r>
        <w:t xml:space="preserve">52.92% and target BA 51.58%, so weak target performance cannot chiefly be assigned</w:t>
      </w:r>
      <w:r>
        <w:t xml:space="preserve"> </w:t>
      </w:r>
      <w:r>
        <w:t xml:space="preserve">to cross-session drift. Source and support reliability probes did not validate</w:t>
      </w:r>
      <w:r>
        <w:t xml:space="preserve"> </w:t>
      </w:r>
      <w:r>
        <w:t xml:space="preserve">an adaptation gate. Event-code tracing identified cue-anchored exported</w:t>
      </w:r>
      <w:r>
        <w:t xml:space="preserve"> </w:t>
      </w:r>
      <w:r>
        <w:t xml:space="preserve">five-second windows rather than verified five-second continuous imagery;</w:t>
      </w:r>
      <w:r>
        <w:t xml:space="preserve"> </w:t>
      </w:r>
      <w:r>
        <w:t xml:space="preserve">online phase composition remains unquantified. Full CSP/LDA refitting improved the</w:t>
      </w:r>
      <w:r>
        <w:t xml:space="preserve"> </w:t>
      </w:r>
      <w:r>
        <w:t xml:space="preserve">cohort-average endpoint under the specified support-label budget, whereas the</w:t>
      </w:r>
      <w:r>
        <w:t xml:space="preserve"> </w:t>
      </w:r>
      <w:r>
        <w:t xml:space="preserve">LDA-only contrast remained uncertain. Prior test exposure makes the follow-up</w:t>
      </w:r>
      <w:r>
        <w:t xml:space="preserve"> </w:t>
      </w:r>
      <w:r>
        <w:t xml:space="preserve">analyses exploratory. These results concern released task-label windows, not</w:t>
      </w:r>
      <w:r>
        <w:t xml:space="preserve"> </w:t>
      </w:r>
      <w:r>
        <w:t xml:space="preserve">isolated imagery physiology, human skill retention or clinical efficacy.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Longitudinal motor-imagery brain–computer interface (BCI) decoding must account</w:t>
      </w:r>
      <w:r>
        <w:t xml:space="preserve"> </w:t>
      </w:r>
      <w:r>
        <w:t xml:space="preserve">for changes in recording distributions and in the relation between signals and</w:t>
      </w:r>
      <w:r>
        <w:t xml:space="preserve"> </w:t>
      </w:r>
      <w:r>
        <w:t xml:space="preserve">task labels. Nonstationarity, limited calibration data and evaluation design</w:t>
      </w:r>
      <w:r>
        <w:t xml:space="preserve"> </w:t>
      </w:r>
      <w:r>
        <w:t xml:space="preserve">remain recurring challenges</w:t>
      </w:r>
      <w:r>
        <w:t xml:space="preserve"> </w:t>
      </w:r>
      <w:r>
        <w:t xml:space="preserve">[</w:t>
      </w:r>
      <w:hyperlink w:anchor="ref-lotte2018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Common spatial patterns (CSP) and</w:t>
      </w:r>
      <w:r>
        <w:t xml:space="preserve"> </w:t>
      </w:r>
      <w:r>
        <w:t xml:space="preserve">linear discriminant analysis (LDA) offer a conventional setting in which spatial</w:t>
      </w:r>
      <w:r>
        <w:t xml:space="preserve"> </w:t>
      </w:r>
      <w:r>
        <w:t xml:space="preserve">representation and classification can be updated separately</w:t>
      </w:r>
      <w:r>
        <w:t xml:space="preserve"> </w:t>
      </w:r>
      <w:r>
        <w:t xml:space="preserve">[</w:t>
      </w:r>
      <w:hyperlink w:anchor="ref-ramoser2000">
        <w:r>
          <w:rPr>
            <w:rStyle w:val="Hyperlink"/>
          </w:rPr>
          <w:t xml:space="preserve">2</w:t>
        </w:r>
      </w:hyperlink>
      <w:r>
        <w:t xml:space="preserve">,</w:t>
      </w:r>
      <w:hyperlink w:anchor="ref-blankertz2008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A current-session label budget may improve decoding, but it</w:t>
      </w:r>
      <w:r>
        <w:t xml:space="preserve"> </w:t>
      </w:r>
      <w:r>
        <w:t xml:space="preserve">does not establish that every participant or session benefits from updating.</w:t>
      </w:r>
    </w:p>
    <w:p>
      <w:pPr>
        <w:pStyle w:val="BodyText"/>
      </w:pPr>
      <w:r>
        <w:t xml:space="preserve">Kumar and colleagues already studied fixed and adaptive CSP in longitudinal</w:t>
      </w:r>
      <w:r>
        <w:t xml:space="preserve"> </w:t>
      </w:r>
      <w:r>
        <w:t xml:space="preserve">BCI training, including updates using labels from a session’s first run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We therefore do not claim that recalibration,</w:t>
      </w:r>
      <w:r>
        <w:t xml:space="preserve"> </w:t>
      </w:r>
      <w:r>
        <w:t xml:space="preserve">first-run calibration followed by later-run evaluation, or adaptive CSP is a new</w:t>
      </w:r>
      <w:r>
        <w:t xml:space="preserve"> </w:t>
      </w:r>
      <w:r>
        <w:t xml:space="preserve">procedure. Our narrower question is whether updating the spatial filters in</w:t>
      </w:r>
      <w:r>
        <w:t xml:space="preserve"> </w:t>
      </w:r>
      <w:r>
        <w:t xml:space="preserve">addition to the classifier changes performance when both updates receive the</w:t>
      </w:r>
      <w:r>
        <w:t xml:space="preserve"> </w:t>
      </w:r>
      <w:r>
        <w:t xml:space="preserve">same approximately 20 target labels, and whether available task measurements</w:t>
      </w:r>
      <w:r>
        <w:t xml:space="preserve"> </w:t>
      </w:r>
      <w:r>
        <w:t xml:space="preserve">are reliable enough to inform an update decision. The original full-refit versus</w:t>
      </w:r>
      <w:r>
        <w:t xml:space="preserve"> </w:t>
      </w:r>
      <w:r>
        <w:t xml:space="preserve">frozen comparison remains primary; the full-refit versus classifier-only</w:t>
      </w:r>
      <w:r>
        <w:t xml:space="preserve"> </w:t>
      </w:r>
      <w:r>
        <w:t xml:space="preserve">comparison is an explicitly secondary, equal-label-budget contrast.</w:t>
      </w:r>
    </w:p>
    <w:p>
      <w:pPr>
        <w:pStyle w:val="BodyText"/>
      </w:pPr>
      <w:r>
        <w:t xml:space="preserve">Distribution alignment is a related but different strategy. Euclidean alignment</w:t>
      </w:r>
      <w:r>
        <w:t xml:space="preserve"> </w:t>
      </w:r>
      <w:r>
        <w:t xml:space="preserve">and Riemannian transfer frameworks reduce between-domain mismatch before or</w:t>
      </w:r>
      <w:r>
        <w:t xml:space="preserve"> </w:t>
      </w:r>
      <w:r>
        <w:t xml:space="preserve">within decoding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 Such approaches are</w:t>
      </w:r>
      <w:r>
        <w:t xml:space="preserve"> </w:t>
      </w:r>
      <w:r>
        <w:t xml:space="preserve">relevant alternatives, not baselines that were implemented here. A covariance</w:t>
      </w:r>
      <w:r>
        <w:t xml:space="preserve"> </w:t>
      </w:r>
      <w:r>
        <w:t xml:space="preserve">distance or task-score measurement alone neither reproduces those methods nor</w:t>
      </w:r>
      <w:r>
        <w:t xml:space="preserve"> </w:t>
      </w:r>
      <w:r>
        <w:t xml:space="preserve">establishes that a policy based on it improves decoding. Likewise, decoder</w:t>
      </w:r>
      <w:r>
        <w:t xml:space="preserve"> </w:t>
      </w:r>
      <w:r>
        <w:t xml:space="preserve">accuracy is not interchangeable with a user’s mental-imagery skill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This secondary analysis evaluates stored task labels rather</w:t>
      </w:r>
      <w:r>
        <w:t xml:space="preserve"> </w:t>
      </w:r>
      <w:r>
        <w:t xml:space="preserve">than the original study’s online interventions or acquired skills.</w:t>
      </w:r>
    </w:p>
    <w:p>
      <w:pPr>
        <w:pStyle w:val="BodyText"/>
      </w:pPr>
      <w:r>
        <w:t xml:space="preserve">EEGNet supplies a compact neural reference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 but identical query</w:t>
      </w:r>
      <w:r>
        <w:t xml:space="preserve"> </w:t>
      </w:r>
      <w:r>
        <w:t xml:space="preserve">trials do not equalize source-validation labels, target support or optimization.</w:t>
      </w:r>
      <w:r>
        <w:t xml:space="preserve"> </w:t>
      </w:r>
      <w:r>
        <w:t xml:space="preserve">We retain every fixed seed and class-collapsed outcome and examine saved learning</w:t>
      </w:r>
      <w:r>
        <w:t xml:space="preserve"> </w:t>
      </w:r>
      <w:r>
        <w:t xml:space="preserve">histories to interpret this small-source setting. We also trace the exported</w:t>
      </w:r>
      <w:r>
        <w:t xml:space="preserve"> </w:t>
      </w:r>
      <w:r>
        <w:t xml:space="preserve">events to their task semantics: a complete data window is not automatically a</w:t>
      </w:r>
      <w:r>
        <w:t xml:space="preserve"> </w:t>
      </w:r>
      <w:r>
        <w:t xml:space="preserve">complete imagery phase. The resulting contribution is a bounded comparison of</w:t>
      </w:r>
      <w:r>
        <w:t xml:space="preserve"> </w:t>
      </w:r>
      <w:r>
        <w:t xml:space="preserve">frozen and supervised conventional baselines, measurement reliability and</w:t>
      </w:r>
      <w:r>
        <w:t xml:space="preserve"> </w:t>
      </w:r>
      <w:r>
        <w:t xml:space="preserve">explicit sources of uncertainty, rather than a newly validated task-aware gate.</w:t>
      </w:r>
    </w:p>
    <w:bookmarkEnd w:id="21"/>
    <w:bookmarkStart w:id="30" w:name="materials-and-methods"/>
    <w:p>
      <w:pPr>
        <w:pStyle w:val="Heading1"/>
      </w:pPr>
      <w:r>
        <w:t xml:space="preserve">Materials and methods</w:t>
      </w:r>
    </w:p>
    <w:bookmarkStart w:id="22" w:name="X571d9509be31e008829b3f91db7478e25d101c3"/>
    <w:p>
      <w:pPr>
        <w:pStyle w:val="Heading2"/>
      </w:pPr>
      <w:r>
        <w:t xml:space="preserve">Data source, original study and ethical status</w:t>
      </w:r>
    </w:p>
    <w:p>
      <w:pPr>
        <w:pStyle w:val="FirstParagraph"/>
      </w:pPr>
      <w:r>
        <w:t xml:space="preserve">We used the released Kumar2024 derivative, NEMAR nm000177/v1.0.5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, associated with the original study and its correction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 original Methods report University of</w:t>
      </w:r>
      <w:r>
        <w:t xml:space="preserve"> </w:t>
      </w:r>
      <w:r>
        <w:t xml:space="preserve">Texas at Austin protocol 2020-03-0073 and written informed consent before the</w:t>
      </w:r>
      <w:r>
        <w:t xml:space="preserve"> </w:t>
      </w:r>
      <w:r>
        <w:t xml:space="preserve">experiment. These statements were checked against accessible indexed original</w:t>
      </w:r>
      <w:r>
        <w:t xml:space="preserve"> </w:t>
      </w:r>
      <w:r>
        <w:t xml:space="preserve">Methods passages; downloading the complete original XML was unsuccessful.</w:t>
      </w:r>
      <w:r>
        <w:t xml:space="preserve"> </w:t>
      </w:r>
      <w:r>
        <w:t xml:space="preserve">They describe the original collection, not approval of this secondary analysis.</w:t>
      </w:r>
      <w:r>
        <w:t xml:space="preserve"> </w:t>
      </w:r>
      <w:r>
        <w:t xml:space="preserve">No new participants were recruited and no intervention was performed. The</w:t>
      </w:r>
      <w:r>
        <w:t xml:space="preserve"> </w:t>
      </w:r>
      <w:r>
        <w:t xml:space="preserve">responsible institution’s determination for this secondary use remains pending</w:t>
      </w:r>
      <w:r>
        <w:t xml:space="preserve"> </w:t>
      </w:r>
      <w:r>
        <w:t xml:space="preserve">confirmation by the author; no approval, exemption, waiver or no-review conclusion</w:t>
      </w:r>
      <w:r>
        <w:t xml:space="preserve"> </w:t>
      </w:r>
      <w:r>
        <w:t xml:space="preserve">is asserted for this project.</w:t>
      </w:r>
    </w:p>
    <w:p>
      <w:pPr>
        <w:pStyle w:val="BodyText"/>
      </w:pPr>
      <w:r>
        <w:t xml:space="preserve">The preserved derivative contains 18 published participant identities, six</w:t>
      </w:r>
      <w:r>
        <w:t xml:space="preserve"> </w:t>
      </w:r>
      <w:r>
        <w:t xml:space="preserve">sessions and 360 EDF recordings. It is not a new recording collection or an</w:t>
      </w:r>
      <w:r>
        <w:t xml:space="preserve"> </w:t>
      </w:r>
      <w:r>
        <w:t xml:space="preserve">independent reproduction of the acquisition pipeline. Published identities are</w:t>
      </w:r>
      <w:r>
        <w:t xml:space="preserve"> </w:t>
      </w:r>
      <w:r>
        <w:t xml:space="preserve">the statistical units; numerical duplicate checks do not independently verify</w:t>
      </w:r>
      <w:r>
        <w:t xml:space="preserve"> </w:t>
      </w:r>
      <w:r>
        <w:t xml:space="preserve">biological identity. Invalid age placeholders and unresolved original training-</w:t>
      </w:r>
      <w:r>
        <w:t xml:space="preserve"> </w:t>
      </w:r>
      <w:r>
        <w:t xml:space="preserve">protocol membership preclude demographic or intervention-subgroup claims.</w:t>
      </w:r>
    </w:p>
    <w:bookmarkEnd w:id="22"/>
    <w:bookmarkStart w:id="23" w:name="Xa962a854531297a5da8b50b75d97e3532816148"/>
    <w:p>
      <w:pPr>
        <w:pStyle w:val="Heading2"/>
      </w:pPr>
      <w:r>
        <w:t xml:space="preserve">Exported windows, task-phase meaning and chronological partition</w:t>
      </w:r>
    </w:p>
    <w:p>
      <w:pPr>
        <w:pStyle w:val="FirstParagraph"/>
      </w:pPr>
      <w:r>
        <w:t xml:space="preserve">The frozen analysis identified 7,200 exported left/right event identities and</w:t>
      </w:r>
      <w:r>
        <w:t xml:space="preserve"> </w:t>
      </w:r>
      <w:r>
        <w:t xml:space="preserve">used five-second intervals beginning at their annotated onset. Forty-four</w:t>
      </w:r>
      <w:r>
        <w:t xml:space="preserve"> </w:t>
      </w:r>
      <w:r>
        <w:t xml:space="preserve">intervals ended at the recording boundary before five seconds; they were</w:t>
      </w:r>
      <w:r>
        <w:t xml:space="preserve"> </w:t>
      </w:r>
      <w:r>
        <w:t xml:space="preserve">preserved and excluded without padding or replacement, leaving 7,156 complete</w:t>
      </w:r>
      <w:r>
        <w:t xml:space="preserve"> </w:t>
      </w:r>
      <w:r>
        <w:t xml:space="preserve">windows. Completeness here refers to available recorded samples, not to five</w:t>
      </w:r>
      <w:r>
        <w:t xml:space="preserve"> </w:t>
      </w:r>
      <w:r>
        <w:t xml:space="preserve">seconds of continuous motor imagery.</w:t>
      </w:r>
    </w:p>
    <w:p>
      <w:pPr>
        <w:pStyle w:val="BodyText"/>
      </w:pPr>
      <w:r>
        <w:t xml:space="preserve">The original author-supplied codebook defines 769/770 as left/right cue markers</w:t>
      </w:r>
      <w:r>
        <w:t xml:space="preserve"> </w:t>
      </w:r>
      <w:r>
        <w:t xml:space="preserve">and distinct 7691/7701 markers as task-period starts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preserved MOABB Kumar adapter</w:t>
      </w:r>
      <w:r>
        <w:t xml:space="preserve"> </w:t>
      </w:r>
      <w:r>
        <w:t xml:space="preserve">[</w:t>
      </w:r>
      <w:hyperlink w:anchor="ref-jayaram2018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maps 769/770 to left/right and declares [0,5]</w:t>
      </w:r>
      <w:r>
        <w:t xml:space="preserve"> </w:t>
      </w:r>
      <w:r>
        <w:t xml:space="preserve">seconds; the derivative’s class annotations and fixed/clipped durations agree</w:t>
      </w:r>
      <w:r>
        <w:t xml:space="preserve"> </w:t>
      </w:r>
      <w:r>
        <w:t xml:space="preserve">with this documented export convention. The precise historical converter commit</w:t>
      </w:r>
      <w:r>
        <w:t xml:space="preserve"> </w:t>
      </w:r>
      <w:r>
        <w:t xml:space="preserve">and the original trial-level marker arrays were not independently replayed.</w:t>
      </w:r>
      <w:r>
        <w:t xml:space="preserve"> </w:t>
      </w:r>
      <w:r>
        <w:t xml:space="preserve">The original Methods describe a</w:t>
      </w:r>
      <w:r>
        <w:t xml:space="preserve"> </w:t>
      </w:r>
      <w:r>
        <w:t xml:space="preserve">1.5-second cue preceding feedback, with an offline task duration of five seconds</w:t>
      </w:r>
      <w:r>
        <w:t xml:space="preserve"> </w:t>
      </w:r>
      <w:r>
        <w:t xml:space="preserve">and online feedback lasting at most seven seconds, followed by result and rest.</w:t>
      </w:r>
      <w:r>
        <w:t xml:space="preserve"> </w:t>
      </w:r>
      <w:r>
        <w:t xml:space="preserve">Thus the documented export chain supports</w:t>
      </w:r>
      <w:r>
        <w:t xml:space="preserve"> </w:t>
      </w:r>
      <w:r>
        <w:rPr>
          <w:b/>
          <w:bCs/>
        </w:rPr>
        <w:t xml:space="preserve">cue-anchored task-label windows</w:t>
      </w:r>
      <w:r>
        <w:t xml:space="preserve">,</w:t>
      </w:r>
      <w:r>
        <w:t xml:space="preserve"> </w:t>
      </w:r>
      <w:r>
        <w:t xml:space="preserve">not isolation of a continuous five-second imagery phase. A nominal cue-anchored</w:t>
      </w:r>
      <w:r>
        <w:t xml:space="preserve"> </w:t>
      </w:r>
      <w:r>
        <w:t xml:space="preserve">window includes the cue interval and at most the subsequent 3.5 seconds; early</w:t>
      </w:r>
      <w:r>
        <w:t xml:space="preserve"> </w:t>
      </w:r>
      <w:r>
        <w:t xml:space="preserve">online termination could introduce later phases. Their trial-level proportions</w:t>
      </w:r>
      <w:r>
        <w:t xml:space="preserve"> </w:t>
      </w:r>
      <w:r>
        <w:t xml:space="preserve">cannot be measured without the original marker sequence and a verified clock</w:t>
      </w:r>
      <w:r>
        <w:t xml:space="preserve"> </w:t>
      </w:r>
      <w:r>
        <w:t xml:space="preserve">mapping. We did not reconstruct these phases from labels or alter any window.</w:t>
      </w:r>
    </w:p>
    <w:p>
      <w:pPr>
        <w:pStyle w:val="BodyText"/>
      </w:pPr>
      <w:r>
        <w:t xml:space="preserve">All 44 short intervals occur on the last event of an online recording and stop</w:t>
      </w:r>
      <w:r>
        <w:t xml:space="preserve"> </w:t>
      </w:r>
      <w:r>
        <w:t xml:space="preserve">at the audited EDF end. This is a recording-boundary relationship, not evidence</w:t>
      </w:r>
      <w:r>
        <w:t xml:space="preserve"> </w:t>
      </w:r>
      <w:r>
        <w:t xml:space="preserve">that exactly 44 tasks ended early. Neither variable task duration by itself nor</w:t>
      </w:r>
      <w:r>
        <w:t xml:space="preserve"> </w:t>
      </w:r>
      <w:r>
        <w:t xml:space="preserve">this boundary check establishes a sample-indexing error. The original results</w:t>
      </w:r>
      <w:r>
        <w:t xml:space="preserve"> </w:t>
      </w:r>
      <w:r>
        <w:t xml:space="preserve">are retained as decoding of the released task-label windows. S1 Text gives the</w:t>
      </w:r>
      <w:r>
        <w:t xml:space="preserve"> </w:t>
      </w:r>
      <w:r>
        <w:t xml:space="preserve">event evidence and the minimum requirements for a future phase-specific amendment.</w:t>
      </w:r>
    </w:p>
    <w:p>
      <w:pPr>
        <w:pStyle w:val="BodyText"/>
      </w:pPr>
      <w:r>
        <w:t xml:space="preserve">Development identities were sub-1, 4, 7, 10, 13 and 16; the remaining 12 formed</w:t>
      </w:r>
      <w:r>
        <w:t xml:space="preserve"> </w:t>
      </w:r>
      <w:r>
        <w:t xml:space="preserve">the fixed primary cohort, selected by numeric order rather than performance.</w:t>
      </w:r>
      <w:r>
        <w:t xml:space="preserve"> </w:t>
      </w:r>
      <w:r>
        <w:t xml:space="preserve">In session 0, runs 0/1 supplied 40 source TRAIN windows, run 2 supplied 20 source</w:t>
      </w:r>
      <w:r>
        <w:t xml:space="preserve"> </w:t>
      </w:r>
      <w:r>
        <w:t xml:space="preserve">validation windows and run 3 supplied source query. In each of five later</w:t>
      </w:r>
      <w:r>
        <w:t xml:space="preserve"> </w:t>
      </w:r>
      <w:r>
        <w:t xml:space="preserve">sessions, run 0 supplied support and the remaining whole runs supplied query.</w:t>
      </w:r>
      <w:r>
        <w:t xml:space="preserve"> </w:t>
      </w:r>
      <w:r>
        <w:t xml:space="preserve">Updates used source TRAIN plus current-session support without accumulating</w:t>
      </w:r>
      <w:r>
        <w:t xml:space="preserve"> </w:t>
      </w:r>
      <w:r>
        <w:t xml:space="preserve">future or earlier target labels. Partial exclusions left 19/20 support events</w:t>
      </w:r>
      <w:r>
        <w:t xml:space="preserve"> </w:t>
      </w:r>
      <w:r>
        <w:t xml:space="preserve">per target session (1,786 total) and 4,290 query events: 360 source and 3,930</w:t>
      </w:r>
      <w:r>
        <w:t xml:space="preserve"> </w:t>
      </w:r>
      <w:r>
        <w:t xml:space="preserve">target. Thirty partial query events remained excluded. Derivative timestamp</w:t>
      </w:r>
      <w:r>
        <w:t xml:space="preserve"> </w:t>
      </w:r>
      <w:r>
        <w:t xml:space="preserve">order was checked; absolute calendar accuracy was not independently established.</w:t>
      </w:r>
    </w:p>
    <w:bookmarkEnd w:id="23"/>
    <w:bookmarkStart w:id="24" w:name="X4793d4b513ba3da6d4162203c115b3bfff662fb"/>
    <w:p>
      <w:pPr>
        <w:pStyle w:val="Heading2"/>
      </w:pPr>
      <w:r>
        <w:t xml:space="preserve">Preprocessing and fixed amplitude-QC flag</w:t>
      </w:r>
    </w:p>
    <w:p>
      <w:pPr>
        <w:pStyle w:val="FirstParagraph"/>
      </w:pPr>
      <w:r>
        <w:t xml:space="preserve">Each event independently underwent common-average referencing across 22 channels,</w:t>
      </w:r>
      <w:r>
        <w:t xml:space="preserve"> </w:t>
      </w:r>
      <w:r>
        <w:t xml:space="preserve">fourth-order 8–30 Hz Butterworth zero-phase filtering and polyphase resampling</w:t>
      </w:r>
      <w:r>
        <w:t xml:space="preserve"> </w:t>
      </w:r>
      <w:r>
        <w:t xml:space="preserve">from 512 to 128 Hz, yielding 22 × 640 float32 values in volts. These epoch-local</w:t>
      </w:r>
      <w:r>
        <w:t xml:space="preserve"> </w:t>
      </w:r>
      <w:r>
        <w:t xml:space="preserve">operations learned no held-out statistics. Zero-phase filtering defines an</w:t>
      </w:r>
      <w:r>
        <w:t xml:space="preserve"> </w:t>
      </w:r>
      <w:r>
        <w:t xml:space="preserve">offline analysis; it neither proves real-time operation nor removes a cue or</w:t>
      </w:r>
      <w:r>
        <w:t xml:space="preserve"> </w:t>
      </w:r>
      <w:r>
        <w:t xml:space="preserve">feedback contribution. Native CPz reference remains a metadata declaration.</w:t>
      </w:r>
    </w:p>
    <w:p>
      <w:pPr>
        <w:pStyle w:val="BodyText"/>
      </w:pPr>
      <w:r>
        <w:t xml:space="preserve">The existing 250 µV maximum raw channel peak-to-peak rule flagged 1,512/7,156</w:t>
      </w:r>
      <w:r>
        <w:t xml:space="preserve"> </w:t>
      </w:r>
      <w:r>
        <w:t xml:space="preserve">complete windows. Every flagged complete window remained in the primary analysis.</w:t>
      </w:r>
      <w:r>
        <w:t xml:space="preserve"> </w:t>
      </w:r>
      <w:r>
        <w:t xml:space="preserve">The rule is an amplitude flag, not expert artifact certification. Signal timing</w:t>
      </w:r>
      <w:r>
        <w:t xml:space="preserve"> </w:t>
      </w:r>
      <w:r>
        <w:t xml:space="preserve">and non-neural contributions are separate qualifications. No threshold or</w:t>
      </w:r>
      <w:r>
        <w:t xml:space="preserve"> </w:t>
      </w:r>
      <w:r>
        <w:t xml:space="preserve">preprocessing parameter was selected from the new sensitivity results.</w:t>
      </w:r>
    </w:p>
    <w:bookmarkEnd w:id="24"/>
    <w:bookmarkStart w:id="25" w:name="decoders-and-information-budgets"/>
    <w:p>
      <w:pPr>
        <w:pStyle w:val="Heading2"/>
      </w:pPr>
      <w:r>
        <w:t xml:space="preserve">Decoders and information budgets</w:t>
      </w:r>
    </w:p>
    <w:p>
      <w:pPr>
        <w:pStyle w:val="FirstParagraph"/>
      </w:pPr>
      <w:r>
        <w:t xml:space="preserve">The CPU pipeline used four-component CSP with Ledoit–Wolf regularization,</w:t>
      </w:r>
      <w:r>
        <w:t xml:space="preserve"> </w:t>
      </w:r>
      <w:r>
        <w:t xml:space="preserve">log mean-square features 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, followed by shrinkage LDA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solver=lsqr</w:t>
      </w:r>
      <w:r>
        <w:t xml:space="preserve">, automatic shrinkage). One prespecified configuration was used.</w:t>
      </w:r>
      <w:r>
        <w:t xml:space="preserve"> </w:t>
      </w:r>
      <w:r>
        <w:t xml:space="preserve">Source-only CSP and LDA stayed fixed. Recalibration retained source CSP and</w:t>
      </w:r>
      <w:r>
        <w:t xml:space="preserve"> </w:t>
      </w:r>
      <w:r>
        <w:t xml:space="preserve">refitted LDA with source training plus current support; full refitting updated</w:t>
      </w:r>
      <w:r>
        <w:t xml:space="preserve"> </w:t>
      </w:r>
      <w:r>
        <w:t xml:space="preserve">both stages using that same union. Validation and query identities were</w:t>
      </w:r>
      <w:r>
        <w:t xml:space="preserve"> </w:t>
      </w:r>
      <w:r>
        <w:t xml:space="preserve">excluded from all CPU fitting and parameter selection.</w:t>
      </w:r>
    </w:p>
    <w:p>
      <w:pPr>
        <w:pStyle w:val="BodyText"/>
      </w:pPr>
      <w:r>
        <w:t xml:space="preserve">EEGNet used the frozen Braindecode architecture (F1=4, D=2, F2=8, dropout 0.5),</w:t>
      </w:r>
      <w:r>
        <w:t xml:space="preserve"> </w:t>
      </w:r>
      <w:r>
        <w:t xml:space="preserve">Adam at learning rate 0.001, batch size 16 and a maximum of 100 epochs. Channel</w:t>
      </w:r>
      <w:r>
        <w:t xml:space="preserve"> </w:t>
      </w:r>
      <w:r>
        <w:t xml:space="preserve">means and scales were fitted to source training only. Source-validation</w:t>
      </w:r>
      <w:r>
        <w:t xml:space="preserve"> </w:t>
      </w:r>
      <w:r>
        <w:t xml:space="preserve">cross entropy selected the earliest best epoch with patience 15; the complete</w:t>
      </w:r>
      <w:r>
        <w:t xml:space="preserve"> </w:t>
      </w:r>
      <w:r>
        <w:t xml:space="preserve">selected state was restored. All three seeds—20261012, 20261013 and 20261014—</w:t>
      </w:r>
      <w:r>
        <w:t xml:space="preserve"> </w:t>
      </w:r>
      <w:r>
        <w:t xml:space="preserve">were retained for each participant. The 54 completed source fits used 2,871</w:t>
      </w:r>
      <w:r>
        <w:t xml:space="preserve"> </w:t>
      </w:r>
      <w:r>
        <w:t xml:space="preserve">epochs and 8,613 optimizer steps. No source fit was repeated for query evaluation.</w:t>
      </w:r>
      <w:r>
        <w:t xml:space="preserve"> </w:t>
      </w:r>
      <w:r>
        <w:t xml:space="preserve">Query inference used evaluation mode with fixed parameters, batch-normalization</w:t>
      </w:r>
      <w:r>
        <w:t xml:space="preserve"> </w:t>
      </w:r>
      <w:r>
        <w:t xml:space="preserve">buffers and normalization statistics, with zero optimizer or support updates.</w:t>
      </w:r>
    </w:p>
    <w:p>
      <w:pPr>
        <w:pStyle w:val="BodyText"/>
      </w:pPr>
      <w:r>
        <w:t xml:space="preserve">Table 1 summarizes the labeled-data use per participant.</w:t>
      </w:r>
    </w:p>
    <w:p>
      <w:pPr>
        <w:pStyle w:val="BodyText"/>
      </w:pPr>
      <w:r>
        <w:rPr>
          <w:b/>
          <w:bCs/>
        </w:rPr>
        <w:t xml:space="preserve">Table 1. Labeled-data use per participant.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optimizer/estimator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Source-validation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target support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LDA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both stages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 per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labeled windows select stopping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Thus the two CPU update methods share the same adaptation label budget. Their</w:t>
      </w:r>
      <w:r>
        <w:t xml:space="preserve"> </w:t>
      </w:r>
      <w:r>
        <w:t xml:space="preserve">comparison with the frozen CPU model measures performance after adding the</w:t>
      </w:r>
      <w:r>
        <w:t xml:space="preserve"> </w:t>
      </w:r>
      <w:r>
        <w:t xml:space="preserve">specified support labels. Identical query samples do not make EEGNet and CPU</w:t>
      </w:r>
      <w:r>
        <w:t xml:space="preserve"> </w:t>
      </w:r>
      <w:r>
        <w:t xml:space="preserve">methods equal-budget architecture comparisons: EEGNet additionally uses the</w:t>
      </w:r>
      <w:r>
        <w:t xml:space="preserve"> </w:t>
      </w:r>
      <w:r>
        <w:t xml:space="preserve">source-validation labels for epoch selection, and only the CPU update methods</w:t>
      </w:r>
      <w:r>
        <w:t xml:space="preserve"> </w:t>
      </w:r>
      <w:r>
        <w:t xml:space="preserve">use target labels. No causal architecture or compute-efficiency ranking is</w:t>
      </w:r>
      <w:r>
        <w:t xml:space="preserve"> </w:t>
      </w:r>
      <w:r>
        <w:t xml:space="preserve">inferred from these differences. The architecture and implementation follow</w:t>
      </w:r>
      <w:r>
        <w:t xml:space="preserve"> </w:t>
      </w:r>
      <w:r>
        <w:t xml:space="preserve">EEGNet and Braindecode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9</w:t>
        </w:r>
      </w:hyperlink>
      <w:r>
        <w:t xml:space="preserve">,</w:t>
      </w:r>
      <w:hyperlink w:anchor="ref-schirrmeister2017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; the exact executed</w:t>
      </w:r>
      <w:r>
        <w:t xml:space="preserve"> </w:t>
      </w:r>
      <w:r>
        <w:t xml:space="preserve">constructor and optimization settings are listed in Supplementary Methods S3.</w:t>
      </w:r>
      <w:r>
        <w:t xml:space="preserve"> </w:t>
      </w:r>
      <w:r>
        <w:t xml:space="preserve">The covariance regularization and LDA settings are implementation choices of</w:t>
      </w:r>
      <w:r>
        <w:t xml:space="preserve"> </w:t>
      </w:r>
      <w:r>
        <w:t xml:space="preserve">the frozen pipeline, rather than parameters selected using target outcomes</w:t>
      </w:r>
      <w:r>
        <w:t xml:space="preserve"> </w:t>
      </w:r>
      <w:r>
        <w:t xml:space="preserve">[</w:t>
      </w:r>
      <w:hyperlink w:anchor="ref-ledoit2004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.</w:t>
      </w:r>
    </w:p>
    <w:bookmarkEnd w:id="25"/>
    <w:bookmarkStart w:id="26" w:name="X64b49c936273664600d7c2070d21ce77a45a5b2"/>
    <w:p>
      <w:pPr>
        <w:pStyle w:val="Heading2"/>
      </w:pPr>
      <w:r>
        <w:t xml:space="preserve">Endpoints, statistical units and original comparisons</w:t>
      </w:r>
    </w:p>
    <w:p>
      <w:pPr>
        <w:pStyle w:val="FirstParagraph"/>
      </w:pPr>
      <w:r>
        <w:t xml:space="preserve">Balanced accuracy (BA) was the mean of the two class recalls. The primary</w:t>
      </w:r>
      <w:r>
        <w:t xml:space="preserve"> </w:t>
      </w:r>
      <w:r>
        <w:t xml:space="preserve">endpoint was each participant’s mean BA over its five target sessions. The</w:t>
      </w:r>
      <w:r>
        <w:t xml:space="preserve"> </w:t>
      </w:r>
      <w:r>
        <w:t xml:space="preserve">primary contrast remained full CSP/LDA refitting minus source-only CSP/LDA in</w:t>
      </w:r>
      <w:r>
        <w:t xml:space="preserve"> </w:t>
      </w:r>
      <w:r>
        <w:t xml:space="preserve">the fixed remaining 12 identities. For EEGNet, all three seed scores were</w:t>
      </w:r>
      <w:r>
        <w:t xml:space="preserve"> </w:t>
      </w:r>
      <w:r>
        <w:t xml:space="preserve">averaged within participant/session before the five target sessions were</w:t>
      </w:r>
      <w:r>
        <w:t xml:space="preserve"> </w:t>
      </w:r>
      <w:r>
        <w:t xml:space="preserve">averaged within participant. Source query was reported separately. Neither</w:t>
      </w:r>
      <w:r>
        <w:t xml:space="preserve"> </w:t>
      </w:r>
      <w:r>
        <w:t xml:space="preserve">seeds, sessions nor trials increased the independent participant count.</w:t>
      </w:r>
    </w:p>
    <w:p>
      <w:pPr>
        <w:pStyle w:val="BodyText"/>
      </w:pPr>
      <w:r>
        <w:t xml:space="preserve">Balanced-accuracy and participant-mean reliability summaries used 10,000</w:t>
      </w:r>
      <w:r>
        <w:t xml:space="preserve"> </w:t>
      </w:r>
      <w:r>
        <w:t xml:space="preserve">participant resamples with seed 42 for descriptive 95% percentile intervals;</w:t>
      </w:r>
      <w:r>
        <w:t xml:space="preserve"> </w:t>
      </w:r>
      <w:r>
        <w:t xml:space="preserve">paired CPU contrasts resampled paired participant differences. The separately</w:t>
      </w:r>
      <w:r>
        <w:t xml:space="preserve"> </w:t>
      </w:r>
      <w:r>
        <w:t xml:space="preserve">prespecified session-level drift associations used 2,000 participant-block</w:t>
      </w:r>
      <w:r>
        <w:t xml:space="preserve"> </w:t>
      </w:r>
      <w:r>
        <w:t xml:space="preserve">resamples with seed 42, retaining each sampled participant’s five sessions.</w:t>
      </w:r>
      <w:r>
        <w:t xml:space="preserve"> </w:t>
      </w:r>
      <w:r>
        <w:t xml:space="preserve">Development and remaining cohorts were reported separately; all-18 summaries</w:t>
      </w:r>
      <w:r>
        <w:t xml:space="preserve"> </w:t>
      </w:r>
      <w:r>
        <w:t xml:space="preserve">were secondary. Cohort intervals containing 50% were not converted into a</w:t>
      </w:r>
      <w:r>
        <w:t xml:space="preserve"> </w:t>
      </w:r>
      <w:r>
        <w:t xml:space="preserve">new formal chance hypothesis test. Previously exposed test results preclude</w:t>
      </w:r>
      <w:r>
        <w:t xml:space="preserve"> </w:t>
      </w:r>
      <w:r>
        <w:t xml:space="preserve">describing subsequent same-dataset evaluations as untouched external confirmation.</w:t>
      </w:r>
      <w:r>
        <w:t xml:space="preserve"> </w:t>
      </w:r>
      <w:r>
        <w:t xml:space="preserve">Intervals condition on the observed cohort, preprocessing and fitted models;</w:t>
      </w:r>
      <w:r>
        <w:t xml:space="preserve"> </w:t>
      </w:r>
      <w:r>
        <w:t xml:space="preserve">they do not estimate uncertainty from alternative training datasets or</w:t>
      </w:r>
      <w:r>
        <w:t xml:space="preserve"> </w:t>
      </w:r>
      <w:r>
        <w:t xml:space="preserve">hyperparameter choices. No additional EEGNet-versus-CPU significance test was</w:t>
      </w:r>
      <w:r>
        <w:t xml:space="preserve"> </w:t>
      </w:r>
      <w:r>
        <w:t xml:space="preserve">introduced. Computational repetition and seeds do not supply new participants.</w:t>
      </w:r>
    </w:p>
    <w:bookmarkEnd w:id="26"/>
    <w:bookmarkStart w:id="27" w:name="X59c72673ecf77ddb8313ce5da824385d30c5891"/>
    <w:p>
      <w:pPr>
        <w:pStyle w:val="Heading2"/>
      </w:pPr>
      <w:r>
        <w:t xml:space="preserve">Exploratory saved-prediction QC and influence analyses</w:t>
      </w:r>
    </w:p>
    <w:p>
      <w:pPr>
        <w:pStyle w:val="FirstParagraph"/>
      </w:pPr>
      <w:r>
        <w:t xml:space="preserve">After observing the original results, we wrote a separate sensitivity rule</w:t>
      </w:r>
      <w:r>
        <w:t xml:space="preserve"> </w:t>
      </w:r>
      <w:r>
        <w:t xml:space="preserve">before computing the new QC summaries. Saved predictions were joined to the</w:t>
      </w:r>
      <w:r>
        <w:t xml:space="preserve"> </w:t>
      </w:r>
      <w:r>
        <w:t xml:space="preserve">existing fixed QC flag by exact trial identity, role, true label and inclusion</w:t>
      </w:r>
      <w:r>
        <w:t xml:space="preserve"> </w:t>
      </w:r>
      <w:r>
        <w:t xml:space="preserve">status. The analysis used neither new EEG loading nor model inference. We</w:t>
      </w:r>
      <w:r>
        <w:t xml:space="preserve"> </w:t>
      </w:r>
      <w:r>
        <w:t xml:space="preserve">reported full and unflagged query BA, true-class counts and paired differences</w:t>
      </w:r>
      <w:r>
        <w:t xml:space="preserve"> </w:t>
      </w:r>
      <w:r>
        <w:t xml:space="preserve">for every participant/session, retaining empty or single-class rows as undefined.</w:t>
      </w:r>
      <w:r>
        <w:t xml:space="preserve"> </w:t>
      </w:r>
      <w:r>
        <w:t xml:space="preserve">BA required both true classes; the target endpoint required all five session</w:t>
      </w:r>
      <w:r>
        <w:t xml:space="preserve"> </w:t>
      </w:r>
      <w:r>
        <w:t xml:space="preserve">BAs. We did not silently average fewer sessions or count seeds as participants.</w:t>
      </w:r>
    </w:p>
    <w:p>
      <w:pPr>
        <w:pStyle w:val="BodyText"/>
      </w:pPr>
      <w:r>
        <w:t xml:space="preserve">We separated the complete-case sensitivity from the original 12-person analysis</w:t>
      </w:r>
      <w:r>
        <w:t xml:space="preserve"> </w:t>
      </w:r>
      <w:r>
        <w:t xml:space="preserve">and compared subsets again within the same eligible participants. Participant</w:t>
      </w:r>
      <w:r>
        <w:t xml:space="preserve"> </w:t>
      </w:r>
      <w:r>
        <w:t xml:space="preserve">bootstrap settings remained 10,000 draws and seed 42. Additional pooled-query</w:t>
      </w:r>
      <w:r>
        <w:t xml:space="preserve"> </w:t>
      </w:r>
      <w:r>
        <w:t xml:space="preserve">BA is clearly labeled as a different endpoint. Leave-one-participant-out means</w:t>
      </w:r>
      <w:r>
        <w:t xml:space="preserve"> </w:t>
      </w:r>
      <w:r>
        <w:t xml:space="preserve">assessed influence without deleting any person from the reported primary result.</w:t>
      </w:r>
      <w:r>
        <w:t xml:space="preserve"> </w:t>
      </w:r>
      <w:r>
        <w:t xml:space="preserve">These are post-observation descriptive checks, not a change to the main analysis,</w:t>
      </w:r>
      <w:r>
        <w:t xml:space="preserve"> </w:t>
      </w:r>
      <w:r>
        <w:t xml:space="preserve">new QC threshold, confirmatory test or evidence that unflagged data are artifact-free.</w:t>
      </w:r>
      <w:r>
        <w:t xml:space="preserve"> </w:t>
      </w:r>
      <w:r>
        <w:t xml:space="preserve">The original source/support/validation data and fitted models were not cleaned</w:t>
      </w:r>
      <w:r>
        <w:t xml:space="preserve"> </w:t>
      </w:r>
      <w:r>
        <w:t xml:space="preserve">or retrained by this procedure.</w:t>
      </w:r>
    </w:p>
    <w:bookmarkEnd w:id="27"/>
    <w:bookmarkStart w:id="28" w:name="X8939be08db4993ffc08ee17db2337d7db6b3393"/>
    <w:p>
      <w:pPr>
        <w:pStyle w:val="Heading2"/>
      </w:pPr>
      <w:r>
        <w:t xml:space="preserve">Task measurements and development-only reliability</w:t>
      </w:r>
    </w:p>
    <w:p>
      <w:pPr>
        <w:pStyle w:val="FirstParagraph"/>
      </w:pPr>
      <w:r>
        <w:t xml:space="preserve">The descriptive drift analysis compared each target session with the independent</w:t>
      </w:r>
      <w:r>
        <w:t xml:space="preserve"> </w:t>
      </w:r>
      <w:r>
        <w:t xml:space="preserve">source query. A source-trained task axis was the normalized difference between</w:t>
      </w:r>
      <w:r>
        <w:t xml:space="preserve"> </w:t>
      </w:r>
      <w:r>
        <w:t xml:space="preserve">class means in standardized 44-dimensional mu/beta log-power coordinates;</w:t>
      </w:r>
      <w:r>
        <w:t xml:space="preserve"> </w:t>
      </w:r>
      <w:r>
        <w:t xml:space="preserve">one-dimensional Wasserstein distance measured change along that fixed axis.</w:t>
      </w:r>
      <w:r>
        <w:t xml:space="preserve"> </w:t>
      </w:r>
      <w:r>
        <w:t xml:space="preserve">Covariance-shape change was measured relative to a source-training Riemannian</w:t>
      </w:r>
      <w:r>
        <w:t xml:space="preserve"> </w:t>
      </w:r>
      <w:r>
        <w:t xml:space="preserve">reference in a fixed 21-dimensional common-average-reference basis, after trace</w:t>
      </w:r>
      <w:r>
        <w:t xml:space="preserve"> </w:t>
      </w:r>
      <w:r>
        <w:t xml:space="preserve">normalization and fixed shrinkage. This shape proxy does not measure all</w:t>
      </w:r>
      <w:r>
        <w:t xml:space="preserve"> </w:t>
      </w:r>
      <w:r>
        <w:t xml:space="preserve">distributional changes or absolute amplitude. Target labels did not define</w:t>
      </w:r>
      <w:r>
        <w:t xml:space="preserve"> </w:t>
      </w:r>
      <w:r>
        <w:t xml:space="preserve">either drift predictor. The outcome was target-minus-source frozen-decoder BA;</w:t>
      </w:r>
      <w:r>
        <w:t xml:space="preserve"> </w:t>
      </w:r>
      <w:r>
        <w:t xml:space="preserve">target-labeled class summaries were explicitly retrospective descriptions.</w:t>
      </w:r>
    </w:p>
    <w:p>
      <w:pPr>
        <w:pStyle w:val="BodyText"/>
      </w:pPr>
      <w:r>
        <w:t xml:space="preserve">The task-measurement reliability probes used only development source training</w:t>
      </w:r>
      <w:r>
        <w:t xml:space="preserve"> </w:t>
      </w:r>
      <w:r>
        <w:t xml:space="preserve">and predeclared support. Fixed power, PCA and supervised CSP-score measurements</w:t>
      </w:r>
      <w:r>
        <w:t xml:space="preserve"> </w:t>
      </w:r>
      <w:r>
        <w:t xml:space="preserve">were evaluated with source-run grouping, support split halves and cyclic-label</w:t>
      </w:r>
      <w:r>
        <w:t xml:space="preserve"> </w:t>
      </w:r>
      <w:r>
        <w:t xml:space="preserve">controls. The controls are phase-alignment sensitivities, not formal</w:t>
      </w:r>
      <w:r>
        <w:t xml:space="preserve"> </w:t>
      </w:r>
      <w:r>
        <w:t xml:space="preserve">permutation p values. Separately, the remaining-cohort drift associations were</w:t>
      </w:r>
      <w:r>
        <w:t xml:space="preserve"> </w:t>
      </w:r>
      <w:r>
        <w:t xml:space="preserve">pre-frozen descriptive analyses, not policy selection. No diagnostic selected</w:t>
      </w:r>
      <w:r>
        <w:t xml:space="preserve"> </w:t>
      </w:r>
      <w:r>
        <w:t xml:space="preserve">an adaptation threshold or used query outcomes to choose a policy.</w:t>
      </w:r>
    </w:p>
    <w:p>
      <w:pPr>
        <w:pStyle w:val="BodyText"/>
      </w:pPr>
      <w:r>
        <w:t xml:space="preserve">Source-run probes trained on one 20-event source run and evaluated the other,</w:t>
      </w:r>
      <w:r>
        <w:t xml:space="preserve"> </w:t>
      </w:r>
      <w:r>
        <w:t xml:space="preserve">then reversed the roles. Learned transformations were fitted within each source</w:t>
      </w:r>
      <w:r>
        <w:t xml:space="preserve"> </w:t>
      </w:r>
      <w:r>
        <w:t xml:space="preserve">training fold; a transform fitted on all 40 events was not reused to score a</w:t>
      </w:r>
      <w:r>
        <w:t xml:space="preserve"> </w:t>
      </w:r>
      <w:r>
        <w:t xml:space="preserve">held-out source run. The supervised diagnostic refitted both CSP and LDA within</w:t>
      </w:r>
      <w:r>
        <w:t xml:space="preserve"> </w:t>
      </w:r>
      <w:r>
        <w:t xml:space="preserve">each fold. For support descriptions, the existing 40-event source models and</w:t>
      </w:r>
      <w:r>
        <w:t xml:space="preserve"> </w:t>
      </w:r>
      <w:r>
        <w:t xml:space="preserve">source-fitted coordinate scales were held fixed. Each class was split into</w:t>
      </w:r>
      <w:r>
        <w:t xml:space="preserve"> </w:t>
      </w:r>
      <w:r>
        <w:t xml:space="preserve">chronological halves within the current support run, without query access.</w:t>
      </w:r>
      <w:r>
        <w:t xml:space="preserve"> </w:t>
      </w:r>
      <w:r>
        <w:t xml:space="preserve">Vector cosines and signed source-score contrasts summarized agreement between</w:t>
      </w:r>
      <w:r>
        <w:t xml:space="preserve"> </w:t>
      </w:r>
      <w:r>
        <w:t xml:space="preserve">the halves; agreement did not itself establish a useful adaptation decision.</w:t>
      </w:r>
    </w:p>
    <w:p>
      <w:pPr>
        <w:pStyle w:val="BodyText"/>
      </w:pPr>
      <w:r>
        <w:t xml:space="preserve">Cyclic label controls retained the prescribed run grouping and enumerated</w:t>
      </w:r>
      <w:r>
        <w:t xml:space="preserve"> </w:t>
      </w:r>
      <w:r>
        <w:t xml:space="preserve">label phases. They were not random-label exchangeability tests. All 240</w:t>
      </w:r>
      <w:r>
        <w:t xml:space="preserve"> </w:t>
      </w:r>
      <w:r>
        <w:t xml:space="preserve">supervised CSP/LDA fold/rotation pipelines and all associated controls were</w:t>
      </w:r>
      <w:r>
        <w:t xml:space="preserve"> </w:t>
      </w:r>
      <w:r>
        <w:t xml:space="preserve">retained. Supplementary Methods S4–S6 define the coordinate scales, half sizes,</w:t>
      </w:r>
      <w:r>
        <w:t xml:space="preserve"> </w:t>
      </w:r>
      <w:r>
        <w:t xml:space="preserve">score orientation, control enumeration and handling of degenerate cases.</w:t>
      </w:r>
    </w:p>
    <w:bookmarkEnd w:id="28"/>
    <w:bookmarkStart w:id="29" w:name="X99ed3360eb13517f6afb2f9fb3bd0835906793c"/>
    <w:p>
      <w:pPr>
        <w:pStyle w:val="Heading2"/>
      </w:pPr>
      <w:r>
        <w:t xml:space="preserve">Saved training review and AI-assisted preparation</w:t>
      </w:r>
    </w:p>
    <w:p>
      <w:pPr>
        <w:pStyle w:val="FirstParagraph"/>
      </w:pPr>
      <w:r>
        <w:t xml:space="preserve">We examined all saved epoch-level training/validation histories, selected epochs,</w:t>
      </w:r>
      <w:r>
        <w:t xml:space="preserve"> </w:t>
      </w:r>
      <w:r>
        <w:t xml:space="preserve">fixed seeds and existing source/target query metrics without loading checkpoints</w:t>
      </w:r>
      <w:r>
        <w:t xml:space="preserve"> </w:t>
      </w:r>
      <w:r>
        <w:t xml:space="preserve">or repeating inference. Training losses were accumulated in training mode while</w:t>
      </w:r>
      <w:r>
        <w:t xml:space="preserve"> </w:t>
      </w:r>
      <w:r>
        <w:t xml:space="preserve">parameters changed; validation losses were computed after the epoch in evaluation</w:t>
      </w:r>
      <w:r>
        <w:t xml:space="preserve"> </w:t>
      </w:r>
      <w:r>
        <w:t xml:space="preserve">mode. Their gap is not a calibrated measure of generalization. Model-level</w:t>
      </w:r>
      <w:r>
        <w:t xml:space="preserve"> </w:t>
      </w:r>
      <w:r>
        <w:t xml:space="preserve">summaries describe the fixed fits rather than increase the participant count.</w:t>
      </w:r>
    </w:p>
    <w:p>
      <w:pPr>
        <w:pStyle w:val="BodyText"/>
      </w:pPr>
      <w:r>
        <w:t xml:space="preserve">OpenAI ChatGPT/Codex assisted with code, validation, saved-result aggregation,</w:t>
      </w:r>
      <w:r>
        <w:t xml:space="preserve"> </w:t>
      </w:r>
      <w:r>
        <w:t xml:space="preserve">figures, source and reference checks, and manuscript drafting/editing. Checks</w:t>
      </w:r>
      <w:r>
        <w:t xml:space="preserve"> </w:t>
      </w:r>
      <w:r>
        <w:t xml:space="preserve">included exact identity joins and hashes, original-endpoint reconstruction,</w:t>
      </w:r>
      <w:r>
        <w:t xml:space="preserve"> </w:t>
      </w:r>
      <w:r>
        <w:t xml:space="preserve">separately implemented arithmetic checks, a public-input replay of the text-only</w:t>
      </w:r>
      <w:r>
        <w:t xml:space="preserve"> </w:t>
      </w:r>
      <w:r>
        <w:t xml:space="preserve">postprocessor and visual document/figure review. These computational checks</w:t>
      </w:r>
      <w:r>
        <w:t xml:space="preserve"> </w:t>
      </w:r>
      <w:r>
        <w:t xml:space="preserve">were themselves AI-assisted; they are not an independent human replication or</w:t>
      </w:r>
      <w:r>
        <w:t xml:space="preserve"> </w:t>
      </w:r>
      <w:r>
        <w:t xml:space="preserve">proof of biological validity. The human author must personally review and approve</w:t>
      </w:r>
      <w:r>
        <w:t xml:space="preserve"> </w:t>
      </w:r>
      <w:r>
        <w:t xml:space="preserve">the final methods, references, results and interpretations before submission.</w:t>
      </w:r>
      <w:r>
        <w:t xml:space="preserve"> </w:t>
      </w:r>
      <w:r>
        <w:t xml:space="preserve">The final approval and account of personal checks remain author-provided facts.</w:t>
      </w:r>
    </w:p>
    <w:bookmarkEnd w:id="29"/>
    <w:bookmarkEnd w:id="30"/>
    <w:bookmarkStart w:id="47" w:name="results"/>
    <w:p>
      <w:pPr>
        <w:pStyle w:val="Heading1"/>
      </w:pPr>
      <w:r>
        <w:t xml:space="preserve">Results</w:t>
      </w:r>
    </w:p>
    <w:bookmarkStart w:id="37" w:name="X13a0a6f4f5df6ac69a14153ce5e2bdb9e28f2c2"/>
    <w:p>
      <w:pPr>
        <w:pStyle w:val="Heading2"/>
      </w:pPr>
      <w:r>
        <w:t xml:space="preserve">Original decoding endpoints and the same-label-budget secondary contrast</w:t>
      </w:r>
    </w:p>
    <w:p>
      <w:pPr>
        <w:pStyle w:val="FirstParagraph"/>
      </w:pPr>
      <w:r>
        <w:t xml:space="preserve">All three fixed EEGNet seeds contributed to every participant endpoint. Table 2</w:t>
      </w:r>
      <w:r>
        <w:t xml:space="preserve"> </w:t>
      </w:r>
      <w:r>
        <w:t xml:space="preserve">retains the original target results; Fig 1 shows participants rather than only</w:t>
      </w:r>
      <w:r>
        <w:t xml:space="preserve"> </w:t>
      </w:r>
      <w:r>
        <w:t xml:space="preserve">cohort means. Each bracketed interval is a descriptive participant-bootstrap interval.</w:t>
      </w:r>
    </w:p>
    <w:p>
      <w:pPr>
        <w:pStyle w:val="BodyText"/>
      </w:pPr>
      <w:r>
        <w:rPr>
          <w:b/>
          <w:bCs/>
        </w:rPr>
        <w:t xml:space="preserve">Table 2. Target-query balanced accuracy (%, mean across five sessions within participant).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59.97 [57.34, 63.70]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64.37 [56.97, 71.75]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63.22 [58.36, 67.40]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52.31 [48.43, 57.36]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58.62 [54.88, 62.68]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61.38 [56.79, 66.17]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64.65 [60.53, 68.71]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51.82 [49.59, 54.36]</w:t>
            </w:r>
          </w:p>
        </w:tc>
      </w:tr>
    </w:tbl>
    <w:p>
      <w:pPr>
        <w:pStyle w:val="BodyText"/>
      </w:pPr>
      <w:r>
        <w:drawing>
          <ns1:inline>
            <ns1:extent cx="5334000" cy="3200400"/>
            <ns1:effectExtent b="0" l="0" r="0" t="0"/>
            <ns1:docPr descr="Fig 1" title="" id="32" name="Picture"/>
            <ns2:graphic>
              <ns2:graphicData uri="http://schemas.openxmlformats.org/drawingml/2006/picture">
                <ns3:pic>
                  <ns3:nvPicPr>
                    <ns3:cNvPr descr="/workspace/few-shot-mi-eeg/manuscript/figures/plos_submission_20261015/Fig1_target_query_participants.png" id="3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2004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Fig 1. Target-query decoding by participant.</w:t>
      </w:r>
    </w:p>
    <w:p>
      <w:pPr>
        <w:pStyle w:val="Compact"/>
        <w:numPr>
          <w:ilvl w:val="0"/>
          <w:numId w:val="1001"/>
        </w:numPr>
      </w:pPr>
      <w:r>
        <w:t xml:space="preserve">Six development participants. (B) Twelve remaining participants. Each colored</w:t>
      </w:r>
      <w:r>
        <w:t xml:space="preserve"> </w:t>
      </w:r>
      <w:r>
        <w:t xml:space="preserve">point is one participant’s balanced accuracy (BA), with equal weight for five</w:t>
      </w:r>
      <w:r>
        <w:t xml:space="preserve"> </w:t>
      </w:r>
      <w:r>
        <w:t xml:space="preserve">target sessions. EEGNet averages all three fixed seeds within session before the</w:t>
      </w:r>
      <w:r>
        <w:t xml:space="preserve"> </w:t>
      </w:r>
      <w:r>
        <w:t xml:space="preserve">session mean; CPU methods use their single frozen execution. Faint lines connect</w:t>
      </w:r>
      <w:r>
        <w:t xml:space="preserve"> </w:t>
      </w:r>
      <w:r>
        <w:t xml:space="preserve">the same participant across methods. Diamonds and bars reproduce saved means and</w:t>
      </w:r>
      <w:r>
        <w:t xml:space="preserve"> </w:t>
      </w:r>
      <w:r>
        <w:t xml:space="preserve">95% descriptive participant-bootstrap intervals (10,000 resamples, seed 42), not</w:t>
      </w:r>
      <w:r>
        <w:t xml:space="preserve"> </w:t>
      </w:r>
      <w:r>
        <w:t xml:space="preserve">new intervals. All methods use the same query trial identities, but information</w:t>
      </w:r>
      <w:r>
        <w:t xml:space="preserve"> </w:t>
      </w:r>
      <w:r>
        <w:t xml:space="preserve">budgets differ: each learns from 40 source TRAIN labels; EEGNet also uses 20 source</w:t>
      </w:r>
      <w:r>
        <w:t xml:space="preserve"> </w:t>
      </w:r>
      <w:r>
        <w:t xml:space="preserve">validation labels for epoch selection, while the two updating CPU baselines use</w:t>
      </w:r>
      <w:r>
        <w:t xml:space="preserve"> </w:t>
      </w:r>
      <w:r>
        <w:t xml:space="preserve">19 or 20 labeled support trials from the current target session. This is not a</w:t>
      </w:r>
      <w:r>
        <w:t xml:space="preserve"> </w:t>
      </w:r>
      <w:r>
        <w:t xml:space="preserve">matched-budget architecture ranking. The follow-up comparison is exploratory;</w:t>
      </w:r>
      <w:r>
        <w:t xml:space="preserve"> </w:t>
      </w:r>
      <w:r>
        <w:t xml:space="preserve">all seeds, participants and class-collapsed predictions are retained.</w:t>
      </w:r>
    </w:p>
    <w:p>
      <w:pPr>
        <w:pStyle w:val="FirstParagraph"/>
      </w:pPr>
      <w:r>
        <w:t xml:space="preserve">The original primary full-refit minus frozen contrast was +7.42 percentage points</w:t>
      </w:r>
      <w:r>
        <w:t xml:space="preserve"> </w:t>
      </w:r>
      <w:r>
        <w:t xml:space="preserve">[+2.49, +12.48] in the remaining 12 participants. The development contrast was</w:t>
      </w:r>
      <w:r>
        <w:t xml:space="preserve"> </w:t>
      </w:r>
      <w:r>
        <w:t xml:space="preserve">+3.25 points [−0.90, +7.14]. In the original secondary remaining-cohort</w:t>
      </w:r>
      <w:r>
        <w:t xml:space="preserve"> </w:t>
      </w:r>
      <w:r>
        <w:t xml:space="preserve">comparisons, LDA-only minus frozen was +1.95 points [−0.98, +5.09], whereas full</w:t>
      </w:r>
      <w:r>
        <w:t xml:space="preserve"> </w:t>
      </w:r>
      <w:r>
        <w:t xml:space="preserve">refit minus LDA-only was +5.47 points [+2.17, +8.91]. Both updating pipelines</w:t>
      </w:r>
      <w:r>
        <w:t xml:space="preserve"> </w:t>
      </w:r>
      <w:r>
        <w:t xml:space="preserve">used the same source/current-support labels, making their secondary difference</w:t>
      </w:r>
      <w:r>
        <w:t xml:space="preserve"> </w:t>
      </w:r>
      <w:r>
        <w:t xml:space="preserve">informative about this implementation under a matched label budget. Their</w:t>
      </w:r>
      <w:r>
        <w:t xml:space="preserve"> </w:t>
      </w:r>
      <w:r>
        <w:t xml:space="preserve">computation differs, and the secondary interval is not a multiplicity-adjusted</w:t>
      </w:r>
      <w:r>
        <w:t xml:space="preserve"> </w:t>
      </w:r>
      <w:r>
        <w:t xml:space="preserve">confirmatory result or a newly promoted primary endpoint.</w:t>
      </w:r>
    </w:p>
    <w:p>
      <w:pPr>
        <w:pStyle w:val="BodyText"/>
      </w:pPr>
      <w:r>
        <w:t xml:space="preserve">Nine primary participant differences were positive and three negative (Fig 2).</w:t>
      </w:r>
      <w:r>
        <w:t xml:space="preserve"> </w:t>
      </w:r>
      <w:r>
        <w:t xml:space="preserve">The decreases were sub-6 −5.82, sub-14 −0.67 and sub-15 −0.20 points. The latter</w:t>
      </w:r>
      <w:r>
        <w:t xml:space="preserve"> </w:t>
      </w:r>
      <w:r>
        <w:t xml:space="preserve">two are small observed differences and do not establish substantial individual</w:t>
      </w:r>
      <w:r>
        <w:t xml:space="preserve"> </w:t>
      </w:r>
      <w:r>
        <w:t xml:space="preserve">harm. The largest gains were sub-11 +20.67, sub-9 +19.62 and sub-2 +17.67 points.</w:t>
      </w:r>
      <w:r>
        <w:t xml:space="preserve"> </w:t>
      </w:r>
      <w:r>
        <w:t xml:space="preserve">Leaving out one original participant at a time gave cohort mean differences</w:t>
      </w:r>
      <w:r>
        <w:t xml:space="preserve"> </w:t>
      </w:r>
      <w:r>
        <w:t xml:space="preserve">between +6.22 and +8.62 points, without a sign reversal. This is an influence</w:t>
      </w:r>
      <w:r>
        <w:t xml:space="preserve"> </w:t>
      </w:r>
      <w:r>
        <w:t xml:space="preserve">check, not evidence that all individual effects are reliable or beneficial.</w:t>
      </w:r>
    </w:p>
    <w:p>
      <w:pPr>
        <w:pStyle w:val="BodyText"/>
      </w:pPr>
      <w:r>
        <w:drawing>
          <ns1:inline>
            <ns1:extent cx="5334000" cy="3769360"/>
            <ns1:effectExtent b="0" l="0" r="0" t="0"/>
            <ns1:docPr descr="Fig 2" title="" id="35" name="Picture"/>
            <ns2:graphic>
              <ns2:graphicData uri="http://schemas.openxmlformats.org/drawingml/2006/picture">
                <ns3:pic>
                  <ns3:nvPicPr>
                    <ns3:cNvPr descr="/workspace/few-shot-mi-eeg/manuscript/figures/plos_submission_20261015/Fig2_cpu_primary_paired_changes.png" id="3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6936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Fig 2. Original primary CPU contrast by participant.</w:t>
      </w:r>
    </w:p>
    <w:p>
      <w:pPr>
        <w:pStyle w:val="BodyText"/>
      </w:pPr>
      <w:r>
        <w:t xml:space="preserve">Full CSP/LDA refitting minus frozen CSP/LDA for the original remaining-12 primary</w:t>
      </w:r>
      <w:r>
        <w:t xml:space="preserve"> </w:t>
      </w:r>
      <w:r>
        <w:t xml:space="preserve">cohort, after equal averaging of five target sessions. Numeric participant order</w:t>
      </w:r>
      <w:r>
        <w:t xml:space="preserve"> </w:t>
      </w:r>
      <w:r>
        <w:t xml:space="preserve">is retained. Nine differences are positive and three negative. The negative</w:t>
      </w:r>
      <w:r>
        <w:t xml:space="preserve"> </w:t>
      </w:r>
      <w:r>
        <w:t xml:space="preserve">changes are sub-6 −5.82, sub-14 −0.67 and sub-15 −0.20 percentage points; these</w:t>
      </w:r>
      <w:r>
        <w:t xml:space="preserve"> </w:t>
      </w:r>
      <w:r>
        <w:t xml:space="preserve">descriptive decreases differ in magnitude and are not individual significance</w:t>
      </w:r>
      <w:r>
        <w:t xml:space="preserve"> </w:t>
      </w:r>
      <w:r>
        <w:t xml:space="preserve">claims. The mean and original 95% participant-bootstrap interval are +7.42</w:t>
      </w:r>
      <w:r>
        <w:t xml:space="preserve"> </w:t>
      </w:r>
      <w:r>
        <w:t xml:space="preserve">[+2.49, +12.48] percentage points. Refit has access to current-session support</w:t>
      </w:r>
      <w:r>
        <w:t xml:space="preserve"> </w:t>
      </w:r>
      <w:r>
        <w:t xml:space="preserve">labels whereas frozen does not. This figure adds no hypothesis test and does</w:t>
      </w:r>
      <w:r>
        <w:t xml:space="preserve"> </w:t>
      </w:r>
      <w:r>
        <w:t xml:space="preserve">not establish learning, skill retention or clinical efficacy.</w:t>
      </w:r>
    </w:p>
    <w:bookmarkEnd w:id="37"/>
    <w:bookmarkStart w:id="38" w:name="X76261de2b976fad26530c2a7af7a51090544f23"/>
    <w:p>
      <w:pPr>
        <w:pStyle w:val="Heading2"/>
      </w:pPr>
      <w:r>
        <w:t xml:space="preserve">Weak source-session EEGNet discrimination precedes target transfer</w:t>
      </w:r>
    </w:p>
    <w:p>
      <w:pPr>
        <w:pStyle w:val="FirstParagraph"/>
      </w:pPr>
      <w:r>
        <w:t xml:space="preserve">Table 3 separates the independent source query from later target sessions. The</w:t>
      </w:r>
      <w:r>
        <w:t xml:space="preserve"> </w:t>
      </w:r>
      <w:r>
        <w:t xml:space="preserve">three CPU labels refer to the same source model on source query, not three</w:t>
      </w:r>
      <w:r>
        <w:t xml:space="preserve"> </w:t>
      </w:r>
      <w:r>
        <w:t xml:space="preserve">independent source estimates. In the remaining cohort, EEGNet source-query BA</w:t>
      </w:r>
      <w:r>
        <w:t xml:space="preserve"> </w:t>
      </w:r>
      <w:r>
        <w:t xml:space="preserve">was 52.92%, already near chance, versus 51.58% on the target endpoint. The</w:t>
      </w:r>
      <w:r>
        <w:t xml:space="preserve"> </w:t>
      </w:r>
      <w:r>
        <w:t xml:space="preserve">−1.34-point difference is descriptive and cannot identify a drift effect.</w:t>
      </w:r>
      <w:r>
        <w:t xml:space="preserve"> </w:t>
      </w:r>
      <w:r>
        <w:t xml:space="preserve">Weak target performance therefore cannot chiefly be attributed to cross-session</w:t>
      </w:r>
      <w:r>
        <w:t xml:space="preserve"> </w:t>
      </w:r>
      <w:r>
        <w:t xml:space="preserve">change. This statement concerns the fixed 40-TRAIN-trial implementation, not</w:t>
      </w:r>
      <w:r>
        <w:t xml:space="preserve"> </w:t>
      </w:r>
      <w:r>
        <w:t xml:space="preserve">all neural architectures or motor-imagery decoding in general.</w:t>
      </w:r>
    </w:p>
    <w:p>
      <w:pPr>
        <w:pStyle w:val="BodyText"/>
      </w:pPr>
      <w:r>
        <w:rPr>
          <w:b/>
          <w:bCs/>
        </w:rPr>
        <w:t xml:space="preserve">Table 3. Source-query balanced accuracy (%, participant mean and descriptive 95% interval).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source model, shared by the three method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60.83 [54.17, 68.33]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52.78 [47.50, 59.44]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 [56.67, 74.17]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52.92 [48.89, 58.75]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63.61 [57.50, 70.28]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52.87 [49.44, 57.22]</w:t>
            </w:r>
          </w:p>
        </w:tc>
      </w:tr>
    </w:tbl>
    <w:p>
      <w:pPr>
        <w:pStyle w:val="BodyText"/>
      </w:pPr>
      <w:r>
        <w:t xml:space="preserve">All 54 saved JSON histories were complete (2,871 epochs/8,613 optimizer steps).</w:t>
      </w:r>
      <w:r>
        <w:t xml:space="preserve"> </w:t>
      </w:r>
      <w:r>
        <w:t xml:space="preserve">Twelve models selected epoch 1 and 11 reached the 100-epoch cap; 53/54 had lower</w:t>
      </w:r>
      <w:r>
        <w:t xml:space="preserve"> </w:t>
      </w:r>
      <w:r>
        <w:t xml:space="preserve">final than initial training CE, whereas 29/54 had higher final than initial</w:t>
      </w:r>
      <w:r>
        <w:t xml:space="preserve"> </w:t>
      </w:r>
      <w:r>
        <w:t xml:space="preserve">validation CE. In the remaining 36 fits, the corresponding counts were 8, 10,</w:t>
      </w:r>
      <w:r>
        <w:t xml:space="preserve"> </w:t>
      </w:r>
      <w:r>
        <w:t xml:space="preserve">35 and 19. Their median training CE changed from 0.704246 to 0.596543; median</w:t>
      </w:r>
      <w:r>
        <w:t xml:space="preserve"> </w:t>
      </w:r>
      <w:r>
        <w:t xml:space="preserve">validation CE was 0.693048 initially, 0.691847 at the selected epoch and</w:t>
      </w:r>
      <w:r>
        <w:t xml:space="preserve"> </w:t>
      </w:r>
      <w:r>
        <w:t xml:space="preserve">0.692351 finally. Training improvement without consistent</w:t>
      </w:r>
      <w:r>
        <w:t xml:space="preserve"> </w:t>
      </w:r>
      <w:r>
        <w:t xml:space="preserve">validation improvement is compatible with limited generalization, but the</w:t>
      </w:r>
      <w:r>
        <w:t xml:space="preserve"> </w:t>
      </w:r>
      <w:r>
        <w:t xml:space="preserve">training/evaluation-mode difference prevents a simple loss-gap diagnosis.</w:t>
      </w:r>
    </w:p>
    <w:p>
      <w:pPr>
        <w:pStyle w:val="BodyText"/>
      </w:pPr>
      <w:r>
        <w:t xml:space="preserve">No seed was discarded: remaining-cohort target means for seeds 20261012,</w:t>
      </w:r>
      <w:r>
        <w:t xml:space="preserve"> </w:t>
      </w:r>
      <w:r>
        <w:t xml:space="preserve">20261013 and 20261014 were 52.42%, 49.94% and 52.37%. The mean participant target</w:t>
      </w:r>
      <w:r>
        <w:t xml:space="preserve"> </w:t>
      </w:r>
      <w:r>
        <w:t xml:space="preserve">BA range across seeds was 8.06 points, with a maximum of 24.62 points. Source-</w:t>
      </w:r>
      <w:r>
        <w:t xml:space="preserve"> </w:t>
      </w:r>
      <w:r>
        <w:t xml:space="preserve">validation selection scores are not independent generalization estimates.</w:t>
      </w:r>
      <w:r>
        <w:t xml:space="preserve"> </w:t>
      </w:r>
      <w:r>
        <w:t xml:space="preserve">EEGNet retained 16 single-class seed/session query outcomes across seven models</w:t>
      </w:r>
      <w:r>
        <w:t xml:space="preserve"> </w:t>
      </w:r>
      <w:r>
        <w:t xml:space="preserve">and seven participants (2 source, 14 target). The CPU frozen baseline retained</w:t>
      </w:r>
      <w:r>
        <w:t xml:space="preserve"> </w:t>
      </w:r>
      <w:r>
        <w:t xml:space="preserve">three collapsed target sessions across the full cohort, two in the remaining</w:t>
      </w:r>
      <w:r>
        <w:t xml:space="preserve"> </w:t>
      </w:r>
      <w:r>
        <w:t xml:space="preserve">cohort; neither update had collapse. These outcomes stayed in all means.</w:t>
      </w:r>
    </w:p>
    <w:bookmarkEnd w:id="38"/>
    <w:bookmarkStart w:id="42" w:name="X1bed759c739b874ea1efb7293066a4484044ceb"/>
    <w:p>
      <w:pPr>
        <w:pStyle w:val="Heading2"/>
      </w:pPr>
      <w:r>
        <w:t xml:space="preserve">Task measurements do not establish a reliable update decision</w:t>
      </w:r>
    </w:p>
    <w:p>
      <w:pPr>
        <w:pStyle w:val="FirstParagraph"/>
      </w:pPr>
      <w:r>
        <w:t xml:space="preserve">The pre-frozen remaining-cohort descriptive associations of covariance-shape</w:t>
      </w:r>
      <w:r>
        <w:t xml:space="preserve"> </w:t>
      </w:r>
      <w:r>
        <w:t xml:space="preserve">change and source-task-axis Wasserstein distance with frozen BA change were</w:t>
      </w:r>
      <w:r>
        <w:t xml:space="preserve"> </w:t>
      </w:r>
      <w:r>
        <w:t xml:space="preserve">Spearman −0.007 [−0.505, 0.438] and 0.197 [−0.240, 0.518]. They did not establish</w:t>
      </w:r>
      <w:r>
        <w:t xml:space="preserve"> </w:t>
      </w:r>
      <w:r>
        <w:t xml:space="preserve">reliable performance prediction or superiority of a task-dependent measure.</w:t>
      </w:r>
      <w:r>
        <w:t xml:space="preserve"> </w:t>
      </w:r>
      <w:r>
        <w:t xml:space="preserve">Development power/PCA/motor-band probes averaged source BA 51.67/50.00/54.17%,</w:t>
      </w:r>
      <w:r>
        <w:t xml:space="preserve"> </w:t>
      </w:r>
      <w:r>
        <w:t xml:space="preserve">with intervals including 50%; support split-half cosine intervals included zero.</w:t>
      </w:r>
    </w:p>
    <w:p>
      <w:pPr>
        <w:pStyle w:val="BodyText"/>
      </w:pPr>
      <w:r>
        <w:t xml:space="preserve">All 240 prescribed supervised CSP/LDA fold/rotation attempts were retained.</w:t>
      </w:r>
      <w:r>
        <w:t xml:space="preserve"> </w:t>
      </w:r>
      <w:r>
        <w:t xml:space="preserve">Mean source twofold BA was 62.9167% [52.5, 71.6667] and participant-averaged support</w:t>
      </w:r>
      <w:r>
        <w:t xml:space="preserve"> </w:t>
      </w:r>
      <w:r>
        <w:t xml:space="preserve">vector cosine 0.295325 [0.032041, 0.573003]. Among 30 support sessions, frozen-score</w:t>
      </w:r>
      <w:r>
        <w:t xml:space="preserve"> </w:t>
      </w:r>
      <w:r>
        <w:t xml:space="preserve">half-contrasts were positive in both halves for 19, negative in both for two,</w:t>
      </w:r>
      <w:r>
        <w:t xml:space="preserve"> </w:t>
      </w:r>
      <w:r>
        <w:t xml:space="preserve">and opposite for nine (Fig 3). Five support sessions had frozen-score collapse.</w:t>
      </w:r>
      <w:r>
        <w:t xml:space="preserve"> </w:t>
      </w:r>
      <w:r>
        <w:t xml:space="preserve">A positive cosine or product does not ensure the correct task orientation.</w:t>
      </w:r>
      <w:r>
        <w:t xml:space="preserve"> </w:t>
      </w:r>
      <w:r>
        <w:t xml:space="preserve">These diagnostics are not a nested out-of-sample policy comparison.</w:t>
      </w:r>
    </w:p>
    <w:p>
      <w:pPr>
        <w:pStyle w:val="BodyText"/>
      </w:pPr>
      <w:r>
        <w:drawing>
          <ns1:inline>
            <ns1:extent cx="5334000" cy="3911600"/>
            <ns1:effectExtent b="0" l="0" r="0" t="0"/>
            <ns1:docPr descr="Fig 3" title="" id="40" name="Picture"/>
            <ns2:graphic>
              <ns2:graphicData uri="http://schemas.openxmlformats.org/drawingml/2006/picture">
                <ns3:pic>
                  <ns3:nvPicPr>
                    <ns3:cNvPr descr="/workspace/few-shot-mi-eeg/manuscript/figures/plos_submission_20261015/Fig3_csp_signed_support_halves.png" id="4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116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Fig 3. Signed-score consistency across target support halves.</w:t>
      </w:r>
    </w:p>
    <w:p>
      <w:pPr>
        <w:pStyle w:val="BodyText"/>
      </w:pPr>
      <w:r>
        <w:t xml:space="preserve">Each development participant contributes five target support sessions. Circles</w:t>
      </w:r>
      <w:r>
        <w:t xml:space="preserve"> </w:t>
      </w:r>
      <w:r>
        <w:t xml:space="preserve">and squares show the first and second chronological halves within class. Values</w:t>
      </w:r>
      <w:r>
        <w:t xml:space="preserve"> </w:t>
      </w:r>
      <w:r>
        <w:t xml:space="preserve">are the saved class-balanced contrast of frozen source-LDA scores divided by</w:t>
      </w:r>
      <w:r>
        <w:t xml:space="preserve"> </w:t>
      </w:r>
      <w:r>
        <w:t xml:space="preserve">twice their source-score standard deviation. All 60 values use shared axes.</w:t>
      </w:r>
      <w:r>
        <w:t xml:space="preserve"> </w:t>
      </w:r>
      <w:r>
        <w:t xml:space="preserve">Of 30 sessions, 19 have two positive margins, two have two negative margins and</w:t>
      </w:r>
      <w:r>
        <w:t xml:space="preserve"> </w:t>
      </w:r>
      <w:r>
        <w:t xml:space="preserve">nine have opposite signs. The zero line indicates score orientation, not a</w:t>
      </w:r>
      <w:r>
        <w:t xml:space="preserve"> </w:t>
      </w:r>
      <w:r>
        <w:t xml:space="preserve">selected gate. These support-only diagnostics do not validate an update policy.</w:t>
      </w:r>
    </w:p>
    <w:bookmarkEnd w:id="42"/>
    <w:bookmarkStart w:id="46" w:name="Xe010be5dabf11b5761e377346ef97a09602848b"/>
    <w:p>
      <w:pPr>
        <w:pStyle w:val="Heading2"/>
      </w:pPr>
      <w:r>
        <w:t xml:space="preserve">Longitudinal heterogeneity and exploratory amplitude-QC sensitivity</w:t>
      </w:r>
    </w:p>
    <w:p>
      <w:pPr>
        <w:pStyle w:val="FirstParagraph"/>
      </w:pPr>
      <w:r>
        <w:t xml:space="preserve">Fig 4 retains the paired changes for every participant and target session</w:t>
      </w:r>
      <w:r>
        <w:t xml:space="preserve"> </w:t>
      </w:r>
      <w:r>
        <w:t xml:space="preserve">for both full-minus-frozen and full-minus-LDA-only contrasts. Substantial</w:t>
      </w:r>
      <w:r>
        <w:t xml:space="preserve"> </w:t>
      </w:r>
      <w:r>
        <w:t xml:space="preserve">session-level variation is visible even when participant averages are positive;</w:t>
      </w:r>
      <w:r>
        <w:t xml:space="preserve"> </w:t>
      </w:r>
      <w:r>
        <w:t xml:space="preserve">the sessions are not additional independent participants.</w:t>
      </w:r>
    </w:p>
    <w:p>
      <w:pPr>
        <w:pStyle w:val="BodyText"/>
      </w:pPr>
      <w:r>
        <w:drawing>
          <ns1:inline>
            <ns1:extent cx="5334000" cy="5334000"/>
            <ns1:effectExtent b="0" l="0" r="0" t="0"/>
            <ns1:docPr descr="Fig 4" title="" id="44" name="Picture"/>
            <ns2:graphic>
              <ns2:graphicData uri="http://schemas.openxmlformats.org/drawingml/2006/picture">
                <ns3:pic>
                  <ns3:nvPicPr>
                    <ns3:cNvPr descr="/workspace/few-shot-mi-eeg/manuscript/figures/plos_submission_20261015/Fig4_longitudinal_paired_changes.png" id="4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334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Fig 4. Longitudinal paired changes for every participant and target session.</w:t>
      </w:r>
    </w:p>
    <w:p>
      <w:pPr>
        <w:pStyle w:val="BodyText"/>
      </w:pPr>
      <w:r>
        <w:t xml:space="preserve">Each cell is a difference in balanced accuracy for identical saved query trials:</w:t>
      </w:r>
      <w:r>
        <w:t xml:space="preserve"> </w:t>
      </w:r>
      <w:r>
        <w:t xml:space="preserve">(A) full CSP/LDA refit minus frozen CSP/LDA (the original primary contrast);</w:t>
      </w:r>
      <w:r>
        <w:t xml:space="preserve"> </w:t>
      </w:r>
      <w:r>
        <w:t xml:space="preserve">(B) full refit minus LDA-only recalibration (the secondary same-support-label</w:t>
      </w:r>
      <w:r>
        <w:t xml:space="preserve"> </w:t>
      </w:r>
      <w:r>
        <w:t xml:space="preserve">contrast). Both panels contain all 18 participants and five target sessions.</w:t>
      </w:r>
      <w:r>
        <w:t xml:space="preserve"> </w:t>
      </w:r>
      <w:r>
        <w:t xml:space="preserve">Development and remaining cohorts are separated by a horizontal line; participant</w:t>
      </w:r>
      <w:r>
        <w:t xml:space="preserve"> </w:t>
      </w:r>
      <w:r>
        <w:t xml:space="preserve">identities are numeric within each cohort, without effect-size sorting. The</w:t>
      </w:r>
      <w:r>
        <w:t xml:space="preserve"> </w:t>
      </w:r>
      <w:r>
        <w:t xml:space="preserve">symmetric color scale is shared, and every signed cell value is displayed in</w:t>
      </w:r>
      <w:r>
        <w:t xml:space="preserve"> </w:t>
      </w:r>
      <w:r>
        <w:t xml:space="preserve">percentage points to one decimal. Exact values and trial counts are in the</w:t>
      </w:r>
      <w:r>
        <w:t xml:space="preserve"> </w:t>
      </w:r>
      <w:r>
        <w:t xml:space="preserve">matching source-data CSV. These session values describe heterogeneity; sessions</w:t>
      </w:r>
      <w:r>
        <w:t xml:space="preserve"> </w:t>
      </w:r>
      <w:r>
        <w:t xml:space="preserve">are not treated as independent participants. The original primary endpoint and</w:t>
      </w:r>
      <w:r>
        <w:t xml:space="preserve"> </w:t>
      </w:r>
      <w:r>
        <w:t xml:space="preserve">all inferential comparisons remain unchanged. No new model, query inference,</w:t>
      </w:r>
      <w:r>
        <w:t xml:space="preserve"> </w:t>
      </w:r>
      <w:r>
        <w:t xml:space="preserve">gate, bootstrap or significance test is performed to produce this figure.</w:t>
      </w:r>
    </w:p>
    <w:p>
      <w:pPr>
        <w:pStyle w:val="BodyText"/>
      </w:pPr>
      <w:r>
        <w:t xml:space="preserve">Table 4 reports the target-endpoint sensitivity, including its changed denominator.</w:t>
      </w:r>
      <w:r>
        <w:t xml:space="preserve"> </w:t>
      </w:r>
      <w:r>
        <w:t xml:space="preserve">The exact QC join contained 25,740 saved prediction rows and 4,290 unique query</w:t>
      </w:r>
      <w:r>
        <w:t xml:space="preserve"> </w:t>
      </w:r>
      <w:r>
        <w:t xml:space="preserve">identities; all 144 reconstructed original participant endpoints matched the</w:t>
      </w:r>
      <w:r>
        <w:t xml:space="preserve"> </w:t>
      </w:r>
      <w:r>
        <w:t xml:space="preserve">saved values. The existing rule flagged 922 query windows (36 source and</w:t>
      </w:r>
      <w:r>
        <w:t xml:space="preserve"> </w:t>
      </w:r>
      <w:r>
        <w:t xml:space="preserve">886 target), leaving 3,368 unflagged. Sub-8 had zero unflagged queries in target</w:t>
      </w:r>
      <w:r>
        <w:t xml:space="preserve"> </w:t>
      </w:r>
      <w:r>
        <w:t xml:space="preserve">sessions 3/4 and sub-12 retained only four target queries, all left class.</w:t>
      </w:r>
      <w:r>
        <w:t xml:space="preserve"> </w:t>
      </w:r>
      <w:r>
        <w:t xml:space="preserve">Their five-session endpoints were undefined rather than silently deleted or</w:t>
      </w:r>
      <w:r>
        <w:t xml:space="preserve"> </w:t>
      </w:r>
      <w:r>
        <w:t xml:space="preserve">averaged over a different session count. Other low-count sessions, including</w:t>
      </w:r>
      <w:r>
        <w:t xml:space="preserve"> </w:t>
      </w:r>
      <w:r>
        <w:t xml:space="preserve">2-left/1-right groups, remained visible in S1 Data.</w:t>
      </w:r>
    </w:p>
    <w:p>
      <w:pPr>
        <w:pStyle w:val="BodyText"/>
      </w:pPr>
      <w:r>
        <w:rPr>
          <w:b/>
          <w:bCs/>
        </w:rPr>
        <w:t xml:space="preserve">Table 4. Exploratory amplitude-QC sensitivity of target-session BA (%, descriptive participant intervals).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included queries, original 12 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Unflagged queries, 10 eligible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60.14 [54.75, 66.02]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LDA-only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62.28 [56.21, 67.91]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66.10 [59.84, 71.94]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51.80 [48.34, 55.28]</w:t>
            </w:r>
          </w:p>
        </w:tc>
      </w:tr>
    </w:tbl>
    <w:p>
      <w:pPr>
        <w:pStyle w:val="BodyText"/>
      </w:pPr>
      <w:r>
        <w:t xml:space="preserve">The columns have different participant denominators and are not a paired QC</w:t>
      </w:r>
      <w:r>
        <w:t xml:space="preserve"> </w:t>
      </w:r>
      <w:r>
        <w:t xml:space="preserve">change. Sub-8 and sub-12 lack one or more defined unflagged session BAs and</w:t>
      </w:r>
      <w:r>
        <w:t xml:space="preserve"> </w:t>
      </w:r>
      <w:r>
        <w:t xml:space="preserve">remain in the supporting missing-class tables. All five target sessions and</w:t>
      </w:r>
      <w:r>
        <w:t xml:space="preserve"> </w:t>
      </w:r>
      <w:r>
        <w:t xml:space="preserve">all three EEGNet seeds are required. The same-ten paired changes are reported</w:t>
      </w:r>
      <w:r>
        <w:t xml:space="preserve"> </w:t>
      </w:r>
      <w:r>
        <w:t xml:space="preserve">below; unflagged does not mean artifact-free.</w:t>
      </w:r>
    </w:p>
    <w:p>
      <w:pPr>
        <w:pStyle w:val="BodyText"/>
      </w:pPr>
      <w:r>
        <w:t xml:space="preserve">For the ten eligible participants, unflagged full-minus-frozen was +5.96 points</w:t>
      </w:r>
      <w:r>
        <w:t xml:space="preserve"> </w:t>
      </w:r>
      <w:r>
        <w:t xml:space="preserve">[+0.99, +11.24] and full-minus-LDA-only +3.82 [+1.11, +6.72]. The same ten</w:t>
      </w:r>
      <w:r>
        <w:t xml:space="preserve"> </w:t>
      </w:r>
      <w:r>
        <w:t xml:space="preserve">participants’ full-query contrasts were +6.50 and +4.53 points. The paired</w:t>
      </w:r>
      <w:r>
        <w:t xml:space="preserve"> </w:t>
      </w:r>
      <w:r>
        <w:t xml:space="preserve">unflagged-minus-full changes were −0.54 [−1.30, +0.16] and −0.71 [−2.11, +0.42]</w:t>
      </w:r>
      <w:r>
        <w:t xml:space="preserve"> </w:t>
      </w:r>
      <w:r>
        <w:t xml:space="preserve">points, respectively. These subset-conditioned findings do not show that the</w:t>
      </w:r>
      <w:r>
        <w:t xml:space="preserve"> </w:t>
      </w:r>
      <w:r>
        <w:t xml:space="preserve">mean contrast was solely carried by flagged queries, but do not establish</w:t>
      </w:r>
      <w:r>
        <w:t xml:space="preserve"> </w:t>
      </w:r>
      <w:r>
        <w:t xml:space="preserve">artifact robustness or full-cohort coverage.</w:t>
      </w:r>
    </w:p>
    <w:p>
      <w:pPr>
        <w:pStyle w:val="BodyText"/>
      </w:pPr>
      <w:r>
        <w:t xml:space="preserve">Pooling all source and target query trials within each participant, a distinct</w:t>
      </w:r>
      <w:r>
        <w:t xml:space="preserve"> </w:t>
      </w:r>
      <w:r>
        <w:t xml:space="preserve">supplementary endpoint with 12 eligible participants in both subsets, produced</w:t>
      </w:r>
      <w:r>
        <w:t xml:space="preserve"> </w:t>
      </w:r>
      <w:r>
        <w:t xml:space="preserve">full/unflagged means of 58.41/57.58% frozen, 60.58/59.77% LDA-only,</w:t>
      </w:r>
      <w:r>
        <w:t xml:space="preserve"> </w:t>
      </w:r>
      <w:r>
        <w:t xml:space="preserve">65.43/65.95% full refit and 51.81/51.99% EEGNet. The source-only and target-pooled</w:t>
      </w:r>
      <w:r>
        <w:t xml:space="preserve"> </w:t>
      </w:r>
      <w:r>
        <w:t xml:space="preserve">endpoints, every session’s class counts and missingness are supplied separately.</w:t>
      </w:r>
      <w:r>
        <w:t xml:space="preserve"> </w:t>
      </w:r>
      <w:r>
        <w:t xml:space="preserve">Filtering query predictions did not remove the 76 flagged source TRAIN,</w:t>
      </w:r>
      <w:r>
        <w:t xml:space="preserve"> </w:t>
      </w:r>
      <w:r>
        <w:t xml:space="preserve">36 source-validation or 478 target-support windows from historical fitting</w:t>
      </w:r>
      <w:r>
        <w:t xml:space="preserve"> </w:t>
      </w:r>
      <w:r>
        <w:t xml:space="preserve">or checkpoint selection. Unflagged windows remain unreviewed for other artifacts.</w:t>
      </w:r>
    </w:p>
    <w:bookmarkEnd w:id="46"/>
    <w:bookmarkEnd w:id="47"/>
    <w:bookmarkStart w:id="51" w:name="discussion"/>
    <w:p>
      <w:pPr>
        <w:pStyle w:val="Heading1"/>
      </w:pPr>
      <w:r>
        <w:t xml:space="preserve">Discussion</w:t>
      </w:r>
    </w:p>
    <w:bookmarkStart w:id="48" w:name="Xdef613eaa3798299ba08d91422d4c2349fc6b98"/>
    <w:p>
      <w:pPr>
        <w:pStyle w:val="Heading2"/>
      </w:pPr>
      <w:r>
        <w:t xml:space="preserve">Increment beyond established supervised recalibration</w:t>
      </w:r>
    </w:p>
    <w:p>
      <w:pPr>
        <w:pStyle w:val="FirstParagraph"/>
      </w:pPr>
      <w:r>
        <w:t xml:space="preserve">The findings extend an existing longitudinal resource by separating two updates</w:t>
      </w:r>
      <w:r>
        <w:t xml:space="preserve"> </w:t>
      </w:r>
      <w:r>
        <w:t xml:space="preserve">under the same small current-session label allowance. The original study already</w:t>
      </w:r>
      <w:r>
        <w:t xml:space="preserve"> </w:t>
      </w:r>
      <w:r>
        <w:t xml:space="preserve">used adaptive CSP and first-run labels; reproducing that broad design is not a</w:t>
      </w:r>
      <w:r>
        <w:t xml:space="preserve"> </w:t>
      </w:r>
      <w:r>
        <w:t xml:space="preserve">novel algorithm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The secondary +5.47-point full-versus-LDA-only</w:t>
      </w:r>
      <w:r>
        <w:t xml:space="preserve"> </w:t>
      </w:r>
      <w:r>
        <w:t xml:space="preserve">contrast suggests that retaining the source spatial representation can limit</w:t>
      </w:r>
      <w:r>
        <w:t xml:space="preserve"> </w:t>
      </w:r>
      <w:r>
        <w:t xml:space="preserve">this conventional pipeline, even after classifier recalibration. It does not</w:t>
      </w:r>
      <w:r>
        <w:t xml:space="preserve"> </w:t>
      </w:r>
      <w:r>
        <w:t xml:space="preserve">uniquely identify a physiological mechanism, establish compute efficiency or</w:t>
      </w:r>
      <w:r>
        <w:t xml:space="preserve"> </w:t>
      </w:r>
      <w:r>
        <w:t xml:space="preserve">replace the original primary comparison. Development/remaining differences and</w:t>
      </w:r>
      <w:r>
        <w:t xml:space="preserve"> </w:t>
      </w:r>
      <w:r>
        <w:t xml:space="preserve">individual variation also prevent a universal recommendation to refit.</w:t>
      </w:r>
    </w:p>
    <w:p>
      <w:pPr>
        <w:pStyle w:val="BodyText"/>
      </w:pPr>
      <w:r>
        <w:t xml:space="preserve">Useful adaptation requires more than a cohort-average improvement. The observed</w:t>
      </w:r>
      <w:r>
        <w:t xml:space="preserve"> </w:t>
      </w:r>
      <w:r>
        <w:t xml:space="preserve">task-score orientation was inconsistent within some support runs, and the</w:t>
      </w:r>
      <w:r>
        <w:t xml:space="preserve"> </w:t>
      </w:r>
      <w:r>
        <w:t xml:space="preserve">prespecified drift proxies had wide associations with performance. No threshold,</w:t>
      </w:r>
      <w:r>
        <w:t xml:space="preserve"> </w:t>
      </w:r>
      <w:r>
        <w:t xml:space="preserve">gate or new strategy was chosen from these data. Alignment methods remain</w:t>
      </w:r>
      <w:r>
        <w:t xml:space="preserve"> </w:t>
      </w:r>
      <w:r>
        <w:t xml:space="preserve">important comparators for a separately reviewed study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; they cannot be retrospectively credited to this benchmark.</w:t>
      </w:r>
      <w:r>
        <w:t xml:space="preserve"> </w:t>
      </w:r>
      <w:r>
        <w:t xml:space="preserve">Reliable individual update decisions would require a separately frozen,</w:t>
      </w:r>
      <w:r>
        <w:t xml:space="preserve"> </w:t>
      </w:r>
      <w:r>
        <w:t xml:space="preserve">group-aware nested development evaluation against equal-label-budget controls.</w:t>
      </w:r>
    </w:p>
    <w:bookmarkEnd w:id="48"/>
    <w:bookmarkStart w:id="49" w:name="X22deca8fdffe2df0db89662b359df7afff8352f"/>
    <w:p>
      <w:pPr>
        <w:pStyle w:val="Heading2"/>
      </w:pPr>
      <w:r>
        <w:t xml:space="preserve">Window semantics and signal quality limit interpretation</w:t>
      </w:r>
    </w:p>
    <w:p>
      <w:pPr>
        <w:pStyle w:val="FirstParagraph"/>
      </w:pPr>
      <w:r>
        <w:t xml:space="preserve">The strongest qualification is that the recorded endpoint labels classify</w:t>
      </w:r>
      <w:r>
        <w:t xml:space="preserve"> </w:t>
      </w:r>
      <w:r>
        <w:t xml:space="preserve">cue-anchored windows in a motor-imagery experiment, not a verified sustained</w:t>
      </w:r>
      <w:r>
        <w:t xml:space="preserve"> </w:t>
      </w:r>
      <w:r>
        <w:t xml:space="preserve">imagery segment. Cue perception, feedback, ocular/muscle activity and online</w:t>
      </w:r>
      <w:r>
        <w:t xml:space="preserve"> </w:t>
      </w:r>
      <w:r>
        <w:t xml:space="preserve">termination-related phases could contribute. The recording-boundary exclusion</w:t>
      </w:r>
      <w:r>
        <w:t xml:space="preserve"> </w:t>
      </w:r>
      <w:r>
        <w:t xml:space="preserve">of 44 short events neither repairs nor estimates those contributions. A future</w:t>
      </w:r>
      <w:r>
        <w:t xml:space="preserve"> </w:t>
      </w:r>
      <w:r>
        <w:t xml:space="preserve">phase-specific analysis would first require matched original task-start/end</w:t>
      </w:r>
      <w:r>
        <w:t xml:space="preserve"> </w:t>
      </w:r>
      <w:r>
        <w:t xml:space="preserve">markers and sample clocks, a preserved new eligibility ledger and a separately</w:t>
      </w:r>
      <w:r>
        <w:t xml:space="preserve"> </w:t>
      </w:r>
      <w:r>
        <w:t xml:space="preserve">reviewed fixed window. It must not search window positions for better scores</w:t>
      </w:r>
      <w:r>
        <w:t xml:space="preserve"> </w:t>
      </w:r>
      <w:r>
        <w:t xml:space="preserve">or overwrite the present benchmark.</w:t>
      </w:r>
    </w:p>
    <w:p>
      <w:pPr>
        <w:pStyle w:val="BodyText"/>
      </w:pPr>
      <w:r>
        <w:t xml:space="preserve">The amplitude sensitivity directly addresses saved decoding outcomes, unlike a</w:t>
      </w:r>
      <w:r>
        <w:t xml:space="preserve"> </w:t>
      </w:r>
      <w:r>
        <w:t xml:space="preserve">power-only QC description. Its positive complete-case contrasts and lack of a</w:t>
      </w:r>
      <w:r>
        <w:t xml:space="preserve"> </w:t>
      </w:r>
      <w:r>
        <w:t xml:space="preserve">single-participant sign reversal narrow some simple influence explanations.</w:t>
      </w:r>
      <w:r>
        <w:t xml:space="preserve"> </w:t>
      </w:r>
      <w:r>
        <w:t xml:space="preserve">However, two of twelve primary participants lose a valid five-session endpoint,</w:t>
      </w:r>
      <w:r>
        <w:t xml:space="preserve"> </w:t>
      </w:r>
      <w:r>
        <w:t xml:space="preserve">conditioning on amplitude changes the sample and small class counts remain.</w:t>
      </w:r>
      <w:r>
        <w:t xml:space="preserve"> </w:t>
      </w:r>
      <w:r>
        <w:t xml:space="preserve">Flagged fit and validation examples still influence the stored models. These</w:t>
      </w:r>
      <w:r>
        <w:t xml:space="preserve"> </w:t>
      </w:r>
      <w:r>
        <w:t xml:space="preserve">limitations preclude labeling the results artifact-free or robust to all</w:t>
      </w:r>
      <w:r>
        <w:t xml:space="preserve"> </w:t>
      </w:r>
      <w:r>
        <w:t xml:space="preserve">signal-quality problems. The substantially different cue/task meanings also</w:t>
      </w:r>
      <w:r>
        <w:t xml:space="preserve"> </w:t>
      </w:r>
      <w:r>
        <w:t xml:space="preserve">cannot be resolved by an amplitude threshold.</w:t>
      </w:r>
    </w:p>
    <w:bookmarkEnd w:id="49"/>
    <w:bookmarkStart w:id="50" w:name="neural-baseline-and-statistical-scope"/>
    <w:p>
      <w:pPr>
        <w:pStyle w:val="Heading2"/>
      </w:pPr>
      <w:r>
        <w:t xml:space="preserve">Neural baseline and statistical scope</w:t>
      </w:r>
    </w:p>
    <w:p>
      <w:pPr>
        <w:pStyle w:val="FirstParagraph"/>
      </w:pPr>
      <w:r>
        <w:t xml:space="preserve">EEGNet’s weak held-out source-session score is the first interpretive constraint.</w:t>
      </w:r>
      <w:r>
        <w:t xml:space="preserve"> </w:t>
      </w:r>
      <w:r>
        <w:t xml:space="preserve">Its target score should not be presented as mainly a consequence of cross-session</w:t>
      </w:r>
      <w:r>
        <w:t xml:space="preserve"> </w:t>
      </w:r>
      <w:r>
        <w:t xml:space="preserve">drift. Saved histories show training loss reduction without consistent validation</w:t>
      </w:r>
      <w:r>
        <w:t xml:space="preserve"> </w:t>
      </w:r>
      <w:r>
        <w:t xml:space="preserve">benefit, heterogeneous stopping and seed variation. These support a limited</w:t>
      </w:r>
      <w:r>
        <w:t xml:space="preserve"> </w:t>
      </w:r>
      <w:r>
        <w:t xml:space="preserve">small-source benchmark, without proving a unique cause or that deep learning is</w:t>
      </w:r>
      <w:r>
        <w:t xml:space="preserve"> </w:t>
      </w:r>
      <w:r>
        <w:t xml:space="preserve">unsuitable for this task. Parameter choice, additional source labels or alignment</w:t>
      </w:r>
      <w:r>
        <w:t xml:space="preserve"> </w:t>
      </w:r>
      <w:r>
        <w:t xml:space="preserve">would be new experiments, not permissible post-query fixes.</w:t>
      </w:r>
    </w:p>
    <w:p>
      <w:pPr>
        <w:pStyle w:val="BodyText"/>
      </w:pPr>
      <w:r>
        <w:t xml:space="preserve">There are 18 published participant identities, 12 in the primary comparison and</w:t>
      </w:r>
      <w:r>
        <w:t xml:space="preserve"> </w:t>
      </w:r>
      <w:r>
        <w:t xml:space="preserve">six in reliability probes, not 54 independent participants. Bootstrap intervals</w:t>
      </w:r>
      <w:r>
        <w:t xml:space="preserve"> </w:t>
      </w:r>
      <w:r>
        <w:t xml:space="preserve">condition on these participants, fixed windows and fitted models. Earlier test</w:t>
      </w:r>
      <w:r>
        <w:t xml:space="preserve"> </w:t>
      </w:r>
      <w:r>
        <w:t xml:space="preserve">exposure makes follow-up QC, neural comparisons and manuscript-driven summaries</w:t>
      </w:r>
      <w:r>
        <w:t xml:space="preserve"> </w:t>
      </w:r>
      <w:r>
        <w:t xml:space="preserve">exploratory. Source metadata, protocol membership and biological independence</w:t>
      </w:r>
      <w:r>
        <w:t xml:space="preserve"> </w:t>
      </w:r>
      <w:r>
        <w:t xml:space="preserve">also have unresolved qualifications. Offline task-label accuracy does not</w:t>
      </w:r>
      <w:r>
        <w:t xml:space="preserve"> </w:t>
      </w:r>
      <w:r>
        <w:t xml:space="preserve">measure acquired BCI skill, human learning or clinical benefit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</w:t>
      </w:r>
    </w:p>
    <w:bookmarkEnd w:id="50"/>
    <w:bookmarkEnd w:id="51"/>
    <w:bookmarkStart w:id="52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Full CSP/LDA refitting improved the cohort-average endpoint under the specified</w:t>
      </w:r>
      <w:r>
        <w:t xml:space="preserve"> </w:t>
      </w:r>
      <w:r>
        <w:t xml:space="preserve">support-label budget, whereas the LDA-only contrast remained uncertain. The</w:t>
      </w:r>
      <w:r>
        <w:t xml:space="preserve"> </w:t>
      </w:r>
      <w:r>
        <w:t xml:space="preserve">secondary same-label-budget advantage over LDA-only updating and retained</w:t>
      </w:r>
      <w:r>
        <w:t xml:space="preserve"> </w:t>
      </w:r>
      <w:r>
        <w:t xml:space="preserve">individual/session variation motivate measuring when adaptation is useful, but</w:t>
      </w:r>
      <w:r>
        <w:t xml:space="preserve"> </w:t>
      </w:r>
      <w:r>
        <w:t xml:space="preserve">no reliable task-aware gate was validated. Weak independent source-query</w:t>
      </w:r>
      <w:r>
        <w:t xml:space="preserve"> </w:t>
      </w:r>
      <w:r>
        <w:t xml:space="preserve">EEGNet performance precedes its weak target result. New QC sensitivity is</w:t>
      </w:r>
      <w:r>
        <w:t xml:space="preserve"> </w:t>
      </w:r>
      <w:r>
        <w:t xml:space="preserve">qualified by incomplete class coverage and unchanged fitting artifacts. The</w:t>
      </w:r>
      <w:r>
        <w:t xml:space="preserve"> </w:t>
      </w:r>
      <w:r>
        <w:t xml:space="preserve">present evidence supports transparent interpretation of released cue-anchored</w:t>
      </w:r>
      <w:r>
        <w:t xml:space="preserve"> </w:t>
      </w:r>
      <w:r>
        <w:t xml:space="preserve">task-label windows, not isolated sustained imagery, skill retention or clinical</w:t>
      </w:r>
      <w:r>
        <w:t xml:space="preserve"> </w:t>
      </w:r>
      <w:r>
        <w:t xml:space="preserve">validity.</w:t>
      </w:r>
    </w:p>
    <w:bookmarkEnd w:id="52"/>
    <w:bookmarkStart w:id="53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analyzed public source is the exact NEMAR release nm000177/v1.0.5,</w:t>
      </w:r>
      <w:r>
        <w:t xml:space="preserve"> </w:t>
      </w:r>
      <w:r>
        <w:t xml:space="preserve">DOI 10.82901/nemar.nm000177.v1.0.5, under its stated CC BY 4.0 terms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Its original study and correction are cited separately. S1 Data contains the</w:t>
      </w:r>
      <w:r>
        <w:t xml:space="preserve"> </w:t>
      </w:r>
      <w:r>
        <w:t xml:space="preserve">minimal saved predictions, fixed trial/QC metadata, participant/session tables,</w:t>
      </w:r>
      <w:r>
        <w:t xml:space="preserve"> </w:t>
      </w:r>
      <w:r>
        <w:t xml:space="preserve">training curves and figure data needed to reproduce this paper’s saved-result</w:t>
      </w:r>
      <w:r>
        <w:t xml:space="preserve"> </w:t>
      </w:r>
      <w:r>
        <w:t xml:space="preserve">arithmetic without raw EEG, checkpoint weights or a second inference pass.</w:t>
      </w:r>
      <w:r>
        <w:t xml:space="preserve"> </w:t>
      </w:r>
      <w:r>
        <w:t xml:space="preserve">The new postprocessor accepts portable explicit inputs and fresh output paths.</w:t>
      </w:r>
      <w:r>
        <w:t xml:space="preserve"> </w:t>
      </w:r>
      <w:r>
        <w:t xml:space="preserve">S1 Text provides scientific details; S2 Text describes provenance and reproduction.</w:t>
      </w:r>
    </w:p>
    <w:p>
      <w:pPr>
        <w:pStyle w:val="BodyText"/>
      </w:pPr>
      <w:r>
        <w:t xml:space="preserve">Code, configurations, tests and text audit evidence are maintained at</w:t>
      </w:r>
      <w:r>
        <w:t xml:space="preserve"> </w:t>
      </w:r>
      <w:r>
        <w:t xml:space="preserve">https://github.com/jackzhu119/few-shot-mi-eeg on research/learning-preserving-bci,</w:t>
      </w:r>
      <w:r>
        <w:t xml:space="preserve"> </w:t>
      </w:r>
      <w:r>
        <w:t xml:space="preserve">with the exact source-code/data commit and export-file hashes in the</w:t>
      </w:r>
      <w:r>
        <w:t xml:space="preserve"> </w:t>
      </w:r>
      <w:r>
        <w:t xml:space="preserve">accompanying release manifest.</w:t>
      </w:r>
      <w:r>
        <w:t xml:space="preserve"> </w:t>
      </w:r>
      <w:r>
        <w:t xml:space="preserve">The snapshot is not a minted DOI or a submitted journal release. The revised</w:t>
      </w:r>
      <w:r>
        <w:t xml:space="preserve"> </w:t>
      </w:r>
      <w:r>
        <w:t xml:space="preserve">package awaits synchronization and a fixed public archive/version link before</w:t>
      </w:r>
      <w:r>
        <w:t xml:space="preserve"> </w:t>
      </w:r>
      <w:r>
        <w:t xml:space="preserve">submission; its presence in the local author-review package is not public release. Private R2</w:t>
      </w:r>
      <w:r>
        <w:t xml:space="preserve"> </w:t>
      </w:r>
      <w:r>
        <w:t xml:space="preserve">backups preserve original EEG/weights/evidence and are not public data endpoints.</w:t>
      </w:r>
      <w:r>
        <w:t xml:space="preserve"> </w:t>
      </w:r>
      <w:r>
        <w:t xml:space="preserve">The concrete proposal is MIT for original project code and CC BY 4.0 for original</w:t>
      </w:r>
      <w:r>
        <w:t xml:space="preserve"> </w:t>
      </w:r>
      <w:r>
        <w:t xml:space="preserve">derived content, with explicit third-party exclusions; the author’s license</w:t>
      </w:r>
      <w:r>
        <w:t xml:space="preserve"> </w:t>
      </w:r>
      <w:r>
        <w:t xml:space="preserve">selection and activation remain pending. No software license is silently granted.</w:t>
      </w:r>
    </w:p>
    <w:bookmarkEnd w:id="53"/>
    <w:bookmarkStart w:id="54" w:name="author-contributions-and-declarations"/>
    <w:p>
      <w:pPr>
        <w:pStyle w:val="Heading1"/>
      </w:pPr>
      <w:r>
        <w:t xml:space="preserve">Author contributions and declarations</w:t>
      </w:r>
    </w:p>
    <w:p>
      <w:pPr>
        <w:pStyle w:val="FirstParagraph"/>
      </w:pPr>
      <w:r>
        <w:t xml:space="preserve">Ziyuan Zhu: Conceptualization; Methodology; Software; Formal analysis; Validation;</w:t>
      </w:r>
      <w:r>
        <w:t xml:space="preserve"> </w:t>
      </w:r>
      <w:r>
        <w:t xml:space="preserve">Visualization; Writing – original draft; Writing – review &amp; editing.</w:t>
      </w:r>
      <w:r>
        <w:t xml:space="preserve"> </w:t>
      </w:r>
      <w:r>
        <w:t xml:space="preserve">The author declares no competing interests. ORCID name-field correction is</w:t>
      </w:r>
      <w:r>
        <w:t xml:space="preserve"> </w:t>
      </w:r>
      <w:r>
        <w:t xml:space="preserve">reported by the author; this task did not independently recheck the profile.</w:t>
      </w:r>
      <w:r>
        <w:t xml:space="preserve"> </w:t>
      </w:r>
      <w:r>
        <w:t xml:space="preserve">Funding information and manuscript-specific portal declarations are supplied in</w:t>
      </w:r>
      <w:r>
        <w:t xml:space="preserve"> </w:t>
      </w:r>
      <w:r>
        <w:t xml:space="preserve">the separate author worksheet. Final author approval, institutional determination</w:t>
      </w:r>
      <w:r>
        <w:t xml:space="preserve"> </w:t>
      </w:r>
      <w:r>
        <w:t xml:space="preserve">and license selection remain explicit pre-submission items. This task has not</w:t>
      </w:r>
      <w:r>
        <w:t xml:space="preserve"> </w:t>
      </w:r>
      <w:r>
        <w:t xml:space="preserve">submitted the manuscript.</w:t>
      </w:r>
    </w:p>
    <w:bookmarkEnd w:id="54"/>
    <w:bookmarkStart w:id="84" w:name="references"/>
    <w:p>
      <w:pPr>
        <w:pStyle w:val="Heading1"/>
      </w:pPr>
      <w:r>
        <w:t xml:space="preserve">References</w:t>
      </w:r>
    </w:p>
    <w:bookmarkStart w:id="83" w:name="refs"/>
    <w:bookmarkStart w:id="56" w:name="ref-lotte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Lotte F, Bougrain L, Cichocki A, Clerc M, Congedo M, Rakotomamonjy A, et al.</w:t>
      </w:r>
      <w:r>
        <w:t xml:space="preserve"> </w:t>
      </w:r>
      <w:r>
        <w:t xml:space="preserve">A review of classification algorithms for EEG-based brain–computer interfaces: a 10 year update</w:t>
      </w:r>
      <w:r>
        <w:t xml:space="preserve">. Journal of Neural Engineering. 2018;15: 031005. doi:</w:t>
      </w:r>
      <w:hyperlink ns4:id="rId55">
        <w:r>
          <w:rPr>
            <w:rStyle w:val="Hyperlink"/>
          </w:rPr>
          <w:t xml:space="preserve">10.1088/1741-2552/aab2f2</w:t>
        </w:r>
      </w:hyperlink>
    </w:p>
    <w:bookmarkEnd w:id="56"/>
    <w:bookmarkStart w:id="58" w:name="ref-ramoser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Ramoser H, Muller-Gerking J, Pfurtscheller G.</w:t>
      </w:r>
      <w:r>
        <w:t xml:space="preserve"> </w:t>
      </w:r>
      <w:r>
        <w:t xml:space="preserve">Optimal spatial filtering of single trial EEG during imagined hand movement</w:t>
      </w:r>
      <w:r>
        <w:t xml:space="preserve">. IEEE Transactions on Rehabilitation Engineering. 2000;8: 441–446. doi:</w:t>
      </w:r>
      <w:hyperlink ns4:id="rId57">
        <w:r>
          <w:rPr>
            <w:rStyle w:val="Hyperlink"/>
          </w:rPr>
          <w:t xml:space="preserve">10.1109/86.895946</w:t>
        </w:r>
      </w:hyperlink>
    </w:p>
    <w:bookmarkEnd w:id="58"/>
    <w:bookmarkStart w:id="60" w:name="ref-blankertz200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Blankertz B, Tomioka R, Lemm S, Kawanabe M, Muller K.</w:t>
      </w:r>
      <w:r>
        <w:t xml:space="preserve"> </w:t>
      </w:r>
      <w:r>
        <w:t xml:space="preserve">Optimizing Spatial filters for Robust EEG Single-Trial Analysis</w:t>
      </w:r>
      <w:r>
        <w:t xml:space="preserve">. IEEE Signal Processing Magazine. 2008;25: 41–56. doi:</w:t>
      </w:r>
      <w:hyperlink ns4:id="rId59">
        <w:r>
          <w:rPr>
            <w:rStyle w:val="Hyperlink"/>
          </w:rPr>
          <w:t xml:space="preserve">10.1109/msp.2008.4408441</w:t>
        </w:r>
      </w:hyperlink>
    </w:p>
    <w:bookmarkEnd w:id="60"/>
    <w:bookmarkStart w:id="62" w:name="ref-kumar202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4:id="rId61">
        <w:r>
          <w:rPr>
            <w:rStyle w:val="Hyperlink"/>
          </w:rPr>
          <w:t xml:space="preserve">10.1093/pnasnexus/pgae076</w:t>
        </w:r>
      </w:hyperlink>
    </w:p>
    <w:bookmarkEnd w:id="62"/>
    <w:bookmarkStart w:id="64" w:name="ref-kumar2024correcti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4:id="rId63">
        <w:r>
          <w:rPr>
            <w:rStyle w:val="Hyperlink"/>
          </w:rPr>
          <w:t xml:space="preserve">10.1093/pnasnexus/pgae137</w:t>
        </w:r>
      </w:hyperlink>
    </w:p>
    <w:bookmarkEnd w:id="64"/>
    <w:bookmarkStart w:id="66" w:name="ref-he2020alignmen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He H, Wu D.</w:t>
      </w:r>
      <w:r>
        <w:t xml:space="preserve"> </w:t>
      </w:r>
      <w:r>
        <w:t xml:space="preserve">Transfer Learning for Brain–Computer Interfaces: A Euclidean Space Data Alignment Approach</w:t>
      </w:r>
      <w:r>
        <w:t xml:space="preserve">. IEEE Transactions on Biomedical Engineering. 2020;67: 399–410. doi:</w:t>
      </w:r>
      <w:hyperlink ns4:id="rId65">
        <w:r>
          <w:rPr>
            <w:rStyle w:val="Hyperlink"/>
          </w:rPr>
          <w:t xml:space="preserve">10.1109/TBME.2019.2913914</w:t>
        </w:r>
      </w:hyperlink>
    </w:p>
    <w:bookmarkEnd w:id="66"/>
    <w:bookmarkStart w:id="68" w:name="ref-zanini2018alignmen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Zanini P, Congedo M, Jutten C, Said S, Berthoumieu Y.</w:t>
      </w:r>
      <w:r>
        <w:t xml:space="preserve"> </w:t>
      </w:r>
      <w:r>
        <w:t xml:space="preserve">Transfer Learning: A Riemannian Geometry Framework With Applications to Brain–Computer Interfaces</w:t>
      </w:r>
      <w:r>
        <w:t xml:space="preserve">. IEEE Transactions on Biomedical Engineering. 2018;65: 1107–1116. doi:</w:t>
      </w:r>
      <w:hyperlink ns4:id="rId67">
        <w:r>
          <w:rPr>
            <w:rStyle w:val="Hyperlink"/>
          </w:rPr>
          <w:t xml:space="preserve">10.1109/TBME.2017.2742541</w:t>
        </w:r>
      </w:hyperlink>
    </w:p>
    <w:bookmarkEnd w:id="68"/>
    <w:bookmarkStart w:id="70" w:name="ref-lotte2018skill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Lotte F, Jeunet C.</w:t>
      </w:r>
      <w:r>
        <w:t xml:space="preserve"> </w:t>
      </w:r>
      <w:r>
        <w:t xml:space="preserve">Defining and quantifying users’ mental imagery-based BCI skills: a first step</w:t>
      </w:r>
      <w:r>
        <w:t xml:space="preserve">. Journal of Neural Engineering. 2018;15: 046030. doi:</w:t>
      </w:r>
      <w:hyperlink ns4:id="rId69">
        <w:r>
          <w:rPr>
            <w:rStyle w:val="Hyperlink"/>
          </w:rPr>
          <w:t xml:space="preserve">10.1088/1741-2552/aac577</w:t>
        </w:r>
      </w:hyperlink>
    </w:p>
    <w:bookmarkEnd w:id="70"/>
    <w:bookmarkStart w:id="72" w:name="ref-lawhern201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Lawhern VJ, Solon AJ, Waytowich NR, Gordon SM, Hung CP, Lance BJ.</w:t>
      </w:r>
      <w:r>
        <w:t xml:space="preserve"> </w:t>
      </w:r>
      <w:r>
        <w:t xml:space="preserve">EEGNet: a compact convolutional neural network for EEG-based brain–computer interfaces</w:t>
      </w:r>
      <w:r>
        <w:t xml:space="preserve">. Journal of Neural Engineering. 2018;15: 056013. doi:</w:t>
      </w:r>
      <w:hyperlink ns4:id="rId71">
        <w:r>
          <w:rPr>
            <w:rStyle w:val="Hyperlink"/>
          </w:rPr>
          <w:t xml:space="preserve">10.1088/1741-2552/aace8c</w:t>
        </w:r>
      </w:hyperlink>
    </w:p>
    <w:bookmarkEnd w:id="72"/>
    <w:bookmarkStart w:id="74" w:name="ref-nemar17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Kumar S, Alawieh H, Racz FS, Fakhreddine R, Millan J del R.</w:t>
      </w:r>
      <w:r>
        <w:t xml:space="preserve"> </w:t>
      </w:r>
      <w:r>
        <w:t xml:space="preserve">Multi-session longitudinal motor imagery EEG dataset (Kumar et al. 2024)</w:t>
      </w:r>
      <w:r>
        <w:t xml:space="preserve">. NEMAR (Neuroelectromagnetic Data Archive; Tools Resource); 2026. doi:</w:t>
      </w:r>
      <w:hyperlink ns4:id="rId73">
        <w:r>
          <w:rPr>
            <w:rStyle w:val="Hyperlink"/>
          </w:rPr>
          <w:t xml:space="preserve">10.82901/nemar.nm000177.v1.0.5</w:t>
        </w:r>
      </w:hyperlink>
    </w:p>
    <w:bookmarkEnd w:id="74"/>
    <w:bookmarkStart w:id="76" w:name="ref-kumarcodebook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4:id="rId75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76"/>
    <w:bookmarkStart w:id="78" w:name="ref-jayaram2018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Jayaram V, Barachant A.</w:t>
      </w:r>
      <w:r>
        <w:t xml:space="preserve"> </w:t>
      </w:r>
      <w:r>
        <w:t xml:space="preserve">MOABB: trustworthy algorithm benchmarking for BCIs</w:t>
      </w:r>
      <w:r>
        <w:t xml:space="preserve">. Journal of Neural Engineering. 2018;15: 066011. doi:</w:t>
      </w:r>
      <w:hyperlink ns4:id="rId77">
        <w:r>
          <w:rPr>
            <w:rStyle w:val="Hyperlink"/>
          </w:rPr>
          <w:t xml:space="preserve">10.1088/1741-2552/aadea0</w:t>
        </w:r>
      </w:hyperlink>
    </w:p>
    <w:bookmarkEnd w:id="78"/>
    <w:bookmarkStart w:id="80" w:name="ref-schirrmeister2017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Schirrmeister RT, Springenberg JT, Fiederer LDJ, Glasstetter M, Eggensperger K, Tangermann M, et al.</w:t>
      </w:r>
      <w:r>
        <w:t xml:space="preserve"> </w:t>
      </w:r>
      <w:r>
        <w:t xml:space="preserve">Deep learning with convolutional neural networks for EEG decoding and visualization</w:t>
      </w:r>
      <w:r>
        <w:t xml:space="preserve">. Human Brain Mapping. 2017;38: 5391–5420. doi:</w:t>
      </w:r>
      <w:hyperlink ns4:id="rId79">
        <w:r>
          <w:rPr>
            <w:rStyle w:val="Hyperlink"/>
          </w:rPr>
          <w:t xml:space="preserve">10.1002/hbm.23730</w:t>
        </w:r>
      </w:hyperlink>
    </w:p>
    <w:bookmarkEnd w:id="80"/>
    <w:bookmarkStart w:id="82" w:name="ref-ledoit2004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Ledoit O, Wolf M.</w:t>
      </w:r>
      <w:r>
        <w:t xml:space="preserve"> </w:t>
      </w:r>
      <w:r>
        <w:t xml:space="preserve">A well-conditioned estimator for large-dimensional covariance matrices</w:t>
      </w:r>
      <w:r>
        <w:t xml:space="preserve">. Journal of Multivariate Analysis. 2004;88: 365–411. doi:</w:t>
      </w:r>
      <w:hyperlink ns4:id="rId81">
        <w:r>
          <w:rPr>
            <w:rStyle w:val="Hyperlink"/>
          </w:rPr>
          <w:t xml:space="preserve">10.1016/s0047-259x(03)00096-4</w:t>
        </w:r>
      </w:hyperlink>
    </w:p>
    <w:bookmarkEnd w:id="82"/>
    <w:bookmarkEnd w:id="83"/>
    <w:bookmarkEnd w:id="84"/>
    <w:bookmarkStart w:id="85" w:name="supporting-information-captions"/>
    <w:p>
      <w:pPr>
        <w:pStyle w:val="Heading1"/>
      </w:pPr>
      <w:r>
        <w:t xml:space="preserve">Supporting information captions</w:t>
      </w:r>
    </w:p>
    <w:p>
      <w:pPr>
        <w:pStyle w:val="FirstParagraph"/>
      </w:pPr>
      <w:r>
        <w:rPr>
          <w:b/>
          <w:bCs/>
        </w:rPr>
        <w:t xml:space="preserve">S1 Text. Detailed scientific methods and sensitivity definitions.</w:t>
      </w:r>
      <w:r>
        <w:t xml:space="preserve"> </w:t>
      </w:r>
      <w:r>
        <w:t xml:space="preserve">Preprocessing, frozen decoders and budgets, participant statistics, event-phase</w:t>
      </w:r>
      <w:r>
        <w:t xml:space="preserve"> </w:t>
      </w:r>
      <w:r>
        <w:t xml:space="preserve">evidence, QC class eligibility, training interpretation and limits.</w:t>
      </w:r>
    </w:p>
    <w:p>
      <w:pPr>
        <w:pStyle w:val="BodyText"/>
      </w:pPr>
      <w:r>
        <w:rPr>
          <w:b/>
          <w:bCs/>
        </w:rPr>
        <w:t xml:space="preserve">S2 Text. Audit and saved-result reproduction.</w:t>
      </w:r>
      <w:r>
        <w:t xml:space="preserve"> </w:t>
      </w:r>
      <w:r>
        <w:t xml:space="preserve">Source/version identities, saved-output reconstruction, exact data dictionary,</w:t>
      </w:r>
      <w:r>
        <w:t xml:space="preserve"> </w:t>
      </w:r>
      <w:r>
        <w:t xml:space="preserve">portable commands, and a compact account of preservation/recovery checks,</w:t>
      </w:r>
      <w:r>
        <w:t xml:space="preserve"> </w:t>
      </w:r>
      <w:r>
        <w:t xml:space="preserve">separated from the scientific claims.</w:t>
      </w:r>
    </w:p>
    <w:p>
      <w:pPr>
        <w:pStyle w:val="BodyText"/>
      </w:pPr>
      <w:r>
        <w:rPr>
          <w:b/>
          <w:bCs/>
        </w:rPr>
        <w:t xml:space="preserve">S1 Data. Minimal saved results and underlying figure data.</w:t>
      </w:r>
      <w:r>
        <w:t xml:space="preserve"> </w:t>
      </w:r>
      <w:r>
        <w:t xml:space="preserve">Saved CPU/EEGNet predictions, frozen event/QC lookup, original and sensitivity</w:t>
      </w:r>
      <w:r>
        <w:t xml:space="preserve"> </w:t>
      </w:r>
      <w:r>
        <w:t xml:space="preserve">participant/session counts and endpoints, training histories and exact plot</w:t>
      </w:r>
      <w:r>
        <w:t xml:space="preserve"> </w:t>
      </w:r>
      <w:r>
        <w:t xml:space="preserve">values. No EEG arrays, learned weights, source-paper full texts or bundled</w:t>
      </w:r>
      <w:r>
        <w:t xml:space="preserve"> </w:t>
      </w:r>
      <w:r>
        <w:t xml:space="preserve">third-party software are included.</w:t>
      </w:r>
    </w:p>
    <w:bookmarkEnd w:id="85"/>
    <w:sectPr>
      <w:footerReference w:type="default" ns4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image" Id="rId31" Target="media/rId31.png" /><ns0:Relationship Type="http://schemas.openxmlformats.org/officeDocument/2006/relationships/image" Id="rId34" Target="media/rId34.png" /><ns0:Relationship Type="http://schemas.openxmlformats.org/officeDocument/2006/relationships/image" Id="rId39" Target="media/rId39.png" /><ns0:Relationship Type="http://schemas.openxmlformats.org/officeDocument/2006/relationships/image" Id="rId43" Target="media/rId43.png" /><ns0:Relationship Type="http://schemas.openxmlformats.org/officeDocument/2006/relationships/hyperlink" Id="rId79" Target="https://doi.org/10.1002/hbm.23730" TargetMode="External" /><ns0:Relationship Type="http://schemas.openxmlformats.org/officeDocument/2006/relationships/hyperlink" Id="rId81" Target="https://doi.org/10.1016/s0047-259x(03)00096-4" TargetMode="External" /><ns0:Relationship Type="http://schemas.openxmlformats.org/officeDocument/2006/relationships/hyperlink" Id="rId55" Target="https://doi.org/10.1088/1741-2552/aab2f2" TargetMode="External" /><ns0:Relationship Type="http://schemas.openxmlformats.org/officeDocument/2006/relationships/hyperlink" Id="rId69" Target="https://doi.org/10.1088/1741-2552/aac577" TargetMode="External" /><ns0:Relationship Type="http://schemas.openxmlformats.org/officeDocument/2006/relationships/hyperlink" Id="rId71" Target="https://doi.org/10.1088/1741-2552/aace8c" TargetMode="External" /><ns0:Relationship Type="http://schemas.openxmlformats.org/officeDocument/2006/relationships/hyperlink" Id="rId77" Target="https://doi.org/10.1088/1741-2552/aadea0" TargetMode="External" /><ns0:Relationship Type="http://schemas.openxmlformats.org/officeDocument/2006/relationships/hyperlink" Id="rId61" Target="https://doi.org/10.1093/pnasnexus/pgae076" TargetMode="External" /><ns0:Relationship Type="http://schemas.openxmlformats.org/officeDocument/2006/relationships/hyperlink" Id="rId63" Target="https://doi.org/10.1093/pnasnexus/pgae137" TargetMode="External" /><ns0:Relationship Type="http://schemas.openxmlformats.org/officeDocument/2006/relationships/hyperlink" Id="rId57" Target="https://doi.org/10.1109/86.895946" TargetMode="External" /><ns0:Relationship Type="http://schemas.openxmlformats.org/officeDocument/2006/relationships/hyperlink" Id="rId67" Target="https://doi.org/10.1109/TBME.2017.2742541" TargetMode="External" /><ns0:Relationship Type="http://schemas.openxmlformats.org/officeDocument/2006/relationships/hyperlink" Id="rId65" Target="https://doi.org/10.1109/TBME.2019.2913914" TargetMode="External" /><ns0:Relationship Type="http://schemas.openxmlformats.org/officeDocument/2006/relationships/hyperlink" Id="rId59" Target="https://doi.org/10.1109/msp.2008.4408441" TargetMode="External" /><ns0:Relationship Type="http://schemas.openxmlformats.org/officeDocument/2006/relationships/hyperlink" Id="rId73" Target="https://doi.org/10.82901/nemar.nm000177.v1.0.5" TargetMode="External" /><ns0:Relationship Type="http://schemas.openxmlformats.org/officeDocument/2006/relationships/hyperlink" Id="rId75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doi.org/10.1002/hbm.23730" TargetMode="External" /><Relationship Type="http://schemas.openxmlformats.org/officeDocument/2006/relationships/hyperlink" Id="rId81" Target="https://doi.org/10.1016/s0047-259x(03)00096-4" TargetMode="External" /><Relationship Type="http://schemas.openxmlformats.org/officeDocument/2006/relationships/hyperlink" Id="rId55" Target="https://doi.org/10.1088/1741-2552/aab2f2" TargetMode="External" /><Relationship Type="http://schemas.openxmlformats.org/officeDocument/2006/relationships/hyperlink" Id="rId69" Target="https://doi.org/10.1088/1741-2552/aac577" TargetMode="External" /><Relationship Type="http://schemas.openxmlformats.org/officeDocument/2006/relationships/hyperlink" Id="rId71" Target="https://doi.org/10.1088/1741-2552/aace8c" TargetMode="External" /><Relationship Type="http://schemas.openxmlformats.org/officeDocument/2006/relationships/hyperlink" Id="rId77" Target="https://doi.org/10.1088/1741-2552/aadea0" TargetMode="External" /><Relationship Type="http://schemas.openxmlformats.org/officeDocument/2006/relationships/hyperlink" Id="rId61" Target="https://doi.org/10.1093/pnasnexus/pgae076" TargetMode="External" /><Relationship Type="http://schemas.openxmlformats.org/officeDocument/2006/relationships/hyperlink" Id="rId63" Target="https://doi.org/10.1093/pnasnexus/pgae137" TargetMode="External" /><Relationship Type="http://schemas.openxmlformats.org/officeDocument/2006/relationships/hyperlink" Id="rId57" Target="https://doi.org/10.1109/86.895946" TargetMode="External" /><Relationship Type="http://schemas.openxmlformats.org/officeDocument/2006/relationships/hyperlink" Id="rId67" Target="https://doi.org/10.1109/TBME.2017.2742541" TargetMode="External" /><Relationship Type="http://schemas.openxmlformats.org/officeDocument/2006/relationships/hyperlink" Id="rId65" Target="https://doi.org/10.1109/TBME.2019.2913914" TargetMode="External" /><Relationship Type="http://schemas.openxmlformats.org/officeDocument/2006/relationships/hyperlink" Id="rId59" Target="https://doi.org/10.1109/msp.2008.4408441" TargetMode="External" /><Relationship Type="http://schemas.openxmlformats.org/officeDocument/2006/relationships/hyperlink" Id="rId73" Target="https://doi.org/10.82901/nemar.nm000177.v1.0.5" TargetMode="External" /><Relationship Type="http://schemas.openxmlformats.org/officeDocument/2006/relationships/hyperlink" Id="rId75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motor-imagery EEG decoding: Frozen baselines, supervised recalibration, and task-measurement reliability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