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igure-captions"/>
    <w:p>
      <w:pPr>
        <w:pStyle w:val="Heading1"/>
      </w:pPr>
      <w:r>
        <w:t xml:space="preserve">Figure captions</w:t>
      </w:r>
    </w:p>
    <w:p>
      <w:pPr>
        <w:pStyle w:val="FirstParagraph"/>
      </w:pPr>
      <w:r>
        <w:rPr>
          <w:b/>
          <w:bCs/>
        </w:rPr>
        <w:t xml:space="preserve">Figure 1. Study design and paired prediction analysis.</w:t>
      </w:r>
      <w:r>
        <w:t xml:space="preserve"> </w:t>
      </w:r>
      <w:r>
        <w:t xml:space="preserve">Five cohorts comprise 56 participants in the main evaluation. Conventional CSP/LDA actions and source-trained EEGNet calibration configurations retain their separately defined signal processing, fitting and acquisition contracts. Each update is evaluated on the same queries as its within-cohort reference. Class-balanced corrected errors C and introduced errors I give total prediction disagreement D = C + I and net balanced-accuracy change G = C − I. Sessions, source seeds and configurations are repeated observations within participants. Kumar budgets count valid support labels, whereas neural budgets count acquired positions before quality control. Six previously exposed Kumar development participants and the source-model extension are reported separately.</w:t>
      </w:r>
    </w:p>
    <w:p>
      <w:pPr>
        <w:pStyle w:val="BodyText"/>
      </w:pPr>
      <w:r>
        <w:rPr>
          <w:b/>
          <w:bCs/>
        </w:rPr>
        <w:t xml:space="preserve">Figure 2. Accuracy and prediction changes along conventional update operations.</w:t>
      </w:r>
      <w:r>
        <w:t xml:space="preserve"> </w:t>
      </w:r>
      <w:r>
        <w:t xml:space="preserve">A–B: participant trajectories (grey) and participant-equal cohort means for frozen CSP/LDA, classifier-only recalibration, spatial-filter and classifier refitting, and refitting after support-only Euclidean alignment. Kumar uses its full current-session support run of 19/20 valid labels; BNCI uses exactly 20 valid labels. Error bars are pointwise 95% participant-bootstrap intervals from 10,000 resamples. C–D: adjacent-operation comparisons isolate classifier versus frozen decoding, spatial refitting versus classifier-only recalibration, and alignment versus full refitting. Green and orange bars partition prediction disagreement into corrected and introduced class-balanced mass. Separate black diamonds show their net gain and pointwise intervals. The updating pipelines share source/support fitting labels and all four pipelines share query identities within each cohort; frozen decoding uses no target labels. The cohorts retain different preprocessing and fitting implementations.</w:t>
      </w:r>
    </w:p>
    <w:p>
      <w:pPr>
        <w:pStyle w:val="BodyText"/>
      </w:pPr>
      <w:r>
        <w:rPr>
          <w:b/>
          <w:bCs/>
        </w:rPr>
        <w:t xml:space="preserve">Figure 3. Equal mean accuracy with different prediction changes.</w:t>
      </w:r>
      <w:r>
        <w:t xml:space="preserve"> </w:t>
      </w:r>
      <w:r>
        <w:t xml:space="preserve">A: participant-by-configuration summaries for all seventeen non-frozen neural configurations at 20 acquired positions, relative to the frozen source. Configuration repetitions do not increase the 11 Stieger, 14 Pan or 10 Weibo participants. B: bias-only calibration and the cross-fitted stack in Pan both attain mean BA of 63.3571% and net gain of +0.1786 percentage points, while their disagreement is 2.3452 and 11.4167 points. C–D: disagreement and net gain for the same fourteen participants; grey lines connect participant pairs and black diamonds indicate participant-equal means. The shared observed mean is an illustrative matched-score case, not a statistical equivalence result.</w:t>
      </w:r>
    </w:p>
    <w:p>
      <w:pPr>
        <w:pStyle w:val="BodyText"/>
      </w:pPr>
      <w:r>
        <w:rPr>
          <w:b/>
          <w:bCs/>
        </w:rPr>
        <w:t xml:space="preserve">Figure 4. Error redistribution across calibration budgets.</w:t>
      </w:r>
      <w:r>
        <w:t xml:space="preserve"> </w:t>
      </w:r>
      <w:r>
        <w:t xml:space="preserve">A–B: participant-equal BA for four conventional update actions in Kumar and frozen/support-aligned EEGNet in Weibo. C–D: corrected errors C, introduced errors I and net gain G for full spatial/classifier refitting in Kumar and support alignment in Weibo, each relative to its frozen reference. Shading shows pointwise 95% participant-bootstrap intervals from 10,000 resamples. Left-column budgets count valid labels, with full support consisting of 19 or 20 labels; right-column budgets count acquired positions before quality control. Frozen references receive no target calibration labels and are repeated on these axes for comparison. The different cohort-specific alignment paths do not constitute a controlled comparison of architectures or covariance estimators.</w:t>
      </w:r>
    </w:p>
    <w:bookmarkEnd w:id="20"/>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Zhu et al. — Error redistribution in EEG recalibration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24"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captions</dc:title>
  <dc:creator>Ziyuan Zhu; Sihao Liu; Haoyang Yu</dc:creator>
  <cp:keywords/>
  <dcterms:created xsi:type="dcterms:W3CDTF">2026-10-29T11:57:21Z</dcterms:created>
  <dcterms:modified xsi:type="dcterms:W3CDTF">2026-10-29T11:57:21Z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/tmp/paper3-integrated-bmte-20261029/references.json</vt:lpwstr>
  </property>
  <property fmtid="{D5CDD505-2E9C-101B-9397-08002B2CF9AE}" pid="3" name="csl">
    <vt:lpwstr>/tmp/paper3-integrated-bmte-20261029/research/bmte-vancouver.csl</vt:lpwstr>
  </property>
</Properties>
</file>