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0" w:after="40"/>
      </w:pPr>
      <w:r>
        <w:rPr>
          <w:rFonts w:ascii="Noto Sans CJK SC" w:hAnsi="Noto Sans CJK SC" w:eastAsia="Noto Sans CJK SC" w:cs="Noto Sans CJK SC"/>
          <w:b/>
          <w:color w:val="182F44"/>
          <w:sz w:val="40"/>
        </w:rPr>
        <w:t>论文3：数据扩展与算法创新建议</w:t>
      </w:r>
    </w:p>
    <w:p>
      <w:pPr>
        <w:spacing w:after="320"/>
      </w:pPr>
      <w:r>
        <w:rPr>
          <w:rFonts w:ascii="Noto Sans CJK SC" w:hAnsi="Noto Sans CJK SC" w:eastAsia="Noto Sans CJK SC" w:cs="Noto Sans CJK SC"/>
          <w:b w:val="0"/>
          <w:color w:val="5E6E7C"/>
          <w:sz w:val="21"/>
        </w:rPr>
        <w:t>研究现状核查 · 公开数据集筛选 · 算法创新方向 · 后续实验路线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94"/>
        <w:gridCol w:w="3194"/>
        <w:gridCol w:w="3194"/>
      </w:tblGrid>
      <w:tr>
        <w:trPr>
          <w:tblHeader/>
        </w:trPr>
        <w:tc>
          <w:tcPr>
            <w:tcW w:type="dxa" w:w="3288"/>
            <w:shd w:fill="244E6A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bottom w:val="single" w:sz="5" w:color="D7E0E6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文件依据</w:t>
            </w:r>
          </w:p>
        </w:tc>
        <w:tc>
          <w:tcPr>
            <w:tcW w:type="dxa" w:w="1814"/>
            <w:shd w:fill="244E6A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bottom w:val="single" w:sz="5" w:color="D7E0E6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核查时点</w:t>
            </w:r>
          </w:p>
        </w:tc>
        <w:tc>
          <w:tcPr>
            <w:tcW w:type="dxa" w:w="4479"/>
            <w:shd w:fill="244E6A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bottom w:val="single" w:sz="5" w:color="D7E0E6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适用范围</w:t>
            </w:r>
          </w:p>
        </w:tc>
      </w:tr>
      <w:tr>
        <w:trPr>
          <w:cantSplit/>
        </w:trPr>
        <w:tc>
          <w:tcPr>
            <w:tcW w:type="dxa" w:w="3288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  <w:tcBorders>
              <w:bottom w:val="single" w:sz="5" w:color="D7E0E6"/>
            </w:tcBorders>
          </w:tcPr>
          <w:p>
            <w:pPr>
              <w:spacing w:after="0" w:line="281" w:lineRule="auto"/>
            </w:pPr>
            <w:r>
              <w:rPr>
                <w:rFonts w:ascii="Noto Sans CJK SC" w:hAnsi="Noto Sans CJK SC" w:eastAsia="Noto Sans CJK SC" w:cs="Noto Sans CJK SC"/>
                <w:b/>
                <w:color w:val="202B35"/>
                <w:sz w:val="18"/>
              </w:rPr>
              <w:t>GitHub研究分支最新提交 f90afdc</w:t>
            </w:r>
          </w:p>
        </w:tc>
        <w:tc>
          <w:tcPr>
            <w:tcW w:type="dxa" w:w="1814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  <w:tcBorders>
              <w:bottom w:val="single" w:sz="5" w:color="D7E0E6"/>
            </w:tcBorders>
          </w:tcPr>
          <w:p>
            <w:pPr>
              <w:spacing w:after="0" w:line="281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02B35"/>
                <w:sz w:val="18"/>
              </w:rPr>
              <w:t>2026年10月19日</w:t>
            </w:r>
          </w:p>
        </w:tc>
        <w:tc>
          <w:tcPr>
            <w:tcW w:type="dxa" w:w="4479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  <w:tcBorders>
              <w:bottom w:val="single" w:sz="5" w:color="D7E0E6"/>
            </w:tcBorders>
          </w:tcPr>
          <w:p>
            <w:pPr>
              <w:spacing w:after="0" w:line="281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02B35"/>
                <w:sz w:val="18"/>
              </w:rPr>
              <w:t>阶段性研究建议；并非已完成实验的结果报告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300" w:after="140"/>
        <w:pBdr>
          <w:bottom w:val="single" w:sz="5" w:color="B8CAD5"/>
        </w:pBdr>
      </w:pPr>
      <w:r>
        <w:rPr>
          <w:rFonts w:ascii="Noto Sans CJK SC" w:hAnsi="Noto Sans CJK SC" w:eastAsia="Noto Sans CJK SC" w:cs="Noto Sans CJK SC"/>
          <w:b/>
          <w:color w:val="182F44"/>
          <w:sz w:val="28"/>
        </w:rPr>
        <w:t>执行摘要</w:t>
      </w:r>
    </w:p>
    <w:p>
      <w:pPr>
        <w:spacing w:before="0" w:after="120" w:line="312" w:lineRule="auto"/>
      </w:pPr>
      <w:r>
        <w:rPr>
          <w:rFonts w:ascii="Noto Sans CJK SC" w:hAnsi="Noto Sans CJK SC" w:eastAsia="Noto Sans CJK SC" w:cs="Noto Sans CJK SC"/>
          <w:b w:val="0"/>
          <w:color w:val="202B35"/>
          <w:sz w:val="20"/>
        </w:rPr>
        <w:t>现有数据已经足以启动论文3的核心算法训练；相比继续堆积样本，优先完成受控GPU试验、纵向元训练和强对照比较更能提升论文的可发表性。可行的数据扩展首选Yang2025和Dreyer2023；具有多天记录的Ma2022适合作为单独的空间适应研究分支。新增的外部验证候选不应直接转作训练集，否则会破坏此前预登记的独立评价设计。</w:t>
      </w:r>
    </w:p>
    <w:p>
      <w:pPr>
        <w:pStyle w:val="Heading1"/>
        <w:keepNext/>
        <w:spacing w:before="300" w:after="140"/>
        <w:pBdr>
          <w:bottom w:val="single" w:sz="5" w:color="B8CAD5"/>
        </w:pBdr>
      </w:pPr>
      <w:r>
        <w:rPr>
          <w:rFonts w:ascii="Noto Sans CJK SC" w:hAnsi="Noto Sans CJK SC" w:eastAsia="Noto Sans CJK SC" w:cs="Noto Sans CJK SC"/>
          <w:b/>
          <w:color w:val="182F44"/>
          <w:sz w:val="28"/>
        </w:rPr>
        <w:t>一、论文3最新数据状态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94"/>
        <w:gridCol w:w="3194"/>
        <w:gridCol w:w="3194"/>
      </w:tblGrid>
      <w:tr>
        <w:trPr>
          <w:tblHeader/>
        </w:trPr>
        <w:tc>
          <w:tcPr>
            <w:tcW w:type="dxa" w:w="1984"/>
            <w:shd w:fill="244E6A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bottom w:val="single" w:sz="5" w:color="D7E0E6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2835"/>
            <w:shd w:fill="244E6A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bottom w:val="single" w:sz="5" w:color="D7E0E6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仓库目前状态</w:t>
            </w:r>
          </w:p>
        </w:tc>
        <w:tc>
          <w:tcPr>
            <w:tcW w:type="dxa" w:w="4762"/>
            <w:shd w:fill="244E6A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bottom w:val="single" w:sz="5" w:color="D7E0E6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解释与限制</w:t>
            </w:r>
          </w:p>
        </w:tc>
      </w:tr>
      <w:tr>
        <w:trPr>
          <w:cantSplit/>
        </w:trPr>
        <w:tc>
          <w:tcPr>
            <w:tcW w:type="dxa" w:w="1984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  <w:tcBorders>
              <w:bottom w:val="single" w:sz="5" w:color="D7E0E6"/>
            </w:tcBorders>
          </w:tcPr>
          <w:p>
            <w:pPr>
              <w:spacing w:after="0" w:line="281" w:lineRule="auto"/>
            </w:pPr>
            <w:r>
              <w:rPr>
                <w:rFonts w:ascii="Noto Sans CJK SC" w:hAnsi="Noto Sans CJK SC" w:eastAsia="Noto Sans CJK SC" w:cs="Noto Sans CJK SC"/>
                <w:b/>
                <w:color w:val="202B35"/>
                <w:sz w:val="17"/>
              </w:rPr>
              <w:t>源训练缓存</w:t>
            </w:r>
          </w:p>
        </w:tc>
        <w:tc>
          <w:tcPr>
            <w:tcW w:type="dxa" w:w="2835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  <w:tcBorders>
              <w:bottom w:val="single" w:sz="5" w:color="D7E0E6"/>
            </w:tcBorders>
          </w:tcPr>
          <w:p>
            <w:pPr>
              <w:spacing w:after="0" w:line="281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02B35"/>
                <w:sz w:val="17"/>
              </w:rPr>
              <w:t>28,830条有效左右手MI trial</w:t>
            </w:r>
          </w:p>
        </w:tc>
        <w:tc>
          <w:tcPr>
            <w:tcW w:type="dxa" w:w="4762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  <w:tcBorders>
              <w:bottom w:val="single" w:sz="5" w:color="D7E0E6"/>
            </w:tcBorders>
          </w:tcPr>
          <w:p>
            <w:pPr>
              <w:spacing w:after="0" w:line="281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02B35"/>
                <w:sz w:val="17"/>
              </w:rPr>
              <w:t>来自BNCI、Cho、OpenBMI、PhysioNet；源原档和缓存完成校验</w:t>
            </w:r>
          </w:p>
        </w:tc>
      </w:tr>
      <w:tr>
        <w:trPr>
          <w:cantSplit/>
        </w:trPr>
        <w:tc>
          <w:tcPr>
            <w:tcW w:type="dxa" w:w="1984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  <w:shd w:fill="F4F7F9"/>
            <w:tcBorders>
              <w:bottom w:val="single" w:sz="5" w:color="D7E0E6"/>
            </w:tcBorders>
          </w:tcPr>
          <w:p>
            <w:pPr>
              <w:spacing w:after="0" w:line="281" w:lineRule="auto"/>
            </w:pPr>
            <w:r>
              <w:rPr>
                <w:rFonts w:ascii="Noto Sans CJK SC" w:hAnsi="Noto Sans CJK SC" w:eastAsia="Noto Sans CJK SC" w:cs="Noto Sans CJK SC"/>
                <w:b/>
                <w:color w:val="202B35"/>
                <w:sz w:val="17"/>
              </w:rPr>
              <w:t>源参与者标识</w:t>
            </w:r>
          </w:p>
        </w:tc>
        <w:tc>
          <w:tcPr>
            <w:tcW w:type="dxa" w:w="2835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  <w:shd w:fill="F4F7F9"/>
            <w:tcBorders>
              <w:bottom w:val="single" w:sz="5" w:color="D7E0E6"/>
            </w:tcBorders>
          </w:tcPr>
          <w:p>
            <w:pPr>
              <w:spacing w:after="0" w:line="281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02B35"/>
                <w:sz w:val="17"/>
              </w:rPr>
              <w:t>224个provider命名空间ID</w:t>
            </w:r>
          </w:p>
        </w:tc>
        <w:tc>
          <w:tcPr>
            <w:tcW w:type="dxa" w:w="4762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  <w:shd w:fill="F4F7F9"/>
            <w:tcBorders>
              <w:bottom w:val="single" w:sz="5" w:color="D7E0E6"/>
            </w:tcBorders>
          </w:tcPr>
          <w:p>
            <w:pPr>
              <w:spacing w:after="0" w:line="281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02B35"/>
                <w:sz w:val="17"/>
              </w:rPr>
              <w:t>跨数据集自然人身份是否重复仍待核实，不能作为独立N</w:t>
            </w:r>
          </w:p>
        </w:tc>
      </w:tr>
      <w:tr>
        <w:trPr>
          <w:cantSplit/>
        </w:trPr>
        <w:tc>
          <w:tcPr>
            <w:tcW w:type="dxa" w:w="1984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  <w:tcBorders>
              <w:bottom w:val="single" w:sz="5" w:color="D7E0E6"/>
            </w:tcBorders>
          </w:tcPr>
          <w:p>
            <w:pPr>
              <w:spacing w:after="0" w:line="281" w:lineRule="auto"/>
            </w:pPr>
            <w:r>
              <w:rPr>
                <w:rFonts w:ascii="Noto Sans CJK SC" w:hAnsi="Noto Sans CJK SC" w:eastAsia="Noto Sans CJK SC" w:cs="Noto Sans CJK SC"/>
                <w:b/>
                <w:color w:val="202B35"/>
                <w:sz w:val="17"/>
              </w:rPr>
              <w:t>Stieger资格审计</w:t>
            </w:r>
          </w:p>
        </w:tc>
        <w:tc>
          <w:tcPr>
            <w:tcW w:type="dxa" w:w="2835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  <w:tcBorders>
              <w:bottom w:val="single" w:sz="5" w:color="D7E0E6"/>
            </w:tcBorders>
          </w:tcPr>
          <w:p>
            <w:pPr>
              <w:spacing w:after="0" w:line="281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02B35"/>
                <w:sz w:val="17"/>
              </w:rPr>
              <w:t>62人；40训练/11验证/11内部留出</w:t>
            </w:r>
          </w:p>
        </w:tc>
        <w:tc>
          <w:tcPr>
            <w:tcW w:type="dxa" w:w="4762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  <w:tcBorders>
              <w:bottom w:val="single" w:sz="5" w:color="D7E0E6"/>
            </w:tcBorders>
          </w:tcPr>
          <w:p>
            <w:pPr>
              <w:spacing w:after="0" w:line="281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02B35"/>
                <w:sz w:val="17"/>
              </w:rPr>
              <w:t>已冻结参与者分组与当前v2.1时窗</w:t>
            </w:r>
          </w:p>
        </w:tc>
      </w:tr>
      <w:tr>
        <w:trPr>
          <w:cantSplit/>
        </w:trPr>
        <w:tc>
          <w:tcPr>
            <w:tcW w:type="dxa" w:w="1984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  <w:shd w:fill="F4F7F9"/>
            <w:tcBorders>
              <w:bottom w:val="single" w:sz="5" w:color="D7E0E6"/>
            </w:tcBorders>
          </w:tcPr>
          <w:p>
            <w:pPr>
              <w:spacing w:after="0" w:line="281" w:lineRule="auto"/>
            </w:pPr>
            <w:r>
              <w:rPr>
                <w:rFonts w:ascii="Noto Sans CJK SC" w:hAnsi="Noto Sans CJK SC" w:eastAsia="Noto Sans CJK SC" w:cs="Noto Sans CJK SC"/>
                <w:b/>
                <w:color w:val="202B35"/>
                <w:sz w:val="17"/>
              </w:rPr>
              <w:t>Stieger元训练试次</w:t>
            </w:r>
          </w:p>
        </w:tc>
        <w:tc>
          <w:tcPr>
            <w:tcW w:type="dxa" w:w="2835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  <w:shd w:fill="F4F7F9"/>
            <w:tcBorders>
              <w:bottom w:val="single" w:sz="5" w:color="D7E0E6"/>
            </w:tcBorders>
          </w:tcPr>
          <w:p>
            <w:pPr>
              <w:spacing w:after="0" w:line="281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02B35"/>
                <w:sz w:val="17"/>
              </w:rPr>
              <w:t>59,399条原始纯LR trial</w:t>
            </w:r>
          </w:p>
        </w:tc>
        <w:tc>
          <w:tcPr>
            <w:tcW w:type="dxa" w:w="4762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  <w:shd w:fill="F4F7F9"/>
            <w:tcBorders>
              <w:bottom w:val="single" w:sz="5" w:color="D7E0E6"/>
            </w:tcBorders>
          </w:tcPr>
          <w:p>
            <w:pPr>
              <w:spacing w:after="0" w:line="281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02B35"/>
                <w:sz w:val="17"/>
              </w:rPr>
              <w:t>覆盖40名元训练者的396个会话</w:t>
            </w:r>
          </w:p>
        </w:tc>
      </w:tr>
      <w:tr>
        <w:trPr>
          <w:cantSplit/>
        </w:trPr>
        <w:tc>
          <w:tcPr>
            <w:tcW w:type="dxa" w:w="1984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  <w:tcBorders>
              <w:bottom w:val="single" w:sz="5" w:color="D7E0E6"/>
            </w:tcBorders>
          </w:tcPr>
          <w:p>
            <w:pPr>
              <w:spacing w:after="0" w:line="281" w:lineRule="auto"/>
            </w:pPr>
            <w:r>
              <w:rPr>
                <w:rFonts w:ascii="Noto Sans CJK SC" w:hAnsi="Noto Sans CJK SC" w:eastAsia="Noto Sans CJK SC" w:cs="Noto Sans CJK SC"/>
                <w:b/>
                <w:color w:val="202B35"/>
                <w:sz w:val="17"/>
              </w:rPr>
              <w:t>时长规则通过</w:t>
            </w:r>
          </w:p>
        </w:tc>
        <w:tc>
          <w:tcPr>
            <w:tcW w:type="dxa" w:w="2835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  <w:tcBorders>
              <w:bottom w:val="single" w:sz="5" w:color="D7E0E6"/>
            </w:tcBorders>
          </w:tcPr>
          <w:p>
            <w:pPr>
              <w:spacing w:after="0" w:line="281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02B35"/>
                <w:sz w:val="17"/>
              </w:rPr>
              <w:t>48,871条</w:t>
            </w:r>
          </w:p>
        </w:tc>
        <w:tc>
          <w:tcPr>
            <w:tcW w:type="dxa" w:w="4762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  <w:tcBorders>
              <w:bottom w:val="single" w:sz="5" w:color="D7E0E6"/>
            </w:tcBorders>
          </w:tcPr>
          <w:p>
            <w:pPr>
              <w:spacing w:after="0" w:line="281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02B35"/>
                <w:sz w:val="17"/>
              </w:rPr>
              <w:t>仅通过时长门；不代表最终波形QC后可用于拟合的trial</w:t>
            </w:r>
          </w:p>
        </w:tc>
      </w:tr>
      <w:tr>
        <w:trPr>
          <w:cantSplit/>
        </w:trPr>
        <w:tc>
          <w:tcPr>
            <w:tcW w:type="dxa" w:w="1984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  <w:shd w:fill="F4F7F9"/>
            <w:tcBorders>
              <w:bottom w:val="single" w:sz="5" w:color="D7E0E6"/>
            </w:tcBorders>
          </w:tcPr>
          <w:p>
            <w:pPr>
              <w:spacing w:after="0" w:line="281" w:lineRule="auto"/>
            </w:pPr>
            <w:r>
              <w:rPr>
                <w:rFonts w:ascii="Noto Sans CJK SC" w:hAnsi="Noto Sans CJK SC" w:eastAsia="Noto Sans CJK SC" w:cs="Noto Sans CJK SC"/>
                <w:b/>
                <w:color w:val="202B35"/>
                <w:sz w:val="17"/>
              </w:rPr>
              <w:t>新增外测候选</w:t>
            </w:r>
          </w:p>
        </w:tc>
        <w:tc>
          <w:tcPr>
            <w:tcW w:type="dxa" w:w="2835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  <w:shd w:fill="F4F7F9"/>
            <w:tcBorders>
              <w:bottom w:val="single" w:sz="5" w:color="D7E0E6"/>
            </w:tcBorders>
          </w:tcPr>
          <w:p>
            <w:pPr>
              <w:spacing w:after="0" w:line="281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02B35"/>
                <w:sz w:val="17"/>
              </w:rPr>
              <w:t>9个候选队列、合计名义146人</w:t>
            </w:r>
          </w:p>
        </w:tc>
        <w:tc>
          <w:tcPr>
            <w:tcW w:type="dxa" w:w="4762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  <w:shd w:fill="F4F7F9"/>
            <w:tcBorders>
              <w:bottom w:val="single" w:sz="5" w:color="D7E0E6"/>
            </w:tcBorders>
          </w:tcPr>
          <w:p>
            <w:pPr>
              <w:spacing w:after="0" w:line="281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02B35"/>
                <w:sz w:val="17"/>
              </w:rPr>
              <w:t>目前为元数据登记；正式合格人数、trial和预测均未知</w:t>
            </w:r>
          </w:p>
        </w:tc>
      </w:tr>
      <w:tr>
        <w:trPr>
          <w:cantSplit/>
        </w:trPr>
        <w:tc>
          <w:tcPr>
            <w:tcW w:type="dxa" w:w="1984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  <w:tcBorders>
              <w:bottom w:val="single" w:sz="5" w:color="D7E0E6"/>
            </w:tcBorders>
          </w:tcPr>
          <w:p>
            <w:pPr>
              <w:spacing w:after="0" w:line="281" w:lineRule="auto"/>
            </w:pPr>
            <w:r>
              <w:rPr>
                <w:rFonts w:ascii="Noto Sans CJK SC" w:hAnsi="Noto Sans CJK SC" w:eastAsia="Noto Sans CJK SC" w:cs="Noto Sans CJK SC"/>
                <w:b/>
                <w:color w:val="202B35"/>
                <w:sz w:val="17"/>
              </w:rPr>
              <w:t>真实科研训练</w:t>
            </w:r>
          </w:p>
        </w:tc>
        <w:tc>
          <w:tcPr>
            <w:tcW w:type="dxa" w:w="2835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  <w:tcBorders>
              <w:bottom w:val="single" w:sz="5" w:color="D7E0E6"/>
            </w:tcBorders>
          </w:tcPr>
          <w:p>
            <w:pPr>
              <w:spacing w:after="0" w:line="281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02B35"/>
                <w:sz w:val="17"/>
              </w:rPr>
              <w:t>0个正式scientific fit</w:t>
            </w:r>
          </w:p>
        </w:tc>
        <w:tc>
          <w:tcPr>
            <w:tcW w:type="dxa" w:w="4762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  <w:tcBorders>
              <w:bottom w:val="single" w:sz="5" w:color="D7E0E6"/>
            </w:tcBorders>
          </w:tcPr>
          <w:p>
            <w:pPr>
              <w:spacing w:after="0" w:line="281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02B35"/>
                <w:sz w:val="17"/>
              </w:rPr>
              <w:t>合成测试通过不等于算法性能已得到验证</w:t>
            </w:r>
          </w:p>
        </w:tc>
      </w:tr>
    </w:tbl>
    <w:p>
      <w:pPr>
        <w:spacing w:after="0"/>
      </w:pPr>
    </w:p>
    <w:p>
      <w:pPr>
        <w:spacing w:before="0" w:after="100" w:line="312" w:lineRule="auto"/>
      </w:pPr>
      <w:r>
        <w:rPr>
          <w:rFonts w:ascii="Noto Sans CJK SC" w:hAnsi="Noto Sans CJK SC" w:eastAsia="Noto Sans CJK SC" w:cs="Noto Sans CJK SC"/>
          <w:b w:val="0"/>
          <w:color w:val="5E6E7C"/>
          <w:sz w:val="18"/>
        </w:rPr>
        <w:t>注：最新仓库中W1与W2已完成，W3–W9主体科研环节未完成。外部HS-Stroke与Wang队列仍按原协议封存。</w:t>
      </w:r>
    </w:p>
    <w:p>
      <w:pPr>
        <w:pStyle w:val="Heading1"/>
        <w:keepNext/>
        <w:spacing w:before="300" w:after="140"/>
        <w:pBdr>
          <w:bottom w:val="single" w:sz="5" w:color="B8CAD5"/>
        </w:pBdr>
      </w:pPr>
      <w:r>
        <w:rPr>
          <w:rFonts w:ascii="Noto Sans CJK SC" w:hAnsi="Noto Sans CJK SC" w:eastAsia="Noto Sans CJK SC" w:cs="Noto Sans CJK SC"/>
          <w:b/>
          <w:color w:val="182F44"/>
          <w:sz w:val="28"/>
        </w:rPr>
        <w:t>二、建议优先补充的数据集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95"/>
        <w:gridCol w:w="2395"/>
        <w:gridCol w:w="2395"/>
        <w:gridCol w:w="2395"/>
      </w:tblGrid>
      <w:tr>
        <w:trPr>
          <w:tblHeader/>
        </w:trPr>
        <w:tc>
          <w:tcPr>
            <w:tcW w:type="dxa" w:w="1474"/>
            <w:shd w:fill="244E6A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bottom w:val="single" w:sz="5" w:color="D7E0E6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数据集</w:t>
            </w:r>
          </w:p>
        </w:tc>
        <w:tc>
          <w:tcPr>
            <w:tcW w:type="dxa" w:w="2324"/>
            <w:shd w:fill="244E6A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bottom w:val="single" w:sz="5" w:color="D7E0E6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公开报告规模</w:t>
            </w:r>
          </w:p>
        </w:tc>
        <w:tc>
          <w:tcPr>
            <w:tcW w:type="dxa" w:w="2665"/>
            <w:shd w:fill="244E6A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bottom w:val="single" w:sz="5" w:color="D7E0E6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推荐角色</w:t>
            </w:r>
          </w:p>
        </w:tc>
        <w:tc>
          <w:tcPr>
            <w:tcW w:type="dxa" w:w="3118"/>
            <w:shd w:fill="244E6A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bottom w:val="single" w:sz="5" w:color="D7E0E6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重要限制</w:t>
            </w:r>
          </w:p>
        </w:tc>
      </w:tr>
      <w:tr>
        <w:trPr>
          <w:cantSplit/>
        </w:trPr>
        <w:tc>
          <w:tcPr>
            <w:tcW w:type="dxa" w:w="1474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  <w:tcBorders>
              <w:bottom w:val="single" w:sz="5" w:color="D7E0E6"/>
            </w:tcBorders>
          </w:tcPr>
          <w:p>
            <w:pPr>
              <w:spacing w:after="0" w:line="281" w:lineRule="auto"/>
            </w:pPr>
            <w:r>
              <w:rPr>
                <w:rFonts w:ascii="Noto Sans CJK SC" w:hAnsi="Noto Sans CJK SC" w:eastAsia="Noto Sans CJK SC" w:cs="Noto Sans CJK SC"/>
                <w:b/>
                <w:color w:val="202B35"/>
                <w:sz w:val="17"/>
              </w:rPr>
              <w:t>Yang2025</w:t>
            </w:r>
          </w:p>
        </w:tc>
        <w:tc>
          <w:tcPr>
            <w:tcW w:type="dxa" w:w="2324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  <w:tcBorders>
              <w:bottom w:val="single" w:sz="5" w:color="D7E0E6"/>
            </w:tcBorders>
          </w:tcPr>
          <w:p>
            <w:pPr>
              <w:spacing w:after="0" w:line="281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02B35"/>
                <w:sz w:val="17"/>
              </w:rPr>
              <w:t>51人，3天；论文1曾核对约3万条二分类试次</w:t>
            </w:r>
          </w:p>
        </w:tc>
        <w:tc>
          <w:tcPr>
            <w:tcW w:type="dxa" w:w="2665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  <w:tcBorders>
              <w:bottom w:val="single" w:sz="5" w:color="D7E0E6"/>
            </w:tcBorders>
          </w:tcPr>
          <w:p>
            <w:pPr>
              <w:spacing w:after="0" w:line="281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02B35"/>
                <w:sz w:val="17"/>
              </w:rPr>
              <w:t>首选：扩展11通道source；或独立跨数据集元学习支路</w:t>
            </w:r>
          </w:p>
        </w:tc>
        <w:tc>
          <w:tcPr>
            <w:tcW w:type="dxa" w:w="3118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  <w:tcBorders>
              <w:bottom w:val="single" w:sz="5" w:color="D7E0E6"/>
            </w:tcBorders>
          </w:tcPr>
          <w:p>
            <w:pPr>
              <w:spacing w:after="0" w:line="281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02B35"/>
                <w:sz w:val="17"/>
              </w:rPr>
              <w:t>需重新核对原始事件/时钟/通道与当前v2.1窗口；避免source/meta人员重叠</w:t>
            </w:r>
          </w:p>
        </w:tc>
      </w:tr>
      <w:tr>
        <w:trPr>
          <w:cantSplit/>
        </w:trPr>
        <w:tc>
          <w:tcPr>
            <w:tcW w:type="dxa" w:w="1474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  <w:shd w:fill="F4F7F9"/>
            <w:tcBorders>
              <w:bottom w:val="single" w:sz="5" w:color="D7E0E6"/>
            </w:tcBorders>
          </w:tcPr>
          <w:p>
            <w:pPr>
              <w:spacing w:after="0" w:line="281" w:lineRule="auto"/>
            </w:pPr>
            <w:r>
              <w:rPr>
                <w:rFonts w:ascii="Noto Sans CJK SC" w:hAnsi="Noto Sans CJK SC" w:eastAsia="Noto Sans CJK SC" w:cs="Noto Sans CJK SC"/>
                <w:b/>
                <w:color w:val="202B35"/>
                <w:sz w:val="17"/>
              </w:rPr>
              <w:t>Dreyer2023</w:t>
            </w:r>
          </w:p>
        </w:tc>
        <w:tc>
          <w:tcPr>
            <w:tcW w:type="dxa" w:w="2324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  <w:shd w:fill="F4F7F9"/>
            <w:tcBorders>
              <w:bottom w:val="single" w:sz="5" w:color="D7E0E6"/>
            </w:tcBorders>
          </w:tcPr>
          <w:p>
            <w:pPr>
              <w:spacing w:after="0" w:line="281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02B35"/>
                <w:sz w:val="17"/>
              </w:rPr>
              <w:t>87人、每人约240 trial（报告规模）</w:t>
            </w:r>
          </w:p>
        </w:tc>
        <w:tc>
          <w:tcPr>
            <w:tcW w:type="dxa" w:w="2665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  <w:shd w:fill="F4F7F9"/>
            <w:tcBorders>
              <w:bottom w:val="single" w:sz="5" w:color="D7E0E6"/>
            </w:tcBorders>
          </w:tcPr>
          <w:p>
            <w:pPr>
              <w:spacing w:after="0" w:line="281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02B35"/>
                <w:sz w:val="17"/>
              </w:rPr>
              <w:t>扩大基础模型的跨被试source</w:t>
            </w:r>
          </w:p>
        </w:tc>
        <w:tc>
          <w:tcPr>
            <w:tcW w:type="dxa" w:w="3118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  <w:shd w:fill="F4F7F9"/>
            <w:tcBorders>
              <w:bottom w:val="single" w:sz="5" w:color="D7E0E6"/>
            </w:tcBorders>
          </w:tcPr>
          <w:p>
            <w:pPr>
              <w:spacing w:after="0" w:line="281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02B35"/>
                <w:sz w:val="17"/>
              </w:rPr>
              <w:t>论文1已用于外部评价，不能再称为新盲法外测</w:t>
            </w:r>
          </w:p>
        </w:tc>
      </w:tr>
      <w:tr>
        <w:trPr>
          <w:cantSplit/>
        </w:trPr>
        <w:tc>
          <w:tcPr>
            <w:tcW w:type="dxa" w:w="1474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  <w:tcBorders>
              <w:bottom w:val="single" w:sz="5" w:color="D7E0E6"/>
            </w:tcBorders>
          </w:tcPr>
          <w:p>
            <w:pPr>
              <w:spacing w:after="0" w:line="281" w:lineRule="auto"/>
            </w:pPr>
            <w:r>
              <w:rPr>
                <w:rFonts w:ascii="Noto Sans CJK SC" w:hAnsi="Noto Sans CJK SC" w:eastAsia="Noto Sans CJK SC" w:cs="Noto Sans CJK SC"/>
                <w:b/>
                <w:color w:val="202B35"/>
                <w:sz w:val="17"/>
              </w:rPr>
              <w:t>Ma2022</w:t>
            </w:r>
          </w:p>
        </w:tc>
        <w:tc>
          <w:tcPr>
            <w:tcW w:type="dxa" w:w="2324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  <w:tcBorders>
              <w:bottom w:val="single" w:sz="5" w:color="D7E0E6"/>
            </w:tcBorders>
          </w:tcPr>
          <w:p>
            <w:pPr>
              <w:spacing w:after="0" w:line="281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02B35"/>
                <w:sz w:val="17"/>
              </w:rPr>
              <w:t>25人、5天，约11,988 trial</w:t>
            </w:r>
          </w:p>
        </w:tc>
        <w:tc>
          <w:tcPr>
            <w:tcW w:type="dxa" w:w="2665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  <w:tcBorders>
              <w:bottom w:val="single" w:sz="5" w:color="D7E0E6"/>
            </w:tcBorders>
          </w:tcPr>
          <w:p>
            <w:pPr>
              <w:spacing w:after="0" w:line="281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02B35"/>
                <w:sz w:val="17"/>
              </w:rPr>
              <w:t>跨天方向学习或低电极版本开发</w:t>
            </w:r>
          </w:p>
        </w:tc>
        <w:tc>
          <w:tcPr>
            <w:tcW w:type="dxa" w:w="3118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  <w:tcBorders>
              <w:bottom w:val="single" w:sz="5" w:color="D7E0E6"/>
            </w:tcBorders>
          </w:tcPr>
          <w:p>
            <w:pPr>
              <w:spacing w:after="0" w:line="281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02B35"/>
                <w:sz w:val="17"/>
              </w:rPr>
              <w:t>输入电极配置不同；需要独立模型与公平基线</w:t>
            </w:r>
          </w:p>
        </w:tc>
      </w:tr>
      <w:tr>
        <w:trPr>
          <w:cantSplit/>
        </w:trPr>
        <w:tc>
          <w:tcPr>
            <w:tcW w:type="dxa" w:w="1474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  <w:shd w:fill="F4F7F9"/>
            <w:tcBorders>
              <w:bottom w:val="single" w:sz="5" w:color="D7E0E6"/>
            </w:tcBorders>
          </w:tcPr>
          <w:p>
            <w:pPr>
              <w:spacing w:after="0" w:line="281" w:lineRule="auto"/>
            </w:pPr>
            <w:r>
              <w:rPr>
                <w:rFonts w:ascii="Noto Sans CJK SC" w:hAnsi="Noto Sans CJK SC" w:eastAsia="Noto Sans CJK SC" w:cs="Noto Sans CJK SC"/>
                <w:b/>
                <w:color w:val="202B35"/>
                <w:sz w:val="17"/>
              </w:rPr>
              <w:t>Leeuwis2021</w:t>
            </w:r>
          </w:p>
        </w:tc>
        <w:tc>
          <w:tcPr>
            <w:tcW w:type="dxa" w:w="2324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  <w:shd w:fill="F4F7F9"/>
            <w:tcBorders>
              <w:bottom w:val="single" w:sz="5" w:color="D7E0E6"/>
            </w:tcBorders>
          </w:tcPr>
          <w:p>
            <w:pPr>
              <w:spacing w:after="0" w:line="281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02B35"/>
                <w:sz w:val="17"/>
              </w:rPr>
              <w:t>55人、每人约160 trial</w:t>
            </w:r>
          </w:p>
        </w:tc>
        <w:tc>
          <w:tcPr>
            <w:tcW w:type="dxa" w:w="2665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  <w:shd w:fill="F4F7F9"/>
            <w:tcBorders>
              <w:bottom w:val="single" w:sz="5" w:color="D7E0E6"/>
            </w:tcBorders>
          </w:tcPr>
          <w:p>
            <w:pPr>
              <w:spacing w:after="0" w:line="281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02B35"/>
                <w:sz w:val="17"/>
              </w:rPr>
              <w:t>三通道跨设备泛化/稳健性</w:t>
            </w:r>
          </w:p>
        </w:tc>
        <w:tc>
          <w:tcPr>
            <w:tcW w:type="dxa" w:w="3118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  <w:shd w:fill="F4F7F9"/>
            <w:tcBorders>
              <w:bottom w:val="single" w:sz="5" w:color="D7E0E6"/>
            </w:tcBorders>
          </w:tcPr>
          <w:p>
            <w:pPr>
              <w:spacing w:after="0" w:line="281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02B35"/>
                <w:sz w:val="17"/>
              </w:rPr>
              <w:t>缺少主clinic11完整电极，不能直接拼进11通道主实验</w:t>
            </w:r>
          </w:p>
        </w:tc>
      </w:tr>
      <w:tr>
        <w:trPr>
          <w:cantSplit/>
        </w:trPr>
        <w:tc>
          <w:tcPr>
            <w:tcW w:type="dxa" w:w="1474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  <w:tcBorders>
              <w:bottom w:val="single" w:sz="5" w:color="D7E0E6"/>
            </w:tcBorders>
          </w:tcPr>
          <w:p>
            <w:pPr>
              <w:spacing w:after="0" w:line="281" w:lineRule="auto"/>
            </w:pPr>
            <w:r>
              <w:rPr>
                <w:rFonts w:ascii="Noto Sans CJK SC" w:hAnsi="Noto Sans CJK SC" w:eastAsia="Noto Sans CJK SC" w:cs="Noto Sans CJK SC"/>
                <w:b/>
                <w:color w:val="202B35"/>
                <w:sz w:val="17"/>
              </w:rPr>
              <w:t>MILimbEEG</w:t>
            </w:r>
          </w:p>
        </w:tc>
        <w:tc>
          <w:tcPr>
            <w:tcW w:type="dxa" w:w="2324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  <w:tcBorders>
              <w:bottom w:val="single" w:sz="5" w:color="D7E0E6"/>
            </w:tcBorders>
          </w:tcPr>
          <w:p>
            <w:pPr>
              <w:spacing w:after="0" w:line="281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02B35"/>
                <w:sz w:val="17"/>
              </w:rPr>
              <w:t>60人、约7,440份混合任务CSV</w:t>
            </w:r>
          </w:p>
        </w:tc>
        <w:tc>
          <w:tcPr>
            <w:tcW w:type="dxa" w:w="2665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  <w:tcBorders>
              <w:bottom w:val="single" w:sz="5" w:color="D7E0E6"/>
            </w:tcBorders>
          </w:tcPr>
          <w:p>
            <w:pPr>
              <w:spacing w:after="0" w:line="281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02B35"/>
                <w:sz w:val="17"/>
              </w:rPr>
              <w:t>三通道、多任务敏感性分析</w:t>
            </w:r>
          </w:p>
        </w:tc>
        <w:tc>
          <w:tcPr>
            <w:tcW w:type="dxa" w:w="3118"/>
            <w:tcMar>
              <w:top w:w="92" w:type="dxa"/>
              <w:start w:w="105" w:type="dxa"/>
              <w:bottom w:w="92" w:type="dxa"/>
              <w:end w:w="105" w:type="dxa"/>
            </w:tcMar>
            <w:vAlign w:val="center"/>
            <w:tcBorders>
              <w:bottom w:val="single" w:sz="5" w:color="D7E0E6"/>
            </w:tcBorders>
          </w:tcPr>
          <w:p>
            <w:pPr>
              <w:spacing w:after="0" w:line="281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02B35"/>
                <w:sz w:val="17"/>
              </w:rPr>
              <w:t>先按真实动作标签筛选，核查类别、采集顺序及独立性</w:t>
            </w:r>
          </w:p>
        </w:tc>
      </w:tr>
    </w:tbl>
    <w:p>
      <w:pPr>
        <w:spacing w:after="0"/>
      </w:pPr>
    </w:p>
    <w:p>
      <w:pPr>
        <w:spacing w:before="0" w:after="100" w:line="312" w:lineRule="auto"/>
      </w:pPr>
      <w:r>
        <w:rPr>
          <w:rFonts w:ascii="Noto Sans CJK SC" w:hAnsi="Noto Sans CJK SC" w:eastAsia="Noto Sans CJK SC" w:cs="Noto Sans CJK SC"/>
          <w:b w:val="0"/>
          <w:color w:val="5E6E7C"/>
          <w:sz w:val="18"/>
        </w:rPr>
        <w:t>注：人数和trial是公开来源或前期研究的报告值，均非新近在论文3中通过完整入组/QC的有效数量。新增数据应按“训练、开发、内部留出、独立外测”指定唯一研究角色。</w:t>
      </w:r>
    </w:p>
    <w:p>
      <w:pPr>
        <w:pStyle w:val="Heading2"/>
        <w:keepNext/>
        <w:spacing w:before="180" w:after="80"/>
      </w:pPr>
      <w:r>
        <w:rPr>
          <w:rFonts w:ascii="Noto Sans CJK SC" w:hAnsi="Noto Sans CJK SC" w:eastAsia="Noto Sans CJK SC" w:cs="Noto Sans CJK SC"/>
          <w:b/>
          <w:color w:val="265B84"/>
          <w:sz w:val="22"/>
        </w:rPr>
        <w:t>另外值得保留、但不直接并入主左右手训练的数据</w:t>
      </w:r>
    </w:p>
    <w:p>
      <w:pPr>
        <w:spacing w:before="0" w:after="100" w:line="312" w:lineRule="auto"/>
      </w:pPr>
      <w:r>
        <w:rPr>
          <w:rFonts w:ascii="Noto Sans CJK SC" w:hAnsi="Noto Sans CJK SC" w:eastAsia="Noto Sans CJK SC" w:cs="Noto Sans CJK SC"/>
          <w:b/>
          <w:color w:val="182F44"/>
          <w:sz w:val="20"/>
        </w:rPr>
        <w:t>Zuo2025：</w:t>
      </w:r>
      <w:r>
        <w:rPr>
          <w:rFonts w:ascii="Noto Sans CJK SC" w:hAnsi="Noto Sans CJK SC" w:eastAsia="Noto Sans CJK SC" w:cs="Noto Sans CJK SC"/>
          <w:b w:val="0"/>
          <w:color w:val="202B35"/>
          <w:sz w:val="20"/>
        </w:rPr>
        <w:t>约30人、5次会话，主要研究下肢运动想象。可做跨任务适应性探索，不能把左右腿标签重命名为左右手。</w:t>
      </w:r>
    </w:p>
    <w:p>
      <w:pPr>
        <w:spacing w:before="0" w:after="100" w:line="312" w:lineRule="auto"/>
      </w:pPr>
      <w:r>
        <w:rPr>
          <w:rFonts w:ascii="Noto Sans CJK SC" w:hAnsi="Noto Sans CJK SC" w:eastAsia="Noto Sans CJK SC" w:cs="Noto Sans CJK SC"/>
          <w:b/>
          <w:color w:val="182F44"/>
          <w:sz w:val="20"/>
        </w:rPr>
        <w:t>NETBCI2026：</w:t>
      </w:r>
      <w:r>
        <w:rPr>
          <w:rFonts w:ascii="Noto Sans CJK SC" w:hAnsi="Noto Sans CJK SC" w:eastAsia="Noto Sans CJK SC" w:cs="Noto Sans CJK SC"/>
          <w:b w:val="0"/>
          <w:color w:val="202B35"/>
          <w:sz w:val="20"/>
        </w:rPr>
        <w:t>约19人、4次会话，任务包含右手与静息状态；适合任务迁移研究，不宜混入二分类左右手主训练。</w:t>
      </w:r>
    </w:p>
    <w:p>
      <w:pPr>
        <w:spacing w:before="0" w:after="100" w:line="312" w:lineRule="auto"/>
      </w:pPr>
      <w:r>
        <w:rPr>
          <w:rFonts w:ascii="Noto Sans CJK SC" w:hAnsi="Noto Sans CJK SC" w:eastAsia="Noto Sans CJK SC" w:cs="Noto Sans CJK SC"/>
          <w:b/>
          <w:color w:val="182F44"/>
          <w:sz w:val="20"/>
        </w:rPr>
        <w:t>临床储备：</w:t>
      </w:r>
      <w:r>
        <w:rPr>
          <w:rFonts w:ascii="Noto Sans CJK SC" w:hAnsi="Noto Sans CJK SC" w:eastAsia="Noto Sans CJK SC" w:cs="Noto Sans CJK SC"/>
          <w:b w:val="0"/>
          <w:color w:val="202B35"/>
          <w:sz w:val="20"/>
        </w:rPr>
        <w:t>HEFMI-ICH（约20名脑出血患者、17名健康对照）和UET175（约30名卒中患者），但电极覆盖、许可/密码、事件时间轴尚有准入问题。</w:t>
      </w:r>
    </w:p>
    <w:p>
      <w:pPr>
        <w:pStyle w:val="Heading1"/>
        <w:keepNext/>
        <w:spacing w:before="300" w:after="140"/>
        <w:pBdr>
          <w:bottom w:val="single" w:sz="5" w:color="B8CAD5"/>
        </w:pBdr>
      </w:pPr>
      <w:r>
        <w:rPr>
          <w:rFonts w:ascii="Noto Sans CJK SC" w:hAnsi="Noto Sans CJK SC" w:eastAsia="Noto Sans CJK SC" w:cs="Noto Sans CJK SC"/>
          <w:b/>
          <w:color w:val="182F44"/>
          <w:sz w:val="28"/>
        </w:rPr>
        <w:t>三、已登记的独立外部验证候选</w:t>
      </w:r>
    </w:p>
    <w:p>
      <w:pPr>
        <w:spacing w:before="0" w:after="120" w:line="312" w:lineRule="auto"/>
      </w:pPr>
      <w:r>
        <w:rPr>
          <w:rFonts w:ascii="Noto Sans CJK SC" w:hAnsi="Noto Sans CJK SC" w:eastAsia="Noto Sans CJK SC" w:cs="Noto Sans CJK SC"/>
          <w:b w:val="0"/>
          <w:color w:val="202B35"/>
          <w:sz w:val="20"/>
        </w:rPr>
        <w:t>仓库在2026年10月19日的两轮扩展方案中，新增并预登记9个与主11通道合同相关的外部验证候选：Chang2025、Eye-BCI / GuttmannFlury2025、Pan2025、Wang2025 / ZJU-MI4、Zhou2020、Brandl2020、Pan2023、Weibo2014，以及BBCI_IV1中符合左右手任务的b/g两名参与者。</w:t>
      </w:r>
    </w:p>
    <w:p>
      <w:pPr>
        <w:spacing w:before="0" w:after="120" w:line="312" w:lineRule="auto"/>
      </w:pPr>
      <w:r>
        <w:rPr>
          <w:rFonts w:ascii="Noto Sans CJK SC" w:hAnsi="Noto Sans CJK SC" w:eastAsia="Noto Sans CJK SC" w:cs="Noto Sans CJK SC"/>
          <w:b w:val="0"/>
          <w:color w:val="202B35"/>
          <w:sz w:val="20"/>
        </w:rPr>
        <w:t>这些队列目前均不是“已获得146名独立外测者”的实际结果。部分可能存在同团队参与者重叠、通道文件尚未核对、采集时序解释冲突、数据访问限制等问题。建议保持为锁定外测候选，不参与现有f0预训练、Stieger元训练、Rref构造或超参数选择。</w:t>
      </w:r>
    </w:p>
    <w:p>
      <w:pPr>
        <w:pStyle w:val="Heading1"/>
        <w:keepNext/>
        <w:spacing w:before="300" w:after="140"/>
        <w:pBdr>
          <w:bottom w:val="single" w:sz="5" w:color="B8CAD5"/>
        </w:pBdr>
      </w:pPr>
      <w:r>
        <w:rPr>
          <w:rFonts w:ascii="Noto Sans CJK SC" w:hAnsi="Noto Sans CJK SC" w:eastAsia="Noto Sans CJK SC" w:cs="Noto Sans CJK SC"/>
          <w:b/>
          <w:color w:val="182F44"/>
          <w:sz w:val="28"/>
        </w:rPr>
        <w:t>四、最有希望增强创新性的算法方向</w:t>
      </w:r>
    </w:p>
    <w:p>
      <w:pPr>
        <w:pStyle w:val="Heading2"/>
        <w:keepNext/>
        <w:spacing w:before="180" w:after="80"/>
      </w:pPr>
      <w:r>
        <w:rPr>
          <w:rFonts w:ascii="Noto Sans CJK SC" w:hAnsi="Noto Sans CJK SC" w:eastAsia="Noto Sans CJK SC" w:cs="Noto Sans CJK SC"/>
          <w:b/>
          <w:color w:val="265B84"/>
          <w:sz w:val="22"/>
        </w:rPr>
        <w:t>A｜跨数据集元学习的可迁移空间方向（最高优先级）</w:t>
      </w:r>
    </w:p>
    <w:p>
      <w:pPr>
        <w:spacing w:before="0" w:after="120" w:line="312" w:lineRule="auto"/>
      </w:pPr>
      <w:r>
        <w:rPr>
          <w:rFonts w:ascii="Noto Sans CJK SC" w:hAnsi="Noto Sans CJK SC" w:eastAsia="Noto Sans CJK SC" w:cs="Noto Sans CJK SC"/>
          <w:b w:val="0"/>
          <w:color w:val="202B35"/>
          <w:sz w:val="20"/>
        </w:rPr>
        <w:t>研究问题：在Stieger等纵向记录中学习的少数空间变化方向，能否跨设备、跨日期和跨数据集迁移到未见个体？这一问题比“加入更多数据后准确率是否提高”具有更明确的算法价值。</w:t>
      </w:r>
    </w:p>
    <w:p>
      <w:pPr>
        <w:pStyle w:val="ListBullet"/>
        <w:spacing w:after="60"/>
        <w:ind w:left="369" w:hanging="125"/>
      </w:pPr>
      <w:r>
        <w:rPr>
          <w:rFonts w:ascii="Noto Sans CJK SC" w:hAnsi="Noto Sans CJK SC" w:eastAsia="Noto Sans CJK SC" w:cs="Noto Sans CJK SC"/>
          <w:b w:val="0"/>
          <w:color w:val="202B35"/>
          <w:sz w:val="20"/>
        </w:rPr>
        <w:t>对照：统一全局字典、数据集专属字典、随机生成方向、learned-additive、Meta-LoRA以及冻结/分类头更新。</w:t>
      </w:r>
    </w:p>
    <w:p>
      <w:pPr>
        <w:pStyle w:val="ListBullet"/>
        <w:spacing w:after="60"/>
        <w:ind w:left="369" w:hanging="125"/>
      </w:pPr>
      <w:r>
        <w:rPr>
          <w:rFonts w:ascii="Noto Sans CJK SC" w:hAnsi="Noto Sans CJK SC" w:eastAsia="Noto Sans CJK SC" w:cs="Noto Sans CJK SC"/>
          <w:b w:val="0"/>
          <w:color w:val="202B35"/>
          <w:sz w:val="20"/>
        </w:rPr>
        <w:t>核心证据：相同20条校准试次、相同未来query、相同来源训练预算下的参与者级差值和跨库迁移结果。</w:t>
      </w:r>
    </w:p>
    <w:p>
      <w:pPr>
        <w:pStyle w:val="ListBullet"/>
        <w:spacing w:after="60"/>
        <w:ind w:left="369" w:hanging="125"/>
      </w:pPr>
      <w:r>
        <w:rPr>
          <w:rFonts w:ascii="Noto Sans CJK SC" w:hAnsi="Noto Sans CJK SC" w:eastAsia="Noto Sans CJK SC" w:cs="Noto Sans CJK SC"/>
          <w:b w:val="0"/>
          <w:color w:val="202B35"/>
          <w:sz w:val="20"/>
        </w:rPr>
        <w:t>反证标准：若优势只出现在训练过的数据集或只相对弱基线成立，应把贡献表述为局部经验收益。</w:t>
      </w:r>
    </w:p>
    <w:p>
      <w:pPr>
        <w:pStyle w:val="Heading2"/>
        <w:keepNext/>
        <w:spacing w:before="180" w:after="80"/>
      </w:pPr>
      <w:r>
        <w:rPr>
          <w:rFonts w:ascii="Noto Sans CJK SC" w:hAnsi="Noto Sans CJK SC" w:eastAsia="Noto Sans CJK SC" w:cs="Noto Sans CJK SC"/>
          <w:b/>
          <w:color w:val="265B84"/>
          <w:sz w:val="22"/>
        </w:rPr>
        <w:t>B｜11通道到3通道的低电极空间适应</w:t>
      </w:r>
    </w:p>
    <w:p>
      <w:pPr>
        <w:spacing w:before="0" w:after="120" w:line="312" w:lineRule="auto"/>
      </w:pPr>
      <w:r>
        <w:rPr>
          <w:rFonts w:ascii="Noto Sans CJK SC" w:hAnsi="Noto Sans CJK SC" w:eastAsia="Noto Sans CJK SC" w:cs="Noto Sans CJK SC"/>
          <w:b w:val="0"/>
          <w:color w:val="202B35"/>
          <w:sz w:val="20"/>
        </w:rPr>
        <w:t>最新仓库已经从同一批28,830条源trial生成独立三通道数值缓存；这为低通道研究提供了技术起点，但未增加独立样本。三通道下去共同参考后的有效维度只有2，几何参数空间与11通道不同，需要重新设计字典维度、训练f0/Rref/G及对照。</w:t>
      </w:r>
    </w:p>
    <w:p>
      <w:pPr>
        <w:pStyle w:val="ListBullet"/>
        <w:spacing w:after="60"/>
        <w:ind w:left="369" w:hanging="125"/>
      </w:pPr>
      <w:r>
        <w:rPr>
          <w:rFonts w:ascii="Noto Sans CJK SC" w:hAnsi="Noto Sans CJK SC" w:eastAsia="Noto Sans CJK SC" w:cs="Noto Sans CJK SC"/>
          <w:b w:val="0"/>
          <w:color w:val="202B35"/>
          <w:sz w:val="20"/>
        </w:rPr>
        <w:t>可检验问题：少电极下，学习的空间方向能否稳定优于分类头微调和低维传统方法？</w:t>
      </w:r>
    </w:p>
    <w:p>
      <w:pPr>
        <w:pStyle w:val="ListBullet"/>
        <w:spacing w:after="60"/>
        <w:ind w:left="369" w:hanging="125"/>
      </w:pPr>
      <w:r>
        <w:rPr>
          <w:rFonts w:ascii="Noto Sans CJK SC" w:hAnsi="Noto Sans CJK SC" w:eastAsia="Noto Sans CJK SC" w:cs="Noto Sans CJK SC"/>
          <w:b w:val="0"/>
          <w:color w:val="202B35"/>
          <w:sz w:val="20"/>
        </w:rPr>
        <w:t>推荐数据：Ma2022、Leeuwis2021、MILimbEEG等独立验证，逐库核对真实电极、任务和顺序。</w:t>
      </w:r>
    </w:p>
    <w:p>
      <w:pPr>
        <w:pStyle w:val="Heading2"/>
        <w:keepNext/>
        <w:spacing w:before="180" w:after="80"/>
      </w:pPr>
      <w:r>
        <w:rPr>
          <w:rFonts w:ascii="Noto Sans CJK SC" w:hAnsi="Noto Sans CJK SC" w:eastAsia="Noto Sans CJK SC" w:cs="Noto Sans CJK SC"/>
          <w:b/>
          <w:color w:val="265B84"/>
          <w:sz w:val="22"/>
        </w:rPr>
        <w:t>C｜健康→患者的少样本迁移</w:t>
      </w:r>
    </w:p>
    <w:p>
      <w:pPr>
        <w:spacing w:before="0" w:after="120" w:line="312" w:lineRule="auto"/>
      </w:pPr>
      <w:r>
        <w:rPr>
          <w:rFonts w:ascii="Noto Sans CJK SC" w:hAnsi="Noto Sans CJK SC" w:eastAsia="Noto Sans CJK SC" w:cs="Noto Sans CJK SC"/>
          <w:b w:val="0"/>
          <w:color w:val="202B35"/>
          <w:sz w:val="20"/>
        </w:rPr>
        <w:t>在原定HS-Stroke临床主确认的基础上，利用额外临床数据评估健康群体学到的变换是否真正帮助新患者，并报告失败个体和负迁移。新患者数据最重要的角色是独立验证，而不是在看到结果后不断追加到训练中。</w:t>
      </w:r>
    </w:p>
    <w:p>
      <w:pPr>
        <w:pStyle w:val="ListBullet"/>
        <w:spacing w:after="60"/>
        <w:ind w:left="369" w:hanging="125"/>
      </w:pPr>
      <w:r>
        <w:rPr>
          <w:rFonts w:ascii="Noto Sans CJK SC" w:hAnsi="Noto Sans CJK SC" w:eastAsia="Noto Sans CJK SC" w:cs="Noto Sans CJK SC"/>
          <w:b w:val="0"/>
          <w:color w:val="202B35"/>
          <w:sz w:val="20"/>
        </w:rPr>
        <w:t>对照与报告：患者级balanced accuracy、左右类recall、纠错率和新增错误率、固定20-trial校准成本。</w:t>
      </w:r>
    </w:p>
    <w:p>
      <w:pPr>
        <w:pStyle w:val="ListBullet"/>
        <w:spacing w:after="60"/>
        <w:ind w:left="369" w:hanging="125"/>
      </w:pPr>
      <w:r>
        <w:rPr>
          <w:rFonts w:ascii="Noto Sans CJK SC" w:hAnsi="Noto Sans CJK SC" w:eastAsia="Noto Sans CJK SC" w:cs="Noto Sans CJK SC"/>
          <w:b w:val="0"/>
          <w:color w:val="202B35"/>
          <w:sz w:val="20"/>
        </w:rPr>
        <w:t>限制：电极或任务不兼容时应建立独立敏感性分支，不能通过补零或重命名标签强行并库。</w:t>
      </w:r>
    </w:p>
    <w:p>
      <w:pPr>
        <w:pStyle w:val="Heading2"/>
        <w:keepNext/>
        <w:spacing w:before="180" w:after="80"/>
      </w:pPr>
      <w:r>
        <w:rPr>
          <w:rFonts w:ascii="Noto Sans CJK SC" w:hAnsi="Noto Sans CJK SC" w:eastAsia="Noto Sans CJK SC" w:cs="Noto Sans CJK SC"/>
          <w:b/>
          <w:color w:val="265B84"/>
          <w:sz w:val="22"/>
        </w:rPr>
        <w:t>D｜比“发明新模块”更有说服力的机制实验</w:t>
      </w:r>
    </w:p>
    <w:p>
      <w:pPr>
        <w:spacing w:before="0" w:after="120" w:line="312" w:lineRule="auto"/>
      </w:pPr>
      <w:r>
        <w:rPr>
          <w:rFonts w:ascii="Noto Sans CJK SC" w:hAnsi="Noto Sans CJK SC" w:eastAsia="Noto Sans CJK SC" w:cs="Noto Sans CJK SC"/>
          <w:b w:val="0"/>
          <w:color w:val="202B35"/>
          <w:sz w:val="20"/>
        </w:rPr>
        <w:t>仓库已有前瞻性的字典互换与受控漂移方案：用P与learned-additive各自学到的字典交叉构造扰动，分离“方向学得更好”与“矩阵指数映射更好”两种解释，并分析纠错及新引入错误。建议先复用未来正式模型进行小规模机制试验，再决定是否扩展预算。</w:t>
      </w:r>
    </w:p>
    <w:p>
      <w:pPr>
        <w:spacing w:before="0" w:after="100" w:line="312" w:lineRule="auto"/>
      </w:pPr>
      <w:r>
        <w:rPr>
          <w:rFonts w:ascii="Noto Sans CJK SC" w:hAnsi="Noto Sans CJK SC" w:eastAsia="Noto Sans CJK SC" w:cs="Noto Sans CJK SC"/>
          <w:b w:val="0"/>
          <w:color w:val="5E6E7C"/>
          <w:sz w:val="18"/>
        </w:rPr>
        <w:t>注：矩阵指数、元学习子空间、LoRA、PCT以及低秩EEG适应均有已有研究。新颖性需要来自独立验证的具体组合与优势，不能仅靠名称或公式。</w:t>
      </w:r>
    </w:p>
    <w:p>
      <w:pPr>
        <w:pStyle w:val="Heading1"/>
        <w:keepNext/>
        <w:spacing w:before="300" w:after="140"/>
        <w:pBdr>
          <w:bottom w:val="single" w:sz="5" w:color="B8CAD5"/>
        </w:pBdr>
      </w:pPr>
      <w:r>
        <w:rPr>
          <w:rFonts w:ascii="Noto Sans CJK SC" w:hAnsi="Noto Sans CJK SC" w:eastAsia="Noto Sans CJK SC" w:cs="Noto Sans CJK SC"/>
          <w:b/>
          <w:color w:val="182F44"/>
          <w:sz w:val="28"/>
        </w:rPr>
        <w:t>五、推荐执行路线（按成本与科研收益排序）</w:t>
      </w:r>
    </w:p>
    <w:p>
      <w:pPr>
        <w:pStyle w:val="ListNumber"/>
        <w:spacing w:after="100"/>
        <w:ind w:left="386" w:hanging="130"/>
      </w:pPr>
      <w:r>
        <w:rPr>
          <w:rFonts w:ascii="Noto Sans CJK SC" w:hAnsi="Noto Sans CJK SC" w:eastAsia="Noto Sans CJK SC" w:cs="Noto Sans CJK SC"/>
          <w:b w:val="0"/>
          <w:color w:val="202B35"/>
          <w:sz w:val="20"/>
        </w:rPr>
        <w:t>完成既定主线：恢复源缓存，跑唯一一次受控GPU pilot；再完成Stieger数值缓存、f0/Rref与元学习训练，获取首次真实结果。</w:t>
      </w:r>
    </w:p>
    <w:p>
      <w:pPr>
        <w:pStyle w:val="ListNumber"/>
        <w:spacing w:after="100"/>
        <w:ind w:left="386" w:hanging="130"/>
      </w:pPr>
      <w:r>
        <w:rPr>
          <w:rFonts w:ascii="Noto Sans CJK SC" w:hAnsi="Noto Sans CJK SC" w:eastAsia="Noto Sans CJK SC" w:cs="Noto Sans CJK SC"/>
          <w:b w:val="0"/>
          <w:color w:val="202B35"/>
          <w:sz w:val="20"/>
        </w:rPr>
        <w:t>先做强对照：至少与head-only、learned-additive、随机空间方向、Meta-LoRA、CSP/LDA及相关PCT/LoRA版本公平比较。未击败强对照时不要先增加昂贵的新模型训练。</w:t>
      </w:r>
    </w:p>
    <w:p>
      <w:pPr>
        <w:pStyle w:val="ListNumber"/>
        <w:spacing w:after="100"/>
        <w:ind w:left="386" w:hanging="130"/>
      </w:pPr>
      <w:r>
        <w:rPr>
          <w:rFonts w:ascii="Noto Sans CJK SC" w:hAnsi="Noto Sans CJK SC" w:eastAsia="Noto Sans CJK SC" w:cs="Noto Sans CJK SC"/>
          <w:b w:val="0"/>
          <w:color w:val="202B35"/>
          <w:sz w:val="20"/>
        </w:rPr>
        <w:t>分别开展数据规模扩展：使用Yang作为source增强，Dreyer作为另一个预先定义的source支路；固定所有方法的数据预算，不能只让新算法额外获益。</w:t>
      </w:r>
    </w:p>
    <w:p>
      <w:pPr>
        <w:pStyle w:val="ListNumber"/>
        <w:spacing w:after="100"/>
        <w:ind w:left="386" w:hanging="130"/>
      </w:pPr>
      <w:r>
        <w:rPr>
          <w:rFonts w:ascii="Noto Sans CJK SC" w:hAnsi="Noto Sans CJK SC" w:eastAsia="Noto Sans CJK SC" w:cs="Noto Sans CJK SC"/>
          <w:b w:val="0"/>
          <w:color w:val="202B35"/>
          <w:sz w:val="20"/>
        </w:rPr>
        <w:t>开发纵向跨库实验：在不破坏原有数据切分、独立验证与模型冻结规则的前提下，测试跨数据集元学习方向能否迁移。</w:t>
      </w:r>
    </w:p>
    <w:p>
      <w:pPr>
        <w:pStyle w:val="ListNumber"/>
        <w:spacing w:after="100"/>
        <w:ind w:left="386" w:hanging="130"/>
      </w:pPr>
      <w:r>
        <w:rPr>
          <w:rFonts w:ascii="Noto Sans CJK SC" w:hAnsi="Noto Sans CJK SC" w:eastAsia="Noto Sans CJK SC" w:cs="Noto Sans CJK SC"/>
          <w:b w:val="0"/>
          <w:color w:val="202B35"/>
          <w:sz w:val="20"/>
        </w:rPr>
        <w:t>独立完成三通道和临床敏感性研究：重新验证通道、物理单位、trial时序和任务语义，独立报告，不能与主11通道结果混算。</w:t>
      </w:r>
    </w:p>
    <w:p>
      <w:pPr>
        <w:pStyle w:val="ListNumber"/>
        <w:spacing w:after="100"/>
        <w:ind w:left="386" w:hanging="130"/>
      </w:pPr>
      <w:r>
        <w:rPr>
          <w:rFonts w:ascii="Noto Sans CJK SC" w:hAnsi="Noto Sans CJK SC" w:eastAsia="Noto Sans CJK SC" w:cs="Noto Sans CJK SC"/>
          <w:b w:val="0"/>
          <w:color w:val="202B35"/>
          <w:sz w:val="20"/>
        </w:rPr>
        <w:t>严格执行外测封存：先W7固定算法与选择规则，再开放外部候选的原档资格审计，最后对通过门槛的队列做预测与统计。</w:t>
      </w:r>
    </w:p>
    <w:p>
      <w:pPr>
        <w:pStyle w:val="Heading1"/>
        <w:keepNext/>
        <w:spacing w:before="300" w:after="140"/>
        <w:pBdr>
          <w:bottom w:val="single" w:sz="5" w:color="B8CAD5"/>
        </w:pBdr>
      </w:pPr>
      <w:r>
        <w:rPr>
          <w:rFonts w:ascii="Noto Sans CJK SC" w:hAnsi="Noto Sans CJK SC" w:eastAsia="Noto Sans CJK SC" w:cs="Noto Sans CJK SC"/>
          <w:b/>
          <w:color w:val="182F44"/>
          <w:sz w:val="28"/>
        </w:rPr>
        <w:t>六、引入任何新数据集前的验收清单</w:t>
      </w:r>
    </w:p>
    <w:p>
      <w:pPr>
        <w:pStyle w:val="ListBullet"/>
        <w:spacing w:after="60"/>
        <w:ind w:left="369" w:hanging="125"/>
      </w:pPr>
      <w:r>
        <w:rPr>
          <w:rFonts w:ascii="Noto Sans CJK SC" w:hAnsi="Noto Sans CJK SC" w:eastAsia="Noto Sans CJK SC" w:cs="Noto Sans CJK SC"/>
          <w:b w:val="0"/>
          <w:color w:val="202B35"/>
          <w:sz w:val="20"/>
        </w:rPr>
        <w:t>明确论文/数据版本、DOI、访问许可、原始文件哈希和真实可下载规模。</w:t>
      </w:r>
    </w:p>
    <w:p>
      <w:pPr>
        <w:pStyle w:val="ListBullet"/>
        <w:spacing w:after="60"/>
        <w:ind w:left="369" w:hanging="125"/>
      </w:pPr>
      <w:r>
        <w:rPr>
          <w:rFonts w:ascii="Noto Sans CJK SC" w:hAnsi="Noto Sans CJK SC" w:eastAsia="Noto Sans CJK SC" w:cs="Noto Sans CJK SC"/>
          <w:b w:val="0"/>
          <w:color w:val="202B35"/>
          <w:sz w:val="20"/>
        </w:rPr>
        <w:t>确认参与者身份去重、是否与已用训练/开发库重叠及所分配的唯一角色。</w:t>
      </w:r>
    </w:p>
    <w:p>
      <w:pPr>
        <w:pStyle w:val="ListBullet"/>
        <w:spacing w:after="60"/>
        <w:ind w:left="369" w:hanging="125"/>
      </w:pPr>
      <w:r>
        <w:rPr>
          <w:rFonts w:ascii="Noto Sans CJK SC" w:hAnsi="Noto Sans CJK SC" w:eastAsia="Noto Sans CJK SC" w:cs="Noto Sans CJK SC"/>
          <w:b w:val="0"/>
          <w:color w:val="202B35"/>
          <w:sz w:val="20"/>
        </w:rPr>
        <w:t>核对左右手运动想象的真实标签、采集时序、会话/run边界与原始trial身份。</w:t>
      </w:r>
    </w:p>
    <w:p>
      <w:pPr>
        <w:pStyle w:val="ListBullet"/>
        <w:spacing w:after="60"/>
        <w:ind w:left="369" w:hanging="125"/>
      </w:pPr>
      <w:r>
        <w:rPr>
          <w:rFonts w:ascii="Noto Sans CJK SC" w:hAnsi="Noto Sans CJK SC" w:eastAsia="Noto Sans CJK SC" w:cs="Noto Sans CJK SC"/>
          <w:b w:val="0"/>
          <w:color w:val="202B35"/>
          <w:sz w:val="20"/>
        </w:rPr>
        <w:t>核对11通道或独立三通道输入、采样率、单位和统一冻结时间窗能否成立。</w:t>
      </w:r>
    </w:p>
    <w:p>
      <w:pPr>
        <w:pStyle w:val="ListBullet"/>
        <w:spacing w:after="60"/>
        <w:ind w:left="369" w:hanging="125"/>
      </w:pPr>
      <w:r>
        <w:rPr>
          <w:rFonts w:ascii="Noto Sans CJK SC" w:hAnsi="Noto Sans CJK SC" w:eastAsia="Noto Sans CJK SC" w:cs="Noto Sans CJK SC"/>
          <w:b w:val="0"/>
          <w:color w:val="202B35"/>
          <w:sz w:val="20"/>
        </w:rPr>
        <w:t>按真实trial而非滑窗/随机种子计算样本数，并固定信号质量排除准则。</w:t>
      </w:r>
    </w:p>
    <w:p>
      <w:pPr>
        <w:pStyle w:val="ListBullet"/>
        <w:spacing w:after="60"/>
        <w:ind w:left="369" w:hanging="125"/>
      </w:pPr>
      <w:r>
        <w:rPr>
          <w:rFonts w:ascii="Noto Sans CJK SC" w:hAnsi="Noto Sans CJK SC" w:eastAsia="Noto Sans CJK SC" w:cs="Noto Sans CJK SC"/>
          <w:b w:val="0"/>
          <w:color w:val="202B35"/>
          <w:sz w:val="20"/>
        </w:rPr>
        <w:t>相同模型比较共享来源数据、校准label、未来query和调参预算；保存所有不利结果。</w:t>
      </w:r>
    </w:p>
    <w:p>
      <w:pPr>
        <w:pStyle w:val="Heading1"/>
        <w:keepNext/>
        <w:spacing w:before="300" w:after="140"/>
        <w:pBdr>
          <w:bottom w:val="single" w:sz="5" w:color="B8CAD5"/>
        </w:pBdr>
      </w:pPr>
      <w:r>
        <w:rPr>
          <w:rFonts w:ascii="Noto Sans CJK SC" w:hAnsi="Noto Sans CJK SC" w:eastAsia="Noto Sans CJK SC" w:cs="Noto Sans CJK SC"/>
          <w:b/>
          <w:color w:val="182F44"/>
          <w:sz w:val="28"/>
        </w:rPr>
        <w:t>七、来源与进一步核对入口</w:t>
      </w:r>
    </w:p>
    <w:p>
      <w:pPr>
        <w:spacing w:after="40"/>
      </w:pPr>
      <w:r>
        <w:rPr>
          <w:rFonts w:ascii="Noto Sans CJK SC" w:hAnsi="Noto Sans CJK SC" w:eastAsia="Noto Sans CJK SC" w:cs="Noto Sans CJK SC"/>
          <w:b/>
          <w:color w:val="5E6E7C"/>
          <w:sz w:val="17"/>
        </w:rPr>
        <w:t xml:space="preserve">[1] </w:t>
      </w:r>
      <w:hyperlink r:id="rId11">
        <w:r>
          <w:rPr>
            <w:color w:val="28618E"/>
            <w:u w:val="single"/>
            <w:rFonts w:ascii="Noto Sans CJK SC" w:hAnsi="Noto Sans CJK SC" w:eastAsia="Noto Sans CJK SC" w:cs="Noto Sans CJK SC"/>
          </w:rPr>
          <w:t>研究主仓库与当前研究分支</w:t>
        </w:r>
      </w:hyperlink>
    </w:p>
    <w:p>
      <w:pPr>
        <w:spacing w:after="40"/>
      </w:pPr>
      <w:r>
        <w:rPr>
          <w:rFonts w:ascii="Noto Sans CJK SC" w:hAnsi="Noto Sans CJK SC" w:eastAsia="Noto Sans CJK SC" w:cs="Noto Sans CJK SC"/>
          <w:b/>
          <w:color w:val="5E6E7C"/>
          <w:sz w:val="17"/>
        </w:rPr>
        <w:t xml:space="preserve">[2] </w:t>
      </w:r>
      <w:hyperlink r:id="rId12">
        <w:r>
          <w:rPr>
            <w:color w:val="28618E"/>
            <w:u w:val="single"/>
            <w:rFonts w:ascii="Noto Sans CJK SC" w:hAnsi="Noto Sans CJK SC" w:eastAsia="Noto Sans CJK SC" w:cs="Noto Sans CJK SC"/>
          </w:rPr>
          <w:t>论文3第一轮外部验证扩展记录</w:t>
        </w:r>
      </w:hyperlink>
    </w:p>
    <w:p>
      <w:pPr>
        <w:spacing w:after="40"/>
      </w:pPr>
      <w:r>
        <w:rPr>
          <w:rFonts w:ascii="Noto Sans CJK SC" w:hAnsi="Noto Sans CJK SC" w:eastAsia="Noto Sans CJK SC" w:cs="Noto Sans CJK SC"/>
          <w:b/>
          <w:color w:val="5E6E7C"/>
          <w:sz w:val="17"/>
        </w:rPr>
        <w:t xml:space="preserve">[3] </w:t>
      </w:r>
      <w:hyperlink r:id="rId13">
        <w:r>
          <w:rPr>
            <w:color w:val="28618E"/>
            <w:u w:val="single"/>
            <w:rFonts w:ascii="Noto Sans CJK SC" w:hAnsi="Noto Sans CJK SC" w:eastAsia="Noto Sans CJK SC" w:cs="Noto Sans CJK SC"/>
          </w:rPr>
          <w:t>第二轮外部验证及三通道缓存记录</w:t>
        </w:r>
      </w:hyperlink>
    </w:p>
    <w:p>
      <w:pPr>
        <w:spacing w:after="40"/>
      </w:pPr>
      <w:r>
        <w:rPr>
          <w:rFonts w:ascii="Noto Sans CJK SC" w:hAnsi="Noto Sans CJK SC" w:eastAsia="Noto Sans CJK SC" w:cs="Noto Sans CJK SC"/>
          <w:b/>
          <w:color w:val="5E6E7C"/>
          <w:sz w:val="17"/>
        </w:rPr>
        <w:t xml:space="preserve">[4] </w:t>
      </w:r>
      <w:hyperlink r:id="rId14">
        <w:r>
          <w:rPr>
            <w:color w:val="28618E"/>
            <w:u w:val="single"/>
            <w:rFonts w:ascii="Noto Sans CJK SC" w:hAnsi="Noto Sans CJK SC" w:eastAsia="Noto Sans CJK SC" w:cs="Noto Sans CJK SC"/>
          </w:rPr>
          <w:t>创新机制扩展计划</w:t>
        </w:r>
      </w:hyperlink>
    </w:p>
    <w:p>
      <w:pPr>
        <w:spacing w:after="40"/>
      </w:pPr>
      <w:r>
        <w:rPr>
          <w:rFonts w:ascii="Noto Sans CJK SC" w:hAnsi="Noto Sans CJK SC" w:eastAsia="Noto Sans CJK SC" w:cs="Noto Sans CJK SC"/>
          <w:b/>
          <w:color w:val="5E6E7C"/>
          <w:sz w:val="17"/>
        </w:rPr>
        <w:t xml:space="preserve">[5] </w:t>
      </w:r>
      <w:hyperlink r:id="rId15">
        <w:r>
          <w:rPr>
            <w:color w:val="28618E"/>
            <w:u w:val="single"/>
            <w:rFonts w:ascii="Noto Sans CJK SC" w:hAnsi="Noto Sans CJK SC" w:eastAsia="Noto Sans CJK SC" w:cs="Noto Sans CJK SC"/>
          </w:rPr>
          <w:t>Yang2025（MOABB说明）</w:t>
        </w:r>
      </w:hyperlink>
    </w:p>
    <w:p>
      <w:pPr>
        <w:spacing w:after="40"/>
      </w:pPr>
      <w:r>
        <w:rPr>
          <w:rFonts w:ascii="Noto Sans CJK SC" w:hAnsi="Noto Sans CJK SC" w:eastAsia="Noto Sans CJK SC" w:cs="Noto Sans CJK SC"/>
          <w:b/>
          <w:color w:val="5E6E7C"/>
          <w:sz w:val="17"/>
        </w:rPr>
        <w:t xml:space="preserve">[6] </w:t>
      </w:r>
      <w:hyperlink r:id="rId16">
        <w:r>
          <w:rPr>
            <w:color w:val="28618E"/>
            <w:u w:val="single"/>
            <w:rFonts w:ascii="Noto Sans CJK SC" w:hAnsi="Noto Sans CJK SC" w:eastAsia="Noto Sans CJK SC" w:cs="Noto Sans CJK SC"/>
          </w:rPr>
          <w:t>Dreyer2023（NEMAR）</w:t>
        </w:r>
      </w:hyperlink>
    </w:p>
    <w:p>
      <w:pPr>
        <w:spacing w:after="40"/>
      </w:pPr>
      <w:r>
        <w:rPr>
          <w:rFonts w:ascii="Noto Sans CJK SC" w:hAnsi="Noto Sans CJK SC" w:eastAsia="Noto Sans CJK SC" w:cs="Noto Sans CJK SC"/>
          <w:b/>
          <w:color w:val="5E6E7C"/>
          <w:sz w:val="17"/>
        </w:rPr>
        <w:t xml:space="preserve">[7] </w:t>
      </w:r>
      <w:hyperlink r:id="rId17">
        <w:r>
          <w:rPr>
            <w:color w:val="28618E"/>
            <w:u w:val="single"/>
            <w:rFonts w:ascii="Noto Sans CJK SC" w:hAnsi="Noto Sans CJK SC" w:eastAsia="Noto Sans CJK SC" w:cs="Noto Sans CJK SC"/>
          </w:rPr>
          <w:t>Ma2022（MOABB说明）</w:t>
        </w:r>
      </w:hyperlink>
    </w:p>
    <w:p>
      <w:pPr>
        <w:spacing w:after="40"/>
      </w:pPr>
      <w:r>
        <w:rPr>
          <w:rFonts w:ascii="Noto Sans CJK SC" w:hAnsi="Noto Sans CJK SC" w:eastAsia="Noto Sans CJK SC" w:cs="Noto Sans CJK SC"/>
          <w:b/>
          <w:color w:val="5E6E7C"/>
          <w:sz w:val="17"/>
        </w:rPr>
        <w:t xml:space="preserve">[8] </w:t>
      </w:r>
      <w:hyperlink r:id="rId18">
        <w:r>
          <w:rPr>
            <w:color w:val="28618E"/>
            <w:u w:val="single"/>
            <w:rFonts w:ascii="Noto Sans CJK SC" w:hAnsi="Noto Sans CJK SC" w:eastAsia="Noto Sans CJK SC" w:cs="Noto Sans CJK SC"/>
          </w:rPr>
          <w:t>Leeuwis2021（NEMAR）</w:t>
        </w:r>
      </w:hyperlink>
    </w:p>
    <w:p>
      <w:pPr>
        <w:spacing w:after="40"/>
      </w:pPr>
      <w:r>
        <w:rPr>
          <w:rFonts w:ascii="Noto Sans CJK SC" w:hAnsi="Noto Sans CJK SC" w:eastAsia="Noto Sans CJK SC" w:cs="Noto Sans CJK SC"/>
          <w:b/>
          <w:color w:val="5E6E7C"/>
          <w:sz w:val="17"/>
        </w:rPr>
        <w:t xml:space="preserve">[9] </w:t>
      </w:r>
      <w:hyperlink r:id="rId19">
        <w:r>
          <w:rPr>
            <w:color w:val="28618E"/>
            <w:u w:val="single"/>
            <w:rFonts w:ascii="Noto Sans CJK SC" w:hAnsi="Noto Sans CJK SC" w:eastAsia="Noto Sans CJK SC" w:cs="Noto Sans CJK SC"/>
          </w:rPr>
          <w:t>MILimbEEG（NEMAR）</w:t>
        </w:r>
      </w:hyperlink>
    </w:p>
    <w:p>
      <w:pPr>
        <w:spacing w:after="40"/>
      </w:pPr>
      <w:r>
        <w:rPr>
          <w:rFonts w:ascii="Noto Sans CJK SC" w:hAnsi="Noto Sans CJK SC" w:eastAsia="Noto Sans CJK SC" w:cs="Noto Sans CJK SC"/>
          <w:b/>
          <w:color w:val="5E6E7C"/>
          <w:sz w:val="17"/>
        </w:rPr>
        <w:t xml:space="preserve">[10] </w:t>
      </w:r>
      <w:hyperlink r:id="rId20">
        <w:r>
          <w:rPr>
            <w:color w:val="28618E"/>
            <w:u w:val="single"/>
            <w:rFonts w:ascii="Noto Sans CJK SC" w:hAnsi="Noto Sans CJK SC" w:eastAsia="Noto Sans CJK SC" w:cs="Noto Sans CJK SC"/>
          </w:rPr>
          <w:t>Zuo2025（MOABB说明）</w:t>
        </w:r>
      </w:hyperlink>
    </w:p>
    <w:p>
      <w:pPr>
        <w:spacing w:after="40"/>
      </w:pPr>
      <w:r>
        <w:rPr>
          <w:rFonts w:ascii="Noto Sans CJK SC" w:hAnsi="Noto Sans CJK SC" w:eastAsia="Noto Sans CJK SC" w:cs="Noto Sans CJK SC"/>
          <w:b/>
          <w:color w:val="5E6E7C"/>
          <w:sz w:val="17"/>
        </w:rPr>
        <w:t xml:space="preserve">[11] </w:t>
      </w:r>
      <w:hyperlink r:id="rId21">
        <w:r>
          <w:rPr>
            <w:color w:val="28618E"/>
            <w:u w:val="single"/>
            <w:rFonts w:ascii="Noto Sans CJK SC" w:hAnsi="Noto Sans CJK SC" w:eastAsia="Noto Sans CJK SC" w:cs="Noto Sans CJK SC"/>
          </w:rPr>
          <w:t>NETBCI2026（MOABB说明）</w:t>
        </w:r>
      </w:hyperlink>
    </w:p>
    <w:p>
      <w:pPr>
        <w:spacing w:after="40"/>
      </w:pPr>
      <w:r>
        <w:rPr>
          <w:rFonts w:ascii="Noto Sans CJK SC" w:hAnsi="Noto Sans CJK SC" w:eastAsia="Noto Sans CJK SC" w:cs="Noto Sans CJK SC"/>
          <w:b/>
          <w:color w:val="5E6E7C"/>
          <w:sz w:val="17"/>
        </w:rPr>
        <w:t xml:space="preserve">[12] </w:t>
      </w:r>
      <w:hyperlink r:id="rId22">
        <w:r>
          <w:rPr>
            <w:color w:val="28618E"/>
            <w:u w:val="single"/>
            <w:rFonts w:ascii="Noto Sans CJK SC" w:hAnsi="Noto Sans CJK SC" w:eastAsia="Noto Sans CJK SC" w:cs="Noto Sans CJK SC"/>
          </w:rPr>
          <w:t>UET175研究仓库</w:t>
        </w:r>
      </w:hyperlink>
    </w:p>
    <w:p>
      <w:pPr>
        <w:spacing w:after="40"/>
      </w:pPr>
      <w:r>
        <w:rPr>
          <w:rFonts w:ascii="Noto Sans CJK SC" w:hAnsi="Noto Sans CJK SC" w:eastAsia="Noto Sans CJK SC" w:cs="Noto Sans CJK SC"/>
          <w:b/>
          <w:color w:val="5E6E7C"/>
          <w:sz w:val="17"/>
        </w:rPr>
        <w:t xml:space="preserve">[13] </w:t>
      </w:r>
      <w:hyperlink r:id="rId23">
        <w:r>
          <w:rPr>
            <w:color w:val="28618E"/>
            <w:u w:val="single"/>
            <w:rFonts w:ascii="Noto Sans CJK SC" w:hAnsi="Noto Sans CJK SC" w:eastAsia="Noto Sans CJK SC" w:cs="Noto Sans CJK SC"/>
          </w:rPr>
          <w:t>相关EEG低秩适应近邻</w:t>
        </w:r>
      </w:hyperlink>
    </w:p>
    <w:p>
      <w:pPr>
        <w:spacing w:before="200" w:after="0" w:line="312" w:lineRule="auto"/>
      </w:pPr>
      <w:r>
        <w:rPr>
          <w:rFonts w:ascii="Noto Sans CJK SC" w:hAnsi="Noto Sans CJK SC" w:eastAsia="Noto Sans CJK SC" w:cs="Noto Sans CJK SC"/>
          <w:b/>
          <w:color w:val="182F44"/>
          <w:sz w:val="21"/>
        </w:rPr>
        <w:t>结论：现阶段最优策略是先跑出可靠的真实科学结果，再用Yang与Dreyer开展受控source扩展，最后围绕“跨库可迁移方向、低通道适应、健康到患者迁移”构建有证据支撑的算法创新。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62" w:right="1162" w:bottom="992" w:left="1162" w:header="510" w:footer="48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 w:cs="Noto Sans CJK SC"/>
        <w:b w:val="0"/>
        <w:color w:val="5E6E7C"/>
        <w:sz w:val="16"/>
      </w:rPr>
      <w:t xml:space="preserve">论文3数据扩展与算法创新建议   |   2026-10-19   |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 w:cs="Noto Sans CJK SC"/>
        <w:b/>
        <w:color w:val="5E6E7C"/>
        <w:sz w:val="16"/>
      </w:rPr>
      <w:t>研究资料整理  /  PAPER 03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00"/>
    </w:pPr>
    <w:rPr>
      <w:rFonts w:ascii="Noto Sans CJK SC" w:hAnsi="Noto Sans CJK SC" w:eastAsia="Noto Sans CJK SC"/>
      <w:color w:val="202B35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SC" w:hAnsi="Noto Sans CJK SC" w:eastAsia="Noto Sans CJK SC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SC" w:hAnsi="Noto Sans CJK SC" w:eastAsia="Noto Sans CJK SC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jackzhu119/research3/tree/research/paper3-protocol-v2-w0" TargetMode="External"/><Relationship Id="rId12" Type="http://schemas.openxmlformats.org/officeDocument/2006/relationships/hyperlink" Target="https://github.com/jackzhu119/research3/blob/research/paper3-protocol-v2-w0/plans/external_expansion_20261019/README_ZH.md" TargetMode="External"/><Relationship Id="rId13" Type="http://schemas.openxmlformats.org/officeDocument/2006/relationships/hyperlink" Target="https://github.com/jackzhu119/research3/blob/research/paper3-protocol-v2-w0/plans/external_expansion_20261019_round2/README_ZH.md" TargetMode="External"/><Relationship Id="rId14" Type="http://schemas.openxmlformats.org/officeDocument/2006/relationships/hyperlink" Target="https://github.com/jackzhu119/research3/blob/research/paper3-protocol-v2-w0/plans/innovation_extension_20261019/README_ZH.md" TargetMode="External"/><Relationship Id="rId15" Type="http://schemas.openxmlformats.org/officeDocument/2006/relationships/hyperlink" Target="https://moabb.neurotechx.com/docs/generated/moabb.datasets.Yang2025.html" TargetMode="External"/><Relationship Id="rId16" Type="http://schemas.openxmlformats.org/officeDocument/2006/relationships/hyperlink" Target="https://www.nemar.org/dataset/nm000250" TargetMode="External"/><Relationship Id="rId17" Type="http://schemas.openxmlformats.org/officeDocument/2006/relationships/hyperlink" Target="https://moabb.neurotechx.com/docs/generated/moabb.datasets.Ma2022.html" TargetMode="External"/><Relationship Id="rId18" Type="http://schemas.openxmlformats.org/officeDocument/2006/relationships/hyperlink" Target="https://www.nemar.org/dataset/nm000327" TargetMode="External"/><Relationship Id="rId19" Type="http://schemas.openxmlformats.org/officeDocument/2006/relationships/hyperlink" Target="https://www.nemar.org/dataset/nm000328" TargetMode="External"/><Relationship Id="rId20" Type="http://schemas.openxmlformats.org/officeDocument/2006/relationships/hyperlink" Target="https://moabb.neurotechx.com/docs/generated/moabb.datasets.Zuo2025.html" TargetMode="External"/><Relationship Id="rId21" Type="http://schemas.openxmlformats.org/officeDocument/2006/relationships/hyperlink" Target="https://moabb.neurotechx.com/docs/generated/moabb.datasets.NETBCI2026.html" TargetMode="External"/><Relationship Id="rId22" Type="http://schemas.openxmlformats.org/officeDocument/2006/relationships/hyperlink" Target="https://github.com/nmk-k66-uet/UET175" TargetMode="External"/><Relationship Id="rId23" Type="http://schemas.openxmlformats.org/officeDocument/2006/relationships/hyperlink" Target="https://doi.org/10.1038/s41598-026-69220-z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论文3：数据扩展与算法创新建议</dc:title>
  <dc:subject>研究数据规模、候选EEG数据集、算法创新方向及建议实验顺序</dc:subject>
  <dc:creator>研究资料整理</dc:creator>
  <cp:keywords>EEG; MI-BCI; 论文3; 数据集; 元学习; 空间适应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