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第三篇论文完整实验协议</w:t>
      </w:r>
    </w:p>
    <w:p>
      <w:pPr>
        <w:pStyle w:val="Subtitle"/>
      </w:pPr>
      <w:r>
        <w:t>受限空间更新 · 少校准 · 纵向运动想象脑电</w:t>
      </w:r>
    </w:p>
    <w:p>
      <w:r>
        <w:rPr>
          <w:rFonts w:ascii="Noto Sans CJK SC" w:hAnsi="Noto Sans CJK SC" w:eastAsia="Noto Sans CJK SC"/>
          <w:color w:val="000000"/>
          <w:sz w:val="20"/>
        </w:rPr>
        <w:t>版本 2.0  |  证据核查：2026年10月18日  |  Work 实施交接</w:t>
      </w:r>
    </w:p>
    <w:p>
      <w:r>
        <w:rPr>
          <w:rFonts w:ascii="Noto Sans CJK SC" w:hAnsi="Noto Sans CJK SC" w:eastAsia="Noto Sans CJK SC"/>
          <w:color w:val="000000"/>
          <w:sz w:val="21"/>
        </w:rPr>
        <w:t>正文给出研究决策、数据分工和 W0–W9 实验流程；附录给出主算法公式、优化起点、强对照实施规格及原始文献入口。完整方法与机器可读任务清单一并置于配套导入包。</w:t>
      </w:r>
    </w:p>
    <w:p>
      <w:pPr>
        <w:pStyle w:val="Heading1"/>
      </w:pPr>
      <w:r>
        <w:t>1 研究决定</w:t>
      </w:r>
    </w:p>
    <w:p>
      <w:r>
        <w:rPr>
          <w:rFonts w:ascii="Noto Sans CJK SC" w:hAnsi="Noto Sans CJK SC" w:eastAsia="Noto Sans CJK SC"/>
          <w:color w:val="000000"/>
        </w:rPr>
        <w:t>第三篇研究“怎样从历史脑电会话中学到可迁移的空间更新方向，使新会话只用少量校准试次就能有效更新”。采用元学习的受限空间变换作为核心算法，先在固定 20 个校准试次下验证；序贯停止校准、基础模型扩展和大规模数据增强放在次级实验。</w:t>
      </w:r>
    </w:p>
    <w:p>
      <w:r>
        <w:rPr>
          <w:rFonts w:ascii="Noto Sans CJK SC" w:hAnsi="Noto Sans CJK SC" w:eastAsia="Noto Sans CJK SC"/>
          <w:color w:val="000000"/>
        </w:rPr>
        <w:t>这是一份待实施的研究协议。新算法、真实 EEG 适配、GPU 训练和外部验证尚未完成，没有第三篇性能结果。包内 legacy_baseline_v1 是上一轮已做软件与合成数据验证的独立基线包，不能视为新算法的实现。本次只生成研究设计、执行任务和校验工具。</w:t>
      </w:r>
    </w:p>
    <w:p>
      <w:r>
        <w:rPr>
          <w:rFonts w:ascii="Noto Sans CJK SC" w:hAnsi="Noto Sans CJK SC" w:eastAsia="Noto Sans CJK SC"/>
          <w:color w:val="000000"/>
        </w:rPr>
        <w:t>英文工作题目：Learning constrained spatial updates for low-calibration longitudinal motor-imagery decoding。</w:t>
      </w:r>
    </w:p>
    <w:p>
      <w:r>
        <w:rPr>
          <w:rFonts w:ascii="Noto Sans CJK SC" w:hAnsi="Noto Sans CJK SC" w:eastAsia="Noto Sans CJK SC"/>
          <w:color w:val="000000"/>
        </w:rPr>
        <w:t>中文工作题目：面向少校准纵向运动想象脑电的受限空间更新学习。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936"/>
        <w:gridCol w:w="4032"/>
        <w:gridCol w:w="4824"/>
      </w:tblGrid>
      <w:tr>
        <w:trPr>
          <w:cantSplit/>
          <w:tblHeader/>
        </w:trPr>
        <w:tc>
          <w:tcPr>
            <w:tcW w:type="dxa" w:w="936"/>
            <w:vAlign w:val="center"/>
            <w:shd w:fill="DEE7EF"/>
          </w:tcPr>
          <w:p>
            <w:pPr>
              <w:keepNext/>
              <w:spacing w:line="269" w:lineRule="auto" w:after="40" w:before="40"/>
              <w:jc w:val="center"/>
            </w:pPr>
            <w:r>
              <w:rPr>
                <w:rFonts w:ascii="Noto Sans CJK SC" w:hAnsi="Noto Sans CJK SC" w:eastAsia="Noto Sans CJK SC"/>
                <w:b/>
                <w:color w:val="000000"/>
                <w:sz w:val="19"/>
              </w:rPr>
              <w:t>论文</w:t>
            </w:r>
          </w:p>
        </w:tc>
        <w:tc>
          <w:tcPr>
            <w:tcW w:type="dxa" w:w="4032"/>
            <w:vAlign w:val="center"/>
            <w:shd w:fill="DEE7EF"/>
          </w:tcPr>
          <w:p>
            <w:pPr>
              <w:keepNext/>
              <w:spacing w:line="269" w:lineRule="auto" w:after="40" w:before="40"/>
            </w:pPr>
            <w:r>
              <w:rPr>
                <w:rFonts w:ascii="Noto Sans CJK SC" w:hAnsi="Noto Sans CJK SC" w:eastAsia="Noto Sans CJK SC"/>
                <w:b/>
                <w:color w:val="000000"/>
                <w:sz w:val="19"/>
              </w:rPr>
              <w:t>核心问题</w:t>
            </w:r>
          </w:p>
        </w:tc>
        <w:tc>
          <w:tcPr>
            <w:tcW w:type="dxa" w:w="4824"/>
            <w:vAlign w:val="center"/>
            <w:shd w:fill="DEE7EF"/>
          </w:tcPr>
          <w:p>
            <w:pPr>
              <w:keepNext/>
              <w:spacing w:line="269" w:lineRule="auto" w:after="40" w:before="40"/>
            </w:pPr>
            <w:r>
              <w:rPr>
                <w:rFonts w:ascii="Noto Sans CJK SC" w:hAnsi="Noto Sans CJK SC" w:eastAsia="Noto Sans CJK SC"/>
                <w:b/>
                <w:color w:val="000000"/>
                <w:sz w:val="19"/>
              </w:rPr>
              <w:t>第三篇怎样衔接</w:t>
            </w:r>
          </w:p>
        </w:tc>
      </w:tr>
      <w:tr>
        <w:trPr>
          <w:cantSplit/>
        </w:trPr>
        <w:tc>
          <w:tcPr>
            <w:tcW w:type="dxa" w:w="936"/>
            <w:vAlign w:val="center"/>
          </w:tcPr>
          <w:p>
            <w:pPr>
              <w:keepNext w:val="0"/>
              <w:spacing w:line="269" w:lineRule="auto" w:after="40" w:before="40"/>
              <w:jc w:val="center"/>
            </w:pPr>
            <w:r>
              <w:rPr>
                <w:rFonts w:ascii="Noto Sans CJK SC" w:hAnsi="Noto Sans CJK SC" w:eastAsia="Noto Sans CJK SC"/>
                <w:color w:val="000000"/>
                <w:sz w:val="19"/>
              </w:rPr>
              <w:t>论文1</w:t>
            </w:r>
          </w:p>
        </w:tc>
        <w:tc>
          <w:tcPr>
            <w:tcW w:type="dxa" w:w="4032"/>
            <w:vAlign w:val="center"/>
          </w:tcPr>
          <w:p>
            <w:pPr>
              <w:keepNext w:val="0"/>
              <w:spacing w:line="269" w:lineRule="auto" w:after="40" w:before="40"/>
            </w:pPr>
            <w:r>
              <w:rPr>
                <w:rFonts w:ascii="Noto Sans CJK SC" w:hAnsi="Noto Sans CJK SC" w:eastAsia="Noto Sans CJK SC"/>
                <w:color w:val="000000"/>
                <w:sz w:val="19"/>
              </w:rPr>
              <w:t>跨被试源数据扩展与泛化</w:t>
            </w:r>
          </w:p>
        </w:tc>
        <w:tc>
          <w:tcPr>
            <w:tcW w:type="dxa" w:w="4824"/>
            <w:vAlign w:val="center"/>
          </w:tcPr>
          <w:p>
            <w:pPr>
              <w:keepNext w:val="0"/>
              <w:spacing w:line="269" w:lineRule="auto" w:after="40" w:before="40"/>
            </w:pPr>
            <w:r>
              <w:rPr>
                <w:rFonts w:ascii="Noto Sans CJK SC" w:hAnsi="Noto Sans CJK SC" w:eastAsia="Noto Sans CJK SC"/>
                <w:color w:val="000000"/>
                <w:sz w:val="19"/>
              </w:rPr>
              <w:t>复用原始数据、来源审计和源训练工程；不复制其处理缓存冒充新协议</w:t>
            </w:r>
          </w:p>
        </w:tc>
      </w:tr>
      <w:tr>
        <w:trPr>
          <w:cantSplit/>
        </w:trPr>
        <w:tc>
          <w:tcPr>
            <w:tcW w:type="dxa" w:w="936"/>
            <w:vAlign w:val="center"/>
          </w:tcPr>
          <w:p>
            <w:pPr>
              <w:keepNext w:val="0"/>
              <w:spacing w:line="269" w:lineRule="auto" w:after="40" w:before="40"/>
              <w:jc w:val="center"/>
            </w:pPr>
            <w:r>
              <w:rPr>
                <w:rFonts w:ascii="Noto Sans CJK SC" w:hAnsi="Noto Sans CJK SC" w:eastAsia="Noto Sans CJK SC"/>
                <w:color w:val="000000"/>
                <w:sz w:val="19"/>
              </w:rPr>
              <w:t>论文2</w:t>
            </w:r>
          </w:p>
        </w:tc>
        <w:tc>
          <w:tcPr>
            <w:tcW w:type="dxa" w:w="4032"/>
            <w:vAlign w:val="center"/>
          </w:tcPr>
          <w:p>
            <w:pPr>
              <w:keepNext w:val="0"/>
              <w:spacing w:line="269" w:lineRule="auto" w:after="40" w:before="40"/>
            </w:pPr>
            <w:r>
              <w:rPr>
                <w:rFonts w:ascii="Noto Sans CJK SC" w:hAnsi="Noto Sans CJK SC" w:eastAsia="Noto Sans CJK SC"/>
                <w:color w:val="000000"/>
                <w:sz w:val="19"/>
              </w:rPr>
              <w:t>少量当前会话标签下，空间滤波重拟合是否有价值</w:t>
            </w:r>
          </w:p>
        </w:tc>
        <w:tc>
          <w:tcPr>
            <w:tcW w:type="dxa" w:w="4824"/>
            <w:vAlign w:val="center"/>
          </w:tcPr>
          <w:p>
            <w:pPr>
              <w:keepNext w:val="0"/>
              <w:spacing w:line="269" w:lineRule="auto" w:after="40" w:before="40"/>
            </w:pPr>
            <w:r>
              <w:rPr>
                <w:rFonts w:ascii="Noto Sans CJK SC" w:hAnsi="Noto Sans CJK SC" w:eastAsia="Noto Sans CJK SC"/>
                <w:color w:val="000000"/>
                <w:sz w:val="19"/>
              </w:rPr>
              <w:t>将“更新空间表示”由经验比较推进到可训练、可约束的算法</w:t>
            </w:r>
          </w:p>
        </w:tc>
      </w:tr>
      <w:tr>
        <w:trPr>
          <w:cantSplit/>
        </w:trPr>
        <w:tc>
          <w:tcPr>
            <w:tcW w:type="dxa" w:w="936"/>
            <w:vAlign w:val="center"/>
          </w:tcPr>
          <w:p>
            <w:pPr>
              <w:keepNext w:val="0"/>
              <w:spacing w:line="269" w:lineRule="auto" w:after="40" w:before="40"/>
              <w:jc w:val="center"/>
            </w:pPr>
            <w:r>
              <w:rPr>
                <w:rFonts w:ascii="Noto Sans CJK SC" w:hAnsi="Noto Sans CJK SC" w:eastAsia="Noto Sans CJK SC"/>
                <w:color w:val="000000"/>
                <w:sz w:val="19"/>
              </w:rPr>
              <w:t>论文3</w:t>
            </w:r>
          </w:p>
        </w:tc>
        <w:tc>
          <w:tcPr>
            <w:tcW w:type="dxa" w:w="4032"/>
            <w:vAlign w:val="center"/>
          </w:tcPr>
          <w:p>
            <w:pPr>
              <w:keepNext w:val="0"/>
              <w:spacing w:line="269" w:lineRule="auto" w:after="40" w:before="40"/>
            </w:pPr>
            <w:r>
              <w:rPr>
                <w:rFonts w:ascii="Noto Sans CJK SC" w:hAnsi="Noto Sans CJK SC" w:eastAsia="Noto Sans CJK SC"/>
                <w:color w:val="000000"/>
                <w:sz w:val="19"/>
              </w:rPr>
              <w:t>哪些空间变化值得学习，怎样约束新会话的更新</w:t>
            </w:r>
          </w:p>
        </w:tc>
        <w:tc>
          <w:tcPr>
            <w:tcW w:type="dxa" w:w="4824"/>
            <w:vAlign w:val="center"/>
          </w:tcPr>
          <w:p>
            <w:pPr>
              <w:keepNext w:val="0"/>
              <w:spacing w:line="269" w:lineRule="auto" w:after="40" w:before="40"/>
            </w:pPr>
            <w:r>
              <w:rPr>
                <w:rFonts w:ascii="Noto Sans CJK SC" w:hAnsi="Noto Sans CJK SC" w:eastAsia="Noto Sans CJK SC"/>
                <w:color w:val="000000"/>
                <w:sz w:val="19"/>
              </w:rPr>
              <w:t>新的空间适应参数化、跨会话训练和新患者队列验证</w:t>
            </w:r>
          </w:p>
        </w:tc>
      </w:tr>
    </w:tbl>
    <w:p>
      <w:pPr>
        <w:spacing w:after="40" w:before="0" w:line="96" w:lineRule="auto"/>
      </w:pPr>
      <w:r>
        <w:rPr>
          <w:rFonts w:ascii="Noto Sans CJK SC" w:hAnsi="Noto Sans CJK SC" w:eastAsia="Noto Sans CJK SC"/>
          <w:color w:val="000000"/>
          <w:sz w:val="4"/>
        </w:rPr>
      </w:r>
    </w:p>
    <w:p>
      <w:r>
        <w:rPr>
          <w:rFonts w:ascii="Noto Sans CJK SC" w:hAnsi="Noto Sans CJK SC" w:eastAsia="Noto Sans CJK SC"/>
          <w:color w:val="000000"/>
        </w:rPr>
        <w:t>主要假设 H1：在相同 20 个校准试次和同一未来 query 上，所提方法的参与者平均 balanced accuracy 高于开发阶段预先选定的最强实用对照。H2：学到的空间方向比随机方向或未经约束的自由更新更适合少样本校准。H3：性能变化可以通过纠正旧错误、引入新错误和空间变换幅度解释。H1 是主要效应；H2、H3 用消融和机制分析检验。</w:t>
      </w:r>
    </w:p>
    <w:p>
      <w:r>
        <w:rPr>
          <w:rFonts w:ascii="Noto Sans CJK SC" w:hAnsi="Noto Sans CJK SC" w:eastAsia="Noto Sans CJK SC"/>
          <w:color w:val="000000"/>
        </w:rPr>
        <w:t>“大幅提升”是希望验证的结果，不能作为立项时已知事实。若开发实验不能超越强对照，就应收缩方法或停止扩算力；若最终外测没有支持 H1，保留完整负结果，不改主终点制造显著性。</w:t>
      </w:r>
    </w:p>
    <w:p>
      <w:pPr>
        <w:pStyle w:val="Heading1"/>
      </w:pPr>
      <w:r>
        <w:t>2 参考论文怎样转化成设计</w:t>
      </w:r>
    </w:p>
    <w:p>
      <w:r>
        <w:rPr>
          <w:rFonts w:ascii="Noto Sans CJK SC" w:hAnsi="Noto Sans CJK SC" w:eastAsia="Noto Sans CJK SC"/>
          <w:color w:val="000000"/>
        </w:rPr>
        <w:t>Nature Communications 2026 的 Sensory-guided joint learning 最值得借鉴的是按 run 更新、在后续 run 固定解码器评估、保留跨会话和远期验证。它的触觉刺激、人类学习与样本重加权共同作用；第三篇只能检验离线重分析中的算法部分，不能继承整套干预的提升。[R01]</w:t>
      </w:r>
    </w:p>
    <w:p>
      <w:r>
        <w:rPr>
          <w:rFonts w:ascii="Noto Sans CJK SC" w:hAnsi="Noto Sans CJK SC" w:eastAsia="Noto Sans CJK SC"/>
          <w:color w:val="000000"/>
        </w:rPr>
        <w:t>Nature Communications 2025 的 Finger-BCI 可借鉴预训练与当前数据适应，以及细粒度任务检验，但同手手指分类不是左右手 MI，不能并入主训练标签。Nature Machine Intelligence 2025 的 AI copilot 提示应关注下游使用效果；第三篇没有新的在线机器人试验，不报告机器人任务收益。[R02 R03]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2232"/>
        <w:gridCol w:w="3528"/>
        <w:gridCol w:w="4032"/>
      </w:tblGrid>
      <w:tr>
        <w:trPr>
          <w:cantSplit/>
          <w:tblHeader/>
        </w:trPr>
        <w:tc>
          <w:tcPr>
            <w:tcW w:type="dxa" w:w="2232"/>
            <w:vAlign w:val="center"/>
            <w:shd w:fill="DEE7EF"/>
          </w:tcPr>
          <w:p>
            <w:pPr>
              <w:keepNext/>
              <w:spacing w:line="269" w:lineRule="auto" w:after="40" w:before="40"/>
            </w:pPr>
            <w:r>
              <w:rPr>
                <w:rFonts w:ascii="Noto Sans CJK SC" w:hAnsi="Noto Sans CJK SC" w:eastAsia="Noto Sans CJK SC"/>
                <w:b/>
                <w:color w:val="000000"/>
                <w:sz w:val="19"/>
              </w:rPr>
              <w:t>必须正面对比的先例</w:t>
            </w:r>
          </w:p>
        </w:tc>
        <w:tc>
          <w:tcPr>
            <w:tcW w:type="dxa" w:w="3528"/>
            <w:vAlign w:val="center"/>
            <w:shd w:fill="DEE7EF"/>
          </w:tcPr>
          <w:p>
            <w:pPr>
              <w:keepNext/>
              <w:spacing w:line="269" w:lineRule="auto" w:after="40" w:before="40"/>
            </w:pPr>
            <w:r>
              <w:rPr>
                <w:rFonts w:ascii="Noto Sans CJK SC" w:hAnsi="Noto Sans CJK SC" w:eastAsia="Noto Sans CJK SC"/>
                <w:b/>
                <w:color w:val="000000"/>
                <w:sz w:val="19"/>
              </w:rPr>
              <w:t>已有贡献</w:t>
            </w:r>
          </w:p>
        </w:tc>
        <w:tc>
          <w:tcPr>
            <w:tcW w:type="dxa" w:w="4032"/>
            <w:vAlign w:val="center"/>
            <w:shd w:fill="DEE7EF"/>
          </w:tcPr>
          <w:p>
            <w:pPr>
              <w:keepNext/>
              <w:spacing w:line="269" w:lineRule="auto" w:after="40" w:before="40"/>
            </w:pPr>
            <w:r>
              <w:rPr>
                <w:rFonts w:ascii="Noto Sans CJK SC" w:hAnsi="Noto Sans CJK SC" w:eastAsia="Noto Sans CJK SC"/>
                <w:b/>
                <w:color w:val="000000"/>
                <w:sz w:val="19"/>
              </w:rPr>
              <w:t>本研究应检验的剩余问题</w:t>
            </w:r>
          </w:p>
        </w:tc>
      </w:tr>
      <w:tr>
        <w:trPr>
          <w:cantSplit/>
        </w:trPr>
        <w:tc>
          <w:tcPr>
            <w:tcW w:type="dxa" w:w="2232"/>
            <w:vAlign w:val="center"/>
          </w:tcPr>
          <w:p>
            <w:pPr>
              <w:keepNext w:val="0"/>
              <w:spacing w:line="269" w:lineRule="auto" w:after="40" w:before="40"/>
            </w:pPr>
            <w:r>
              <w:rPr>
                <w:rFonts w:ascii="Noto Sans CJK SC" w:hAnsi="Noto Sans CJK SC" w:eastAsia="Noto Sans CJK SC"/>
                <w:color w:val="000000"/>
                <w:sz w:val="19"/>
              </w:rPr>
              <w:t>PCT，CVPR 2021</w:t>
            </w:r>
          </w:p>
        </w:tc>
        <w:tc>
          <w:tcPr>
            <w:tcW w:type="dxa" w:w="3528"/>
            <w:vAlign w:val="center"/>
          </w:tcPr>
          <w:p>
            <w:pPr>
              <w:keepNext w:val="0"/>
              <w:spacing w:line="269" w:lineRule="auto" w:after="40" w:before="40"/>
            </w:pPr>
            <w:r>
              <w:rPr>
                <w:rFonts w:ascii="Noto Sans CJK SC" w:hAnsi="Noto Sans CJK SC" w:eastAsia="Noto Sans CJK SC"/>
                <w:color w:val="000000"/>
                <w:sz w:val="19"/>
              </w:rPr>
              <w:t>旧模型判对而新模型判错的 negative flip 与 focal distillation</w:t>
            </w:r>
          </w:p>
        </w:tc>
        <w:tc>
          <w:tcPr>
            <w:tcW w:type="dxa" w:w="4032"/>
            <w:vAlign w:val="center"/>
          </w:tcPr>
          <w:p>
            <w:pPr>
              <w:keepNext w:val="0"/>
              <w:spacing w:line="269" w:lineRule="auto" w:after="40" w:before="40"/>
            </w:pPr>
            <w:r>
              <w:rPr>
                <w:rFonts w:ascii="Noto Sans CJK SC" w:hAnsi="Noto Sans CJK SC" w:eastAsia="Noto Sans CJK SC"/>
                <w:color w:val="000000"/>
                <w:sz w:val="19"/>
              </w:rPr>
              <w:t>空间更新结构能否提供 PCT 之外的收益</w:t>
            </w:r>
          </w:p>
        </w:tc>
      </w:tr>
      <w:tr>
        <w:trPr>
          <w:cantSplit/>
        </w:trPr>
        <w:tc>
          <w:tcPr>
            <w:tcW w:type="dxa" w:w="2232"/>
            <w:vAlign w:val="center"/>
          </w:tcPr>
          <w:p>
            <w:pPr>
              <w:keepNext w:val="0"/>
              <w:spacing w:line="269" w:lineRule="auto" w:after="40" w:before="40"/>
            </w:pPr>
            <w:r>
              <w:rPr>
                <w:rFonts w:ascii="Noto Sans CJK SC" w:hAnsi="Noto Sans CJK SC" w:eastAsia="Noto Sans CJK SC"/>
                <w:color w:val="000000"/>
                <w:sz w:val="19"/>
              </w:rPr>
              <w:t>Subspace Learning，ICML 2022</w:t>
            </w:r>
          </w:p>
        </w:tc>
        <w:tc>
          <w:tcPr>
            <w:tcW w:type="dxa" w:w="3528"/>
            <w:vAlign w:val="center"/>
          </w:tcPr>
          <w:p>
            <w:pPr>
              <w:keepNext w:val="0"/>
              <w:spacing w:line="269" w:lineRule="auto" w:after="40" w:before="40"/>
            </w:pPr>
            <w:r>
              <w:rPr>
                <w:rFonts w:ascii="Noto Sans CJK SC" w:hAnsi="Noto Sans CJK SC" w:eastAsia="Noto Sans CJK SC"/>
                <w:color w:val="000000"/>
                <w:sz w:val="19"/>
              </w:rPr>
              <w:t>外层学适应子空间，内层学少量系数</w:t>
            </w:r>
          </w:p>
        </w:tc>
        <w:tc>
          <w:tcPr>
            <w:tcW w:type="dxa" w:w="4032"/>
            <w:vAlign w:val="center"/>
          </w:tcPr>
          <w:p>
            <w:pPr>
              <w:keepNext w:val="0"/>
              <w:spacing w:line="269" w:lineRule="auto" w:after="40" w:before="40"/>
            </w:pPr>
            <w:r>
              <w:rPr>
                <w:rFonts w:ascii="Noto Sans CJK SC" w:hAnsi="Noto Sans CJK SC" w:eastAsia="Noto Sans CJK SC"/>
                <w:color w:val="000000"/>
                <w:sz w:val="19"/>
              </w:rPr>
              <w:t>EEG 的参考约束、时序会话和物理空间参数化是否必要</w:t>
            </w:r>
          </w:p>
        </w:tc>
      </w:tr>
      <w:tr>
        <w:trPr>
          <w:cantSplit/>
        </w:trPr>
        <w:tc>
          <w:tcPr>
            <w:tcW w:type="dxa" w:w="2232"/>
            <w:vAlign w:val="center"/>
          </w:tcPr>
          <w:p>
            <w:pPr>
              <w:keepNext w:val="0"/>
              <w:spacing w:line="269" w:lineRule="auto" w:after="40" w:before="40"/>
            </w:pPr>
            <w:r>
              <w:rPr>
                <w:rFonts w:ascii="Noto Sans CJK SC" w:hAnsi="Noto Sans CJK SC" w:eastAsia="Noto Sans CJK SC"/>
                <w:color w:val="000000"/>
                <w:sz w:val="19"/>
              </w:rPr>
              <w:t>Nguyen 等，2026 预印本</w:t>
            </w:r>
          </w:p>
        </w:tc>
        <w:tc>
          <w:tcPr>
            <w:tcW w:type="dxa" w:w="3528"/>
            <w:vAlign w:val="center"/>
          </w:tcPr>
          <w:p>
            <w:pPr>
              <w:keepNext w:val="0"/>
              <w:spacing w:line="269" w:lineRule="auto" w:after="40" w:before="40"/>
            </w:pPr>
            <w:r>
              <w:rPr>
                <w:rFonts w:ascii="Noto Sans CJK SC" w:hAnsi="Noto Sans CJK SC" w:eastAsia="Noto Sans CJK SC"/>
                <w:color w:val="000000"/>
                <w:sz w:val="19"/>
              </w:rPr>
              <w:t>EEG 基础模型的 head-only 与 LoRA，卒中被试差异</w:t>
            </w:r>
          </w:p>
        </w:tc>
        <w:tc>
          <w:tcPr>
            <w:tcW w:type="dxa" w:w="4032"/>
            <w:vAlign w:val="center"/>
          </w:tcPr>
          <w:p>
            <w:pPr>
              <w:keepNext w:val="0"/>
              <w:spacing w:line="269" w:lineRule="auto" w:after="40" w:before="40"/>
            </w:pPr>
            <w:r>
              <w:rPr>
                <w:rFonts w:ascii="Noto Sans CJK SC" w:hAnsi="Noto Sans CJK SC" w:eastAsia="Noto Sans CJK SC"/>
                <w:color w:val="000000"/>
                <w:sz w:val="19"/>
              </w:rPr>
              <w:t>受限空间更新能否超越普通 LoRA 和完整调参</w:t>
            </w:r>
          </w:p>
        </w:tc>
      </w:tr>
      <w:tr>
        <w:trPr>
          <w:cantSplit/>
        </w:trPr>
        <w:tc>
          <w:tcPr>
            <w:tcW w:type="dxa" w:w="2232"/>
            <w:vAlign w:val="center"/>
          </w:tcPr>
          <w:p>
            <w:pPr>
              <w:keepNext w:val="0"/>
              <w:spacing w:line="269" w:lineRule="auto" w:after="40" w:before="40"/>
            </w:pPr>
            <w:r>
              <w:rPr>
                <w:rFonts w:ascii="Noto Sans CJK SC" w:hAnsi="Noto Sans CJK SC" w:eastAsia="Noto Sans CJK SC"/>
                <w:color w:val="000000"/>
                <w:sz w:val="19"/>
              </w:rPr>
              <w:t>MIRepNet，KBS 2026</w:t>
            </w:r>
          </w:p>
        </w:tc>
        <w:tc>
          <w:tcPr>
            <w:tcW w:type="dxa" w:w="3528"/>
            <w:vAlign w:val="center"/>
          </w:tcPr>
          <w:p>
            <w:pPr>
              <w:keepNext w:val="0"/>
              <w:spacing w:line="269" w:lineRule="auto" w:after="40" w:before="40"/>
            </w:pPr>
            <w:r>
              <w:rPr>
                <w:rFonts w:ascii="Noto Sans CJK SC" w:hAnsi="Noto Sans CJK SC" w:eastAsia="Noto Sans CJK SC"/>
                <w:color w:val="000000"/>
                <w:sz w:val="19"/>
              </w:rPr>
              <w:t>MI 专用预训练及微调</w:t>
            </w:r>
          </w:p>
        </w:tc>
        <w:tc>
          <w:tcPr>
            <w:tcW w:type="dxa" w:w="4032"/>
            <w:vAlign w:val="center"/>
          </w:tcPr>
          <w:p>
            <w:pPr>
              <w:keepNext w:val="0"/>
              <w:spacing w:line="269" w:lineRule="auto" w:after="40" w:before="40"/>
            </w:pPr>
            <w:r>
              <w:rPr>
                <w:rFonts w:ascii="Noto Sans CJK SC" w:hAnsi="Noto Sans CJK SC" w:eastAsia="Noto Sans CJK SC"/>
                <w:color w:val="000000"/>
                <w:sz w:val="19"/>
              </w:rPr>
              <w:t>新更新规则是否可迁移到较强已有编码器</w:t>
            </w:r>
          </w:p>
        </w:tc>
      </w:tr>
      <w:tr>
        <w:trPr>
          <w:cantSplit/>
        </w:trPr>
        <w:tc>
          <w:tcPr>
            <w:tcW w:type="dxa" w:w="2232"/>
            <w:vAlign w:val="center"/>
          </w:tcPr>
          <w:p>
            <w:pPr>
              <w:keepNext w:val="0"/>
              <w:spacing w:line="269" w:lineRule="auto" w:after="40" w:before="40"/>
            </w:pPr>
            <w:r>
              <w:rPr>
                <w:rFonts w:ascii="Noto Sans CJK SC" w:hAnsi="Noto Sans CJK SC" w:eastAsia="Noto Sans CJK SC"/>
                <w:color w:val="000000"/>
                <w:sz w:val="19"/>
              </w:rPr>
              <w:t>BTTA-DG，ICLR 2026</w:t>
            </w:r>
          </w:p>
        </w:tc>
        <w:tc>
          <w:tcPr>
            <w:tcW w:type="dxa" w:w="3528"/>
            <w:vAlign w:val="center"/>
          </w:tcPr>
          <w:p>
            <w:pPr>
              <w:keepNext w:val="0"/>
              <w:spacing w:line="269" w:lineRule="auto" w:after="40" w:before="40"/>
            </w:pPr>
            <w:r>
              <w:rPr>
                <w:rFonts w:ascii="Noto Sans CJK SC" w:hAnsi="Noto Sans CJK SC" w:eastAsia="Noto Sans CJK SC"/>
                <w:color w:val="000000"/>
                <w:sz w:val="19"/>
              </w:rPr>
              <w:t>无标签测试时适应</w:t>
            </w:r>
          </w:p>
        </w:tc>
        <w:tc>
          <w:tcPr>
            <w:tcW w:type="dxa" w:w="4032"/>
            <w:vAlign w:val="center"/>
          </w:tcPr>
          <w:p>
            <w:pPr>
              <w:keepNext w:val="0"/>
              <w:spacing w:line="269" w:lineRule="auto" w:after="40" w:before="40"/>
            </w:pPr>
            <w:r>
              <w:rPr>
                <w:rFonts w:ascii="Noto Sans CJK SC" w:hAnsi="Noto Sans CJK SC" w:eastAsia="Noto Sans CJK SC"/>
                <w:color w:val="000000"/>
                <w:sz w:val="19"/>
              </w:rPr>
              <w:t>在明确的信息权限下比较，而非混同无标签与监督预算</w:t>
            </w:r>
          </w:p>
        </w:tc>
      </w:tr>
      <w:tr>
        <w:trPr>
          <w:cantSplit/>
        </w:trPr>
        <w:tc>
          <w:tcPr>
            <w:tcW w:type="dxa" w:w="2232"/>
            <w:vAlign w:val="center"/>
          </w:tcPr>
          <w:p>
            <w:pPr>
              <w:keepNext w:val="0"/>
              <w:spacing w:line="269" w:lineRule="auto" w:after="40" w:before="40"/>
            </w:pPr>
            <w:r>
              <w:rPr>
                <w:rFonts w:ascii="Noto Sans CJK SC" w:hAnsi="Noto Sans CJK SC" w:eastAsia="Noto Sans CJK SC"/>
                <w:color w:val="000000"/>
                <w:sz w:val="19"/>
              </w:rPr>
              <w:t>EEG-FM-Compass，NSR 2026</w:t>
            </w:r>
          </w:p>
        </w:tc>
        <w:tc>
          <w:tcPr>
            <w:tcW w:type="dxa" w:w="3528"/>
            <w:vAlign w:val="center"/>
          </w:tcPr>
          <w:p>
            <w:pPr>
              <w:keepNext w:val="0"/>
              <w:spacing w:line="269" w:lineRule="auto" w:after="40" w:before="40"/>
            </w:pPr>
            <w:r>
              <w:rPr>
                <w:rFonts w:ascii="Noto Sans CJK SC" w:hAnsi="Noto Sans CJK SC" w:eastAsia="Noto Sans CJK SC"/>
                <w:color w:val="000000"/>
                <w:sz w:val="19"/>
              </w:rPr>
              <w:t>统一基础模型与专用方法的比较</w:t>
            </w:r>
          </w:p>
        </w:tc>
        <w:tc>
          <w:tcPr>
            <w:tcW w:type="dxa" w:w="4032"/>
            <w:vAlign w:val="center"/>
          </w:tcPr>
          <w:p>
            <w:pPr>
              <w:keepNext w:val="0"/>
              <w:spacing w:line="269" w:lineRule="auto" w:after="40" w:before="40"/>
            </w:pPr>
            <w:r>
              <w:rPr>
                <w:rFonts w:ascii="Noto Sans CJK SC" w:hAnsi="Noto Sans CJK SC" w:eastAsia="Noto Sans CJK SC"/>
                <w:color w:val="000000"/>
                <w:sz w:val="19"/>
              </w:rPr>
              <w:t>数据、切分、预算、预训练接触史是否公平</w:t>
            </w:r>
          </w:p>
        </w:tc>
      </w:tr>
    </w:tbl>
    <w:p>
      <w:pPr>
        <w:spacing w:after="40" w:before="0" w:line="96" w:lineRule="auto"/>
      </w:pPr>
      <w:r>
        <w:rPr>
          <w:rFonts w:ascii="Noto Sans CJK SC" w:hAnsi="Noto Sans CJK SC" w:eastAsia="Noto Sans CJK SC"/>
          <w:color w:val="000000"/>
          <w:sz w:val="4"/>
        </w:rPr>
      </w:r>
    </w:p>
    <w:p>
      <w:r>
        <w:rPr>
          <w:rFonts w:ascii="Noto Sans CJK SC" w:hAnsi="Noto Sans CJK SC" w:eastAsia="Noto Sans CJK SC"/>
          <w:color w:val="000000"/>
        </w:rPr>
        <w:t>不能把矩阵指数、低维子空间、元学习、LoRA、EA、PCT 或门控单独称为首次提出。具体创新候选是：在去除公共参考后的 EEG 空间中，学习少数有界且可逆的空间变化方向，并用“当前前缀校准、未来完整试次块评估”的会话任务训练这些方向。最接近的 learned-additive-basis 对照必须保留。[R04–R09]</w:t>
      </w:r>
    </w:p>
    <w:p>
      <w:r>
        <w:rPr>
          <w:rFonts w:ascii="Noto Sans CJK SC" w:hAnsi="Noto Sans CJK SC" w:eastAsia="Noto Sans CJK SC"/>
          <w:color w:val="000000"/>
        </w:rPr>
        <w:t>完整方法细读与代码入口见 REFERENCE_METHODS.md；数学和优化细节见 METHOD_SPEC.md；B0至B11的明确实现和调参网格见 BASELINE_SPEC.md。</w:t>
      </w:r>
    </w:p>
    <w:p>
      <w:pPr>
        <w:pStyle w:val="Heading1"/>
      </w:pPr>
      <w:r>
        <w:t>3 数据分工与下载优先级</w:t>
      </w:r>
    </w:p>
    <w:p>
      <w:r>
        <w:rPr>
          <w:rFonts w:ascii="Noto Sans CJK SC" w:hAnsi="Noto Sans CJK SC" w:eastAsia="Noto Sans CJK SC"/>
          <w:color w:val="000000"/>
        </w:rPr>
        <w:t>“最新”按论文或数据版本日期记录，“规模”同时记录独立参与者、会话、原始 trial 和字节。切出的窗口、随机种子和重复会话都不增加独立参与者数。实际可用数量由下载后的 manifest 确认；下表不是已训练数据清单。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1584"/>
        <w:gridCol w:w="3024"/>
        <w:gridCol w:w="1944"/>
        <w:gridCol w:w="3240"/>
      </w:tblGrid>
      <w:tr>
        <w:trPr>
          <w:cantSplit/>
          <w:tblHeader/>
        </w:trPr>
        <w:tc>
          <w:tcPr>
            <w:tcW w:type="dxa" w:w="1584"/>
            <w:vAlign w:val="center"/>
            <w:shd w:fill="DEE7EF"/>
          </w:tcPr>
          <w:p>
            <w:pPr>
              <w:keepNext/>
              <w:spacing w:line="269" w:lineRule="auto" w:after="40" w:before="40"/>
              <w:jc w:val="center"/>
            </w:pPr>
            <w:r>
              <w:rPr>
                <w:rFonts w:ascii="Noto Sans CJK SC" w:hAnsi="Noto Sans CJK SC" w:eastAsia="Noto Sans CJK SC"/>
                <w:b/>
                <w:color w:val="000000"/>
                <w:sz w:val="19"/>
              </w:rPr>
              <w:t>数据</w:t>
            </w:r>
          </w:p>
        </w:tc>
        <w:tc>
          <w:tcPr>
            <w:tcW w:type="dxa" w:w="3024"/>
            <w:vAlign w:val="center"/>
            <w:shd w:fill="DEE7EF"/>
          </w:tcPr>
          <w:p>
            <w:pPr>
              <w:keepNext/>
              <w:spacing w:line="269" w:lineRule="auto" w:after="40" w:before="40"/>
            </w:pPr>
            <w:r>
              <w:rPr>
                <w:rFonts w:ascii="Noto Sans CJK SC" w:hAnsi="Noto Sans CJK SC" w:eastAsia="Noto Sans CJK SC"/>
                <w:b/>
                <w:color w:val="000000"/>
                <w:sz w:val="19"/>
              </w:rPr>
              <w:t>已核实规模与时间</w:t>
            </w:r>
          </w:p>
        </w:tc>
        <w:tc>
          <w:tcPr>
            <w:tcW w:type="dxa" w:w="1944"/>
            <w:vAlign w:val="center"/>
            <w:shd w:fill="DEE7EF"/>
          </w:tcPr>
          <w:p>
            <w:pPr>
              <w:keepNext/>
              <w:spacing w:line="269" w:lineRule="auto" w:after="40" w:before="40"/>
            </w:pPr>
            <w:r>
              <w:rPr>
                <w:rFonts w:ascii="Noto Sans CJK SC" w:hAnsi="Noto Sans CJK SC" w:eastAsia="Noto Sans CJK SC"/>
                <w:b/>
                <w:color w:val="000000"/>
                <w:sz w:val="19"/>
              </w:rPr>
              <w:t>固定角色</w:t>
            </w:r>
          </w:p>
        </w:tc>
        <w:tc>
          <w:tcPr>
            <w:tcW w:type="dxa" w:w="3240"/>
            <w:vAlign w:val="center"/>
            <w:shd w:fill="DEE7EF"/>
          </w:tcPr>
          <w:p>
            <w:pPr>
              <w:keepNext/>
              <w:spacing w:line="269" w:lineRule="auto" w:after="40" w:before="40"/>
            </w:pPr>
            <w:r>
              <w:rPr>
                <w:rFonts w:ascii="Noto Sans CJK SC" w:hAnsi="Noto Sans CJK SC" w:eastAsia="Noto Sans CJK SC"/>
                <w:b/>
                <w:color w:val="000000"/>
                <w:sz w:val="19"/>
              </w:rPr>
              <w:t>进入条件</w:t>
            </w:r>
          </w:p>
        </w:tc>
      </w:tr>
      <w:tr>
        <w:trPr>
          <w:cantSplit/>
        </w:trPr>
        <w:tc>
          <w:tcPr>
            <w:tcW w:type="dxa" w:w="1584"/>
            <w:vAlign w:val="center"/>
          </w:tcPr>
          <w:p>
            <w:pPr>
              <w:keepNext w:val="0"/>
              <w:spacing w:line="269" w:lineRule="auto" w:after="40" w:before="40"/>
              <w:jc w:val="center"/>
            </w:pPr>
            <w:r>
              <w:rPr>
                <w:rFonts w:ascii="Noto Sans CJK SC" w:hAnsi="Noto Sans CJK SC" w:eastAsia="Noto Sans CJK SC"/>
                <w:color w:val="000000"/>
                <w:sz w:val="19"/>
              </w:rPr>
              <w:t>BNCI2014_001、Cho2017、OpenBMI、PhysioNet</w:t>
            </w:r>
          </w:p>
        </w:tc>
        <w:tc>
          <w:tcPr>
            <w:tcW w:type="dxa" w:w="3024"/>
            <w:vAlign w:val="center"/>
          </w:tcPr>
          <w:p>
            <w:pPr>
              <w:keepNext w:val="0"/>
              <w:spacing w:line="269" w:lineRule="auto" w:after="40" w:before="40"/>
            </w:pPr>
            <w:r>
              <w:rPr>
                <w:rFonts w:ascii="Noto Sans CJK SC" w:hAnsi="Noto Sans CJK SC" w:eastAsia="Noto Sans CJK SC"/>
                <w:color w:val="000000"/>
                <w:sz w:val="19"/>
              </w:rPr>
              <w:t>分别 9、52、54、109 个数据集内身份；均有原始公开来源</w:t>
            </w:r>
          </w:p>
        </w:tc>
        <w:tc>
          <w:tcPr>
            <w:tcW w:type="dxa" w:w="1944"/>
            <w:vAlign w:val="center"/>
          </w:tcPr>
          <w:p>
            <w:pPr>
              <w:keepNext w:val="0"/>
              <w:spacing w:line="269" w:lineRule="auto" w:after="40" w:before="40"/>
            </w:pPr>
            <w:r>
              <w:rPr>
                <w:rFonts w:ascii="Noto Sans CJK SC" w:hAnsi="Noto Sans CJK SC" w:eastAsia="Noto Sans CJK SC"/>
                <w:color w:val="000000"/>
                <w:sz w:val="19"/>
              </w:rPr>
              <w:t>四个基础 source；训练冻结编码器 f0</w:t>
            </w:r>
          </w:p>
        </w:tc>
        <w:tc>
          <w:tcPr>
            <w:tcW w:type="dxa" w:w="3240"/>
            <w:vAlign w:val="center"/>
          </w:tcPr>
          <w:p>
            <w:pPr>
              <w:keepNext w:val="0"/>
              <w:spacing w:line="269" w:lineRule="auto" w:after="40" w:before="40"/>
            </w:pPr>
            <w:r>
              <w:rPr>
                <w:rFonts w:ascii="Noto Sans CJK SC" w:hAnsi="Noto Sans CJK SC" w:eastAsia="Noto Sans CJK SC"/>
                <w:color w:val="000000"/>
                <w:sz w:val="19"/>
              </w:rPr>
              <w:t>只取显式左右手 MI，通道、时间和来源合同通过</w:t>
            </w:r>
          </w:p>
        </w:tc>
      </w:tr>
      <w:tr>
        <w:trPr>
          <w:cantSplit/>
        </w:trPr>
        <w:tc>
          <w:tcPr>
            <w:tcW w:type="dxa" w:w="1584"/>
            <w:vAlign w:val="center"/>
          </w:tcPr>
          <w:p>
            <w:pPr>
              <w:keepNext w:val="0"/>
              <w:spacing w:line="269" w:lineRule="auto" w:after="40" w:before="40"/>
              <w:jc w:val="center"/>
            </w:pPr>
            <w:r>
              <w:rPr>
                <w:rFonts w:ascii="Noto Sans CJK SC" w:hAnsi="Noto Sans CJK SC" w:eastAsia="Noto Sans CJK SC"/>
                <w:color w:val="000000"/>
                <w:sz w:val="19"/>
              </w:rPr>
              <w:t>Stieger2021</w:t>
            </w:r>
          </w:p>
        </w:tc>
        <w:tc>
          <w:tcPr>
            <w:tcW w:type="dxa" w:w="3024"/>
            <w:vAlign w:val="center"/>
          </w:tcPr>
          <w:p>
            <w:pPr>
              <w:keepNext w:val="0"/>
              <w:spacing w:line="269" w:lineRule="auto" w:after="40" w:before="40"/>
            </w:pPr>
            <w:r>
              <w:rPr>
                <w:rFonts w:ascii="Noto Sans CJK SC" w:hAnsi="Noto Sans CJK SC" w:eastAsia="Noto Sans CJK SC"/>
                <w:color w:val="000000"/>
                <w:sz w:val="19"/>
              </w:rPr>
              <w:t>62 人，598 会话，269099 个混合任务 trial；左右手设计上限 89700；官方总量 351.01 GB，CC BY 4.0</w:t>
            </w:r>
          </w:p>
        </w:tc>
        <w:tc>
          <w:tcPr>
            <w:tcW w:type="dxa" w:w="1944"/>
            <w:vAlign w:val="center"/>
          </w:tcPr>
          <w:p>
            <w:pPr>
              <w:keepNext w:val="0"/>
              <w:spacing w:line="269" w:lineRule="auto" w:after="40" w:before="40"/>
            </w:pPr>
            <w:r>
              <w:rPr>
                <w:rFonts w:ascii="Noto Sans CJK SC" w:hAnsi="Noto Sans CJK SC" w:eastAsia="Noto Sans CJK SC"/>
                <w:color w:val="000000"/>
                <w:sz w:val="19"/>
              </w:rPr>
              <w:t>大规模算法开发，40 人 meta-train、11 人 validation、11 人内部留出</w:t>
            </w:r>
          </w:p>
        </w:tc>
        <w:tc>
          <w:tcPr>
            <w:tcW w:type="dxa" w:w="3240"/>
            <w:vAlign w:val="center"/>
          </w:tcPr>
          <w:p>
            <w:pPr>
              <w:keepNext w:val="0"/>
              <w:spacing w:line="269" w:lineRule="auto" w:after="40" w:before="40"/>
            </w:pPr>
            <w:r>
              <w:rPr>
                <w:rFonts w:ascii="Noto Sans CJK SC" w:hAnsi="Noto Sans CJK SC" w:eastAsia="Noto Sans CJK SC"/>
                <w:color w:val="000000"/>
                <w:sz w:val="19"/>
              </w:rPr>
              <w:t>必须恢复 tasknumber、run、trial；筛纯 LR，核验可用时间长度</w:t>
            </w:r>
          </w:p>
        </w:tc>
      </w:tr>
      <w:tr>
        <w:trPr>
          <w:cantSplit/>
        </w:trPr>
        <w:tc>
          <w:tcPr>
            <w:tcW w:type="dxa" w:w="1584"/>
            <w:vAlign w:val="center"/>
          </w:tcPr>
          <w:p>
            <w:pPr>
              <w:keepNext w:val="0"/>
              <w:spacing w:line="269" w:lineRule="auto" w:after="40" w:before="40"/>
              <w:jc w:val="center"/>
            </w:pPr>
            <w:r>
              <w:rPr>
                <w:rFonts w:ascii="Noto Sans CJK SC" w:hAnsi="Noto Sans CJK SC" w:eastAsia="Noto Sans CJK SC"/>
                <w:color w:val="000000"/>
                <w:sz w:val="19"/>
              </w:rPr>
              <w:t>HS-Stroke v6</w:t>
            </w:r>
          </w:p>
        </w:tc>
        <w:tc>
          <w:tcPr>
            <w:tcW w:type="dxa" w:w="3024"/>
            <w:vAlign w:val="center"/>
          </w:tcPr>
          <w:p>
            <w:pPr>
              <w:keepNext w:val="0"/>
              <w:spacing w:line="269" w:lineRule="auto" w:after="40" w:before="40"/>
            </w:pPr>
            <w:r>
              <w:rPr>
                <w:rFonts w:ascii="Noto Sans CJK SC" w:hAnsi="Noto Sans CJK SC" w:eastAsia="Noto Sans CJK SC"/>
                <w:color w:val="000000"/>
                <w:sz w:val="19"/>
              </w:rPr>
              <w:t>2026年7月24日版本；14 名慢性卒中参与者；作者修订为23382原trial与93528窗口；21文件共6903852376字节</w:t>
            </w:r>
          </w:p>
        </w:tc>
        <w:tc>
          <w:tcPr>
            <w:tcW w:type="dxa" w:w="1944"/>
            <w:vAlign w:val="center"/>
          </w:tcPr>
          <w:p>
            <w:pPr>
              <w:keepNext w:val="0"/>
              <w:spacing w:line="269" w:lineRule="auto" w:after="40" w:before="40"/>
            </w:pPr>
            <w:r>
              <w:rPr>
                <w:rFonts w:ascii="Noto Sans CJK SC" w:hAnsi="Noto Sans CJK SC" w:eastAsia="Noto Sans CJK SC"/>
                <w:color w:val="000000"/>
                <w:sz w:val="19"/>
              </w:rPr>
              <w:t>唯一临床主确认队列</w:t>
            </w:r>
          </w:p>
        </w:tc>
        <w:tc>
          <w:tcPr>
            <w:tcW w:type="dxa" w:w="3240"/>
            <w:vAlign w:val="center"/>
          </w:tcPr>
          <w:p>
            <w:pPr>
              <w:keepNext w:val="0"/>
              <w:spacing w:line="269" w:lineRule="auto" w:after="40" w:before="40"/>
            </w:pPr>
            <w:r>
              <w:rPr>
                <w:rFonts w:ascii="Noto Sans CJK SC" w:hAnsi="Noto Sans CJK SC" w:eastAsia="Noto Sans CJK SC"/>
                <w:color w:val="000000"/>
                <w:sz w:val="19"/>
              </w:rPr>
              <w:t>sourcedata、4秒MI段、原trial身份、顺序、单位及修订去重通过</w:t>
            </w:r>
          </w:p>
        </w:tc>
      </w:tr>
      <w:tr>
        <w:trPr>
          <w:cantSplit/>
        </w:trPr>
        <w:tc>
          <w:tcPr>
            <w:tcW w:type="dxa" w:w="1584"/>
            <w:vAlign w:val="center"/>
          </w:tcPr>
          <w:p>
            <w:pPr>
              <w:keepNext w:val="0"/>
              <w:spacing w:line="269" w:lineRule="auto" w:after="40" w:before="40"/>
              <w:jc w:val="center"/>
            </w:pPr>
            <w:r>
              <w:rPr>
                <w:rFonts w:ascii="Noto Sans CJK SC" w:hAnsi="Noto Sans CJK SC" w:eastAsia="Noto Sans CJK SC"/>
                <w:color w:val="000000"/>
                <w:sz w:val="19"/>
              </w:rPr>
              <w:t>Wang2026 joint learning</w:t>
            </w:r>
          </w:p>
        </w:tc>
        <w:tc>
          <w:tcPr>
            <w:tcW w:type="dxa" w:w="3024"/>
            <w:vAlign w:val="center"/>
          </w:tcPr>
          <w:p>
            <w:pPr>
              <w:keepNext w:val="0"/>
              <w:spacing w:line="269" w:lineRule="auto" w:after="40" w:before="40"/>
            </w:pPr>
            <w:r>
              <w:rPr>
                <w:rFonts w:ascii="Noto Sans CJK SC" w:hAnsi="Noto Sans CJK SC" w:eastAsia="Noto Sans CJK SC"/>
                <w:color w:val="000000"/>
                <w:sz w:val="19"/>
              </w:rPr>
              <w:t>Nature Communications 2026；主研究31人，另有8人控制实验；公开包约59.36GB</w:t>
            </w:r>
          </w:p>
        </w:tc>
        <w:tc>
          <w:tcPr>
            <w:tcW w:type="dxa" w:w="1944"/>
            <w:vAlign w:val="center"/>
          </w:tcPr>
          <w:p>
            <w:pPr>
              <w:keepNext w:val="0"/>
              <w:spacing w:line="269" w:lineRule="auto" w:after="40" w:before="40"/>
            </w:pPr>
            <w:r>
              <w:rPr>
                <w:rFonts w:ascii="Noto Sans CJK SC" w:hAnsi="Noto Sans CJK SC" w:eastAsia="Noto Sans CJK SC"/>
                <w:color w:val="000000"/>
                <w:sz w:val="19"/>
              </w:rPr>
              <w:t>全部封存的健康新队列确认</w:t>
            </w:r>
          </w:p>
        </w:tc>
        <w:tc>
          <w:tcPr>
            <w:tcW w:type="dxa" w:w="3240"/>
            <w:vAlign w:val="center"/>
          </w:tcPr>
          <w:p>
            <w:pPr>
              <w:keepNext w:val="0"/>
              <w:spacing w:line="269" w:lineRule="auto" w:after="40" w:before="40"/>
            </w:pPr>
            <w:r>
              <w:rPr>
                <w:rFonts w:ascii="Noto Sans CJK SC" w:hAnsi="Noto Sans CJK SC" w:eastAsia="Noto Sans CJK SC"/>
                <w:color w:val="000000"/>
                <w:sz w:val="19"/>
              </w:rPr>
              <w:t>组别和实际人数以manifest为准；仅明确LR任务，恢复run与反馈条件</w:t>
            </w:r>
          </w:p>
        </w:tc>
      </w:tr>
      <w:tr>
        <w:trPr>
          <w:cantSplit/>
        </w:trPr>
        <w:tc>
          <w:tcPr>
            <w:tcW w:type="dxa" w:w="1584"/>
            <w:vAlign w:val="center"/>
          </w:tcPr>
          <w:p>
            <w:pPr>
              <w:keepNext w:val="0"/>
              <w:spacing w:line="269" w:lineRule="auto" w:after="40" w:before="40"/>
              <w:jc w:val="center"/>
            </w:pPr>
            <w:r>
              <w:rPr>
                <w:rFonts w:ascii="Noto Sans CJK SC" w:hAnsi="Noto Sans CJK SC" w:eastAsia="Noto Sans CJK SC"/>
                <w:color w:val="000000"/>
                <w:sz w:val="19"/>
              </w:rPr>
              <w:t>Yang2025</w:t>
            </w:r>
          </w:p>
        </w:tc>
        <w:tc>
          <w:tcPr>
            <w:tcW w:type="dxa" w:w="3024"/>
            <w:vAlign w:val="center"/>
          </w:tcPr>
          <w:p>
            <w:pPr>
              <w:keepNext w:val="0"/>
              <w:spacing w:line="269" w:lineRule="auto" w:after="40" w:before="40"/>
            </w:pPr>
            <w:r>
              <w:rPr>
                <w:rFonts w:ascii="Noto Sans CJK SC" w:hAnsi="Noto Sans CJK SC" w:eastAsia="Noto Sans CJK SC"/>
                <w:color w:val="000000"/>
                <w:sz w:val="19"/>
              </w:rPr>
              <w:t>论文1 v3定义51个二分类参与者，30591个明确1/2标记</w:t>
            </w:r>
          </w:p>
        </w:tc>
        <w:tc>
          <w:tcPr>
            <w:tcW w:type="dxa" w:w="1944"/>
            <w:vAlign w:val="center"/>
          </w:tcPr>
          <w:p>
            <w:pPr>
              <w:keepNext w:val="0"/>
              <w:spacing w:line="269" w:lineRule="auto" w:after="40" w:before="40"/>
            </w:pPr>
            <w:r>
              <w:rPr>
                <w:rFonts w:ascii="Noto Sans CJK SC" w:hAnsi="Noto Sans CJK SC" w:eastAsia="Noto Sans CJK SC"/>
                <w:color w:val="000000"/>
                <w:sz w:val="19"/>
              </w:rPr>
              <w:t>预先规定的 source 增强支路</w:t>
            </w:r>
          </w:p>
        </w:tc>
        <w:tc>
          <w:tcPr>
            <w:tcW w:type="dxa" w:w="3240"/>
            <w:vAlign w:val="center"/>
          </w:tcPr>
          <w:p>
            <w:pPr>
              <w:keepNext w:val="0"/>
              <w:spacing w:line="269" w:lineRule="auto" w:after="40" w:before="40"/>
            </w:pPr>
            <w:r>
              <w:rPr>
                <w:rFonts w:ascii="Noto Sans CJK SC" w:hAnsi="Noto Sans CJK SC" w:eastAsia="Noto Sans CJK SC"/>
                <w:color w:val="000000"/>
                <w:sz w:val="19"/>
              </w:rPr>
              <w:t>复用原BDF及审计；共同增益、分析锚点和新预处理通过，禁止猜255</w:t>
            </w:r>
          </w:p>
        </w:tc>
      </w:tr>
      <w:tr>
        <w:trPr>
          <w:cantSplit/>
        </w:trPr>
        <w:tc>
          <w:tcPr>
            <w:tcW w:type="dxa" w:w="1584"/>
            <w:vAlign w:val="center"/>
          </w:tcPr>
          <w:p>
            <w:pPr>
              <w:keepNext w:val="0"/>
              <w:spacing w:line="269" w:lineRule="auto" w:after="40" w:before="40"/>
              <w:jc w:val="center"/>
            </w:pPr>
            <w:r>
              <w:rPr>
                <w:rFonts w:ascii="Noto Sans CJK SC" w:hAnsi="Noto Sans CJK SC" w:eastAsia="Noto Sans CJK SC"/>
                <w:color w:val="000000"/>
                <w:sz w:val="19"/>
              </w:rPr>
              <w:t>Kumar2024 NEMAR v1.0.5</w:t>
            </w:r>
          </w:p>
        </w:tc>
        <w:tc>
          <w:tcPr>
            <w:tcW w:type="dxa" w:w="3024"/>
            <w:vAlign w:val="center"/>
          </w:tcPr>
          <w:p>
            <w:pPr>
              <w:keepNext w:val="0"/>
              <w:spacing w:line="269" w:lineRule="auto" w:after="40" w:before="40"/>
            </w:pPr>
            <w:r>
              <w:rPr>
                <w:rFonts w:ascii="Noto Sans CJK SC" w:hAnsi="Noto Sans CJK SC" w:eastAsia="Noto Sans CJK SC"/>
                <w:color w:val="000000"/>
                <w:sz w:val="19"/>
              </w:rPr>
              <w:t>论文2已分析的18个身份、6会话</w:t>
            </w:r>
          </w:p>
        </w:tc>
        <w:tc>
          <w:tcPr>
            <w:tcW w:type="dxa" w:w="1944"/>
            <w:vAlign w:val="center"/>
          </w:tcPr>
          <w:p>
            <w:pPr>
              <w:keepNext w:val="0"/>
              <w:spacing w:line="269" w:lineRule="auto" w:after="40" w:before="40"/>
            </w:pPr>
            <w:r>
              <w:rPr>
                <w:rFonts w:ascii="Noto Sans CJK SC" w:hAnsi="Noto Sans CJK SC" w:eastAsia="Noto Sans CJK SC"/>
                <w:color w:val="000000"/>
                <w:sz w:val="19"/>
              </w:rPr>
              <w:t>工程回归与机制复核</w:t>
            </w:r>
          </w:p>
        </w:tc>
        <w:tc>
          <w:tcPr>
            <w:tcW w:type="dxa" w:w="3240"/>
            <w:vAlign w:val="center"/>
          </w:tcPr>
          <w:p>
            <w:pPr>
              <w:keepNext w:val="0"/>
              <w:spacing w:line="269" w:lineRule="auto" w:after="40" w:before="40"/>
            </w:pPr>
            <w:r>
              <w:rPr>
                <w:rFonts w:ascii="Noto Sans CJK SC" w:hAnsi="Noto Sans CJK SC" w:eastAsia="Noto Sans CJK SC"/>
                <w:color w:val="000000"/>
                <w:sz w:val="19"/>
              </w:rPr>
              <w:t>已被看过结果，不能再称新的盲法确认</w:t>
            </w:r>
          </w:p>
        </w:tc>
      </w:tr>
      <w:tr>
        <w:trPr>
          <w:cantSplit/>
        </w:trPr>
        <w:tc>
          <w:tcPr>
            <w:tcW w:type="dxa" w:w="1584"/>
            <w:vAlign w:val="center"/>
          </w:tcPr>
          <w:p>
            <w:pPr>
              <w:keepNext w:val="0"/>
              <w:spacing w:line="269" w:lineRule="auto" w:after="40" w:before="40"/>
              <w:jc w:val="center"/>
            </w:pPr>
            <w:r>
              <w:rPr>
                <w:rFonts w:ascii="Noto Sans CJK SC" w:hAnsi="Noto Sans CJK SC" w:eastAsia="Noto Sans CJK SC"/>
                <w:color w:val="000000"/>
                <w:sz w:val="19"/>
              </w:rPr>
              <w:t>Liu2024</w:t>
            </w:r>
          </w:p>
        </w:tc>
        <w:tc>
          <w:tcPr>
            <w:tcW w:type="dxa" w:w="3024"/>
            <w:vAlign w:val="center"/>
          </w:tcPr>
          <w:p>
            <w:pPr>
              <w:keepNext w:val="0"/>
              <w:spacing w:line="269" w:lineRule="auto" w:after="40" w:before="40"/>
            </w:pPr>
            <w:r>
              <w:rPr>
                <w:rFonts w:ascii="Noto Sans CJK SC" w:hAnsi="Noto Sans CJK SC" w:eastAsia="Noto Sans CJK SC"/>
                <w:color w:val="000000"/>
                <w:sz w:val="19"/>
              </w:rPr>
              <w:t>50人原始急性卒中描述，每人40个左右手trial；疑似重复身份需自查</w:t>
            </w:r>
          </w:p>
        </w:tc>
        <w:tc>
          <w:tcPr>
            <w:tcW w:type="dxa" w:w="1944"/>
            <w:vAlign w:val="center"/>
          </w:tcPr>
          <w:p>
            <w:pPr>
              <w:keepNext w:val="0"/>
              <w:spacing w:line="269" w:lineRule="auto" w:after="40" w:before="40"/>
            </w:pPr>
            <w:r>
              <w:rPr>
                <w:rFonts w:ascii="Noto Sans CJK SC" w:hAnsi="Noto Sans CJK SC" w:eastAsia="Noto Sans CJK SC"/>
                <w:color w:val="000000"/>
                <w:sz w:val="19"/>
              </w:rPr>
              <w:t>独立的患者补充队列</w:t>
            </w:r>
          </w:p>
        </w:tc>
        <w:tc>
          <w:tcPr>
            <w:tcW w:type="dxa" w:w="3240"/>
            <w:vAlign w:val="center"/>
          </w:tcPr>
          <w:p>
            <w:pPr>
              <w:keepNext w:val="0"/>
              <w:spacing w:line="269" w:lineRule="auto" w:after="40" w:before="40"/>
            </w:pPr>
            <w:r>
              <w:rPr>
                <w:rFonts w:ascii="Noto Sans CJK SC" w:hAnsi="Noto Sans CJK SC" w:eastAsia="Noto Sans CJK SC"/>
                <w:color w:val="000000"/>
                <w:sz w:val="19"/>
              </w:rPr>
              <w:t>原始重复审计；20校准后仍有20 query；不宣称纵向</w:t>
            </w:r>
          </w:p>
        </w:tc>
      </w:tr>
    </w:tbl>
    <w:p>
      <w:pPr>
        <w:spacing w:after="40" w:before="0" w:line="96" w:lineRule="auto"/>
      </w:pPr>
      <w:r>
        <w:rPr>
          <w:rFonts w:ascii="Noto Sans CJK SC" w:hAnsi="Noto Sans CJK SC" w:eastAsia="Noto Sans CJK SC"/>
          <w:color w:val="000000"/>
          <w:sz w:val="4"/>
        </w:rPr>
      </w:r>
    </w:p>
    <w:p>
      <w:r>
        <w:rPr>
          <w:rFonts w:ascii="Noto Sans CJK SC" w:hAnsi="Noto Sans CJK SC" w:eastAsia="Noto Sans CJK SC"/>
          <w:color w:val="000000"/>
        </w:rPr>
        <w:t>Stieger 26.9 万不是 26.9 万左右手样本。351.01 GB 和 CC BY 4.0 以本轮官方归档为准，覆盖旧方案中不准确的容量与许可记录。Wang 的6次主流程也不是6次全左右手：1–2为LR，3含LR/UD，4–6主要2D；主验证只使用明确LR run和明确LR随访。[R10–R13]</w:t>
      </w:r>
    </w:p>
    <w:p>
      <w:r>
        <w:rPr>
          <w:rFonts w:ascii="Noto Sans CJK SC" w:hAnsi="Noto Sans CJK SC" w:eastAsia="Noto Sans CJK SC"/>
          <w:color w:val="000000"/>
        </w:rPr>
        <w:t>任务储备包括 Finger-BCI2025、Alawieh2025、Forenzo2023、SEFMEID2026、PROTEUS2026 和 UET175。它们的任务、采样条件或访问要求不同，先建立清单，不全部混入二分类主模型。SEFMEID需申请；UET175的作者压缩包受密码限制，且发布的特征窗口存在反应强度选择问题。任何申请邮件由用户明确授权后再处理。本次不发送邮件。</w:t>
      </w:r>
    </w:p>
    <w:p>
      <w:r>
        <w:rPr>
          <w:rFonts w:ascii="Noto Sans CJK SC" w:hAnsi="Noto Sans CJK SC" w:eastAsia="Noto Sans CJK SC"/>
          <w:color w:val="000000"/>
        </w:rPr>
        <w:t>主方案不依赖 Yang 或任何申请数据能否及时获得。先完成四 source + Stieger + HS 的主线，再在算法、时间窗和超参数冻结后运行预先登记的 source 增强支路。所有外测方法必须共享同一 source 分支，不能只给新方法更多数据。</w:t>
      </w:r>
    </w:p>
    <w:p>
      <w:pPr>
        <w:pStyle w:val="Heading1"/>
      </w:pPr>
      <w:r>
        <w:t>4 前两篇的数据怎样复用</w:t>
      </w:r>
    </w:p>
    <w:p>
      <w:r>
        <w:rPr>
          <w:rFonts w:ascii="Noto Sans CJK SC" w:hAnsi="Noto Sans CJK SC" w:eastAsia="Noto Sans CJK SC"/>
          <w:color w:val="000000"/>
        </w:rPr>
        <w:t>优先只读定位原始 EEG、下载清单、SHA-256、参与者表、标记审计及已有数据目录。使用独立的 paper3 项目目录；不改论文1、论文2的活动任务、工作树和原始文件。复制或使用指向只读原档的链接时记录源路径及哈希。</w:t>
      </w:r>
    </w:p>
    <w:p>
      <w:r>
        <w:rPr>
          <w:rFonts w:ascii="Noto Sans CJK SC" w:hAnsi="Noto Sans CJK SC" w:eastAsia="Noto Sans CJK SC"/>
          <w:color w:val="000000"/>
        </w:rPr>
        <w:t>论文1的18通道包含本方案11通道，但其 CAR18、160Hz、三频段视图、6秒滤波上下文和 [2,4) 裁切不同于本方案。截取11通道再重采样不能恢复 CAR11 下本应得到的信号，已有处理 NPZ 不能直接复用。可复用的是原BDF、标记资格和时钟审计。[R14]</w:t>
      </w:r>
    </w:p>
    <w:p>
      <w:r>
        <w:rPr>
          <w:rFonts w:ascii="Noto Sans CJK SC" w:hAnsi="Noto Sans CJK SC" w:eastAsia="Noto Sans CJK SC"/>
          <w:color w:val="000000"/>
        </w:rPr>
        <w:t>Yang的物理单位标记尚不明确。只有核实各EEG通道共享同一个正比例增益时，线性处理加单trial RMS才可消去这个未知比例；缓存单位必须记为 unresolved，不能写 V。绝对微伏阈值置为不可用。若相对通道增益未确认，则保持阻塞。其 marker+1.5秒只是交集分析参考，不写作已确认MI起点；增强支路保留与论文1一致的 marker[2,4)分析范围及原event索引。</w:t>
      </w:r>
    </w:p>
    <w:p>
      <w:r>
        <w:rPr>
          <w:rFonts w:ascii="Noto Sans CJK SC" w:hAnsi="Noto Sans CJK SC" w:eastAsia="Noto Sans CJK SC"/>
          <w:color w:val="000000"/>
        </w:rPr>
        <w:t>Kumar已有结果仅用于检查试次身份、单trial预测和重拟合行为，不能再从其表现挑选第三篇的最终方法。论文2旧窗口、源标签预算和当前源训练方式不同，旧模型权重不是第三篇可直接比较的起点。[R15]</w:t>
      </w:r>
    </w:p>
    <w:p>
      <w:pPr>
        <w:pStyle w:val="Heading1"/>
      </w:pPr>
      <w:r>
        <w:t>5 统一输入和时间窗</w:t>
      </w:r>
    </w:p>
    <w:p>
      <w:pPr>
        <w:pStyle w:val="Heading2"/>
      </w:pPr>
      <w:r>
        <w:t>5.1 通道和信号合同</w:t>
      </w:r>
    </w:p>
    <w:p>
      <w:r>
        <w:rPr>
          <w:rFonts w:ascii="Noto Sans CJK SC" w:hAnsi="Noto Sans CJK SC" w:eastAsia="Noto Sans CJK SC"/>
          <w:color w:val="000000"/>
        </w:rPr>
        <w:t>主通道顺序固定为 FC3、FC4、C5、C3、C1、Cz、C2、C4、C6、CP3、CP4。要求11个实测通道齐全，不以补零或未说明的插值替代。按选定11通道做CAR。EOG、EMG、标签通道和刺激通道均不进入分类输入。[R12]</w:t>
      </w:r>
    </w:p>
    <w:p>
      <w:r>
        <w:rPr>
          <w:rFonts w:ascii="Noto Sans CJK SC" w:hAnsi="Noto Sans CJK SC" w:eastAsia="Noto Sans CJK SC"/>
          <w:color w:val="000000"/>
        </w:rPr>
        <w:t>滤波起点采用4阶8–30Hz双向SOS、有界单trial上下文、重采样128Hz。模型输入统一去trial均值并除该trial全通道联合RMS；零能量或非有限数值直接标记无效。协方差参考使用同一尺度无关输入，不使用query整体均值、方差或ICA。该预处理属于有界离线处理，预测延迟按完整上下文长度报告，不能叫零延迟或真正实时闭环。</w:t>
      </w:r>
    </w:p>
    <w:p>
      <w:r>
        <w:rPr>
          <w:rFonts w:ascii="Noto Sans CJK SC" w:hAnsi="Noto Sans CJK SC" w:eastAsia="Noto Sans CJK SC"/>
          <w:color w:val="000000"/>
        </w:rPr>
        <w:t>已确认物理单位的数据保留原单位及到SI的换算；单位未确认但共同增益可证的数据保存数值与 unresolved 单位，模型只使用尺度无关路径。基础模型若要求绝对微伏输入，必须另过单位门槛，不能沿用这一豁免。</w:t>
      </w:r>
    </w:p>
    <w:p>
      <w:pPr>
        <w:pStyle w:val="Heading2"/>
      </w:pPr>
      <w:r>
        <w:t>5.2 时间窗在开发阶段一次冻结</w:t>
      </w:r>
    </w:p>
    <w:p>
      <w:r>
        <w:rPr>
          <w:rFonts w:ascii="Noto Sans CJK SC" w:hAnsi="Noto Sans CJK SC" w:eastAsia="Noto Sans CJK SC"/>
          <w:color w:val="000000"/>
        </w:rPr>
        <w:t>优先以有原始证据支持的任务开始或反馈控制开始作为分析锚点，避免将视觉提示准备期当作全部MI信号。候选长窗是锚点后[0,3)秒的滤波上下文，裁切[0.5,2.5)秒共256点；候选短窗是[0,2)秒上下文，裁切[0.5,1.5)秒共128点。所有模型和全部主数据必须采用同一个最终输入长度。</w:t>
      </w:r>
    </w:p>
    <w:p>
      <w:r>
        <w:rPr>
          <w:rFonts w:ascii="Noto Sans CJK SC" w:hAnsi="Noto Sans CJK SC" w:eastAsia="Noto Sans CJK SC"/>
          <w:color w:val="000000"/>
        </w:rPr>
        <w:t>先依据已核实的参与者身份、纯LR任务存在和基本通道资格，冻结不依赖候选时间窗的meta-train、validation及内部留出名单；该步骤在W1完成，W3才物化相应缓存与episode。窗口和trial QC之后不换组、不从留出组补足训练人数。Stieger的反馈开始在cue后2秒。反馈终止取决于在线命中，长窗可能系统性排除较快完成的trial。先只在 Stieger meta-train参与者的原始时长元数据上检查：先算每人的长窗保留率再等权平均，达到80%，且每人左右类排除率差的绝对值再等权平均不超过10个百分点时采用长窗；否则采用短窗。80%和10个百分点是本研究预先规定的数据覆盖门槛，不是文献标准。短窗也不能满足时暂停整个主B20时序实验，包括G元训练和主确认，输出任务时长审计；不填充至看似足长、不用结果挑窗。内部留出及外部数据不能反向决定窗口。</w:t>
      </w:r>
    </w:p>
    <w:p>
      <w:r>
        <w:rPr>
          <w:rFonts w:ascii="Noto Sans CJK SC" w:hAnsi="Noto Sans CJK SC" w:eastAsia="Noto Sans CJK SC"/>
          <w:color w:val="000000"/>
        </w:rPr>
        <w:t>Wang必须先证明发布的 trialSignal 与 cue、反馈和padding的关系；不能默认数组第0点就是MI onset。HS优先使用原始数据中作者定义的9–13秒4秒MI段，其第0点作为明确的派生任务段起点；物理时间、顺序和单位仍须由schema审计支持。遇到数据不支持已冻结窗口，按统一无效规则记录，不能为该数据单独挑一个效果更好的窗口。</w:t>
      </w:r>
    </w:p>
    <w:p>
      <w:r>
        <w:rPr>
          <w:rFonts w:ascii="Noto Sans CJK SC" w:hAnsi="Noto Sans CJK SC" w:eastAsia="Noto Sans CJK SC"/>
          <w:color w:val="000000"/>
        </w:rPr>
        <w:t>保留cue相对窗口作为预先登记的敏感性分析，并检查主要增益在避开早期视觉提示后是否仍存在。改变主窗口必须发生在开发冻结之前，同时重建所有缓存、f0、Rref和G；旧基线包默认窗口不能因此被悄悄混用。[R16]</w:t>
      </w:r>
    </w:p>
    <w:p>
      <w:pPr>
        <w:pStyle w:val="Heading2"/>
      </w:pPr>
      <w:r>
        <w:t>5.3 试次身份和质量</w:t>
      </w:r>
    </w:p>
    <w:p>
      <w:r>
        <w:rPr>
          <w:rFonts w:ascii="Noto Sans CJK SC" w:hAnsi="Noto Sans CJK SC" w:eastAsia="Noto Sans CJK SC"/>
          <w:color w:val="000000"/>
        </w:rPr>
        <w:t>保存 dataset_version、participant_id、session_id、source_record_id、physical_run_id、original_trial_id、task、label_code、cue_time、task_time、context起止、采样率、通道、单位、原档哈希与处理哈希。不存在的物理run或绝对时间填null；作者loader的run_id若实际enumerate trial，不能伪造为run。</w:t>
      </w:r>
    </w:p>
    <w:p>
      <w:r>
        <w:rPr>
          <w:rFonts w:ascii="Noto Sans CJK SC" w:hAnsi="Noto Sans CJK SC" w:eastAsia="Noto Sans CJK SC"/>
          <w:color w:val="000000"/>
        </w:rPr>
        <w:t>同一trial的所有窗口归入同一分区。按原始trial和信号哈希检查跨split重复；不能依靠文件名不同就认定独立。只采用冻结的非有限数值、零能量、缺通道、时间不足和明确协议排除规则；不按被试最终准确率删人。</w:t>
      </w:r>
    </w:p>
    <w:p>
      <w:r>
        <w:rPr>
          <w:rFonts w:ascii="Noto Sans CJK SC" w:hAnsi="Noto Sans CJK SC" w:eastAsia="Noto Sans CJK SC"/>
          <w:color w:val="000000"/>
        </w:rPr>
        <w:t>校准前缀按原始采集序列形成。因时长或质量失效的校准trial仍消耗采集预算，不用后来的有效trial免费替补。查询统一使用所有方法共享的有效trial集合，并报告覆盖率和被排除trial数。</w:t>
      </w:r>
    </w:p>
    <w:p>
      <w:pPr>
        <w:pStyle w:val="Heading1"/>
      </w:pPr>
      <w:r>
        <w:t>6 源训练和元学习切分</w:t>
      </w:r>
    </w:p>
    <w:p>
      <w:pPr>
        <w:pStyle w:val="Heading2"/>
      </w:pPr>
      <w:r>
        <w:t>6.1 四source编码器</w:t>
      </w:r>
    </w:p>
    <w:p>
      <w:r>
        <w:rPr>
          <w:rFonts w:ascii="Noto Sans CJK SC" w:hAnsi="Noto Sans CJK SC" w:eastAsia="Noto Sans CJK SC"/>
          <w:color w:val="000000"/>
        </w:rPr>
        <w:t>四source的来源留出验证用于选择f0训练长度和基础训练参数，不是最终泛化测试。Cho的虚拟Raw可能按类别拼接，当前只用于源监督训练，不能据其sample顺序构造“先校准后查询”。PhysioNet只用左右手想象run，排除实际运动及双手对双脚任务；OpenBMI使用已核验的offline train_run标签。</w:t>
      </w:r>
    </w:p>
    <w:p>
      <w:r>
        <w:rPr>
          <w:rFonts w:ascii="Noto Sans CJK SC" w:hAnsi="Noto Sans CJK SC" w:eastAsia="Noto Sans CJK SC"/>
          <w:color w:val="000000"/>
        </w:rPr>
        <w:t>以一个完整pipeline种子绑定 f0初始化、source采样、G初始化和meta任务顺序。开发筛查用20261018，确认用20261018、20261019、20261020；最终外测预定扩展至20261021、20261022，共5条pipeline。校准采用确定性全批优化，不把一次目标拟合再无意义乘以5。</w:t>
      </w:r>
    </w:p>
    <w:p>
      <w:r>
        <w:rPr>
          <w:rFonts w:ascii="Noto Sans CJK SC" w:hAnsi="Noto Sans CJK SC" w:eastAsia="Noto Sans CJK SC"/>
          <w:color w:val="000000"/>
        </w:rPr>
        <w:t>旧v1的四fold×三种子EEGNet，加两类确定性基线，共20个LODO fit；另有5个全source fit。扩至5个神经pipeline种子后总数为35个源fit。若重定义了窗口，全部属于新输入版本的fit。保存不同来源人数和采样权重，不把更多数据的收益归因于新算法。</w:t>
      </w:r>
    </w:p>
    <w:p>
      <w:pPr>
        <w:pStyle w:val="Heading2"/>
      </w:pPr>
      <w:r>
        <w:t>6.2 Stieger元学习</w:t>
      </w:r>
    </w:p>
    <w:p>
      <w:r>
        <w:rPr>
          <w:rFonts w:ascii="Noto Sans CJK SC" w:hAnsi="Noto Sans CJK SC" w:eastAsia="Noto Sans CJK SC"/>
          <w:color w:val="000000"/>
        </w:rPr>
        <w:t>恢复tasknumber==1的LR任务及target1=右、target2=左。开发工具不能丢弃tasknumber而把2D中的左右目标混入纯LR。按参与者划分，尽可能按冥想/对照组分层；62个与候选时间窗无关的基础合格身份时固定40/11/11。具体ID由元数据、预定seed和稳定哈希生成后写入只读split文件，不能捏造ID或按模型表现分人。</w:t>
      </w:r>
    </w:p>
    <w:p>
      <w:r>
        <w:rPr>
          <w:rFonts w:ascii="Noto Sans CJK SC" w:hAnsi="Noto Sans CJK SC" w:eastAsia="Noto Sans CJK SC"/>
          <w:color w:val="000000"/>
        </w:rPr>
        <w:t>在选窗前基础身份就少于62个时，按约65%/17.5%/17.5%分配并记录实际整数，至少保留两个组的开发和验证身份；不能为凑40人放宽质量规则。外部队列和11人内部留出都不进入G优化或Rref。</w:t>
      </w:r>
    </w:p>
    <w:p>
      <w:r>
        <w:rPr>
          <w:rFonts w:ascii="Noto Sans CJK SC" w:hAnsi="Noto Sans CJK SC" w:eastAsia="Noto Sans CJK SC"/>
          <w:color w:val="000000"/>
        </w:rPr>
        <w:t>每个meta任务选择一个训练参与者的一次session，support取该session前20个按实际采集顺序的LR校准trial；query取之后的完整LR run或已验证连续trial块。G通过未来query损失学习，f0及其BatchNorm状态冻结。主meta训练预算固定20；不同校准预算的泛化在开发validation中评估，不能用外部query选择budget训练方式。</w:t>
      </w:r>
    </w:p>
    <w:p>
      <w:r>
        <w:rPr>
          <w:rFonts w:ascii="Noto Sans CJK SC" w:hAnsi="Noto Sans CJK SC" w:eastAsia="Noto Sans CJK SC"/>
          <w:color w:val="000000"/>
        </w:rPr>
        <w:t>元学习训练身份内部可反复使用query标签更新G，这是训练数据用途。validation用于固定超参数和停止点；内部留出只作一次开发后检查。即使internal结果不理想，也不能一边反复调参一边继续把它称为未见测试。</w:t>
      </w:r>
    </w:p>
    <w:p>
      <w:pPr>
        <w:pStyle w:val="Heading2"/>
      </w:pPr>
      <w:r>
        <w:t>6.3 主要算法</w:t>
      </w:r>
    </w:p>
    <w:p>
      <w:r>
        <w:rPr>
          <w:rFonts w:ascii="Noto Sans CJK SC" w:hAnsi="Noto Sans CJK SC" w:eastAsia="Noto Sans CJK SC"/>
          <w:color w:val="000000"/>
        </w:rPr>
        <w:t>将CAR后11通道映射至10维无公共参考坐标，并用仅由source训练数据估计的Rref白化。学习r个无迹且Frobenius正交的矩阵生成元。目标会话只学r个系数theta和分类头；空间变换是矩阵指数，系数二范数投影到半径rho的球内。</w:t>
      </w:r>
    </w:p>
    <w:p>
      <w:r>
        <w:rPr>
          <w:rFonts w:ascii="Noto Sans CJK SC" w:hAnsi="Noto Sans CJK SC" w:eastAsia="Noto Sans CJK SC"/>
          <w:color w:val="000000"/>
        </w:rPr>
        <w:t>这一结构允许旋转和非均匀增益变化，零系数精确恢复原模型输入。它给出白化空间的奇异值界与可逆性，不保证准确率不会下降。r是适应系数个数，exp(M)-I通常不是低秩矩阵；也不能把生成元字典称为已学到完整Lie子群。</w:t>
      </w:r>
    </w:p>
    <w:p>
      <w:r>
        <w:rPr>
          <w:rFonts w:ascii="Noto Sans CJK SC" w:hAnsi="Noto Sans CJK SC" w:eastAsia="Noto Sans CJK SC"/>
          <w:color w:val="000000"/>
        </w:rPr>
        <w:t>G的具体构造、梯度展开、内外层步数、初始化、半径和维度的开发搜索由 METHOD_SPEC.md 固定。所有对照采用一致的输入、support、query和数据权限；计算预算与调参预算分别记录。</w:t>
      </w:r>
    </w:p>
    <w:p>
      <w:pPr>
        <w:pStyle w:val="Heading1"/>
      </w:pPr>
      <w:r>
        <w:t>7 主实验的前缀和未来查询</w:t>
      </w:r>
    </w:p>
    <w:p>
      <w:r>
        <w:rPr>
          <w:rFonts w:ascii="Noto Sans CJK SC" w:hAnsi="Noto Sans CJK SC" w:eastAsia="Noto Sans CJK SC"/>
          <w:color w:val="000000"/>
        </w:rPr>
        <w:t>主预算B=20是20个实际经过的原始校准trial，不要求恰好10左10右。已知错误、质量失败和审计trial都计入预算。若前缀仅有一个类别或有效trial不足以拟合，按预设规则回退冻结模型并保留该session结果；不额外索取免费标签。</w:t>
      </w:r>
    </w:p>
    <w:p>
      <w:r>
        <w:rPr>
          <w:rFonts w:ascii="Noto Sans CJK SC" w:hAnsi="Noto Sans CJK SC" w:eastAsia="Noto Sans CJK SC"/>
          <w:color w:val="000000"/>
        </w:rPr>
        <w:t>对有真实run的数据，主query从包含第20个校准trial的run之后第一个完整合格LR run开始。第20个trial之后同run的尾段不供算法训练、标准化或评估；另记其数量及等待时间。没有物理run但有经过核验的采集trial顺序时，固定前20校准、之后的连续完整原trial块query。若只有session顺序且无法证明trial顺序，转为预先登记的“过去session校准、未来完整session查询”次级协议；不能随机切成主实验。</w:t>
      </w:r>
    </w:p>
    <w:p>
      <w:r>
        <w:rPr>
          <w:rFonts w:ascii="Noto Sans CJK SC" w:hAnsi="Noto Sans CJK SC" w:eastAsia="Noto Sans CJK SC"/>
          <w:color w:val="000000"/>
        </w:rPr>
        <w:t>每个episode的全部query合并后须至少有20个有效原trial、每类至少5个。该资格对全部方法相同，不足时记录不可评价；不临时缩短query或补窗。HS主统计先在每个参与者内部平均各合格session的BA，再跨参与者平均。每个session都从同一source f0重置，目标状态不跨session累积。这样回答反复遇到新session时的少校准问题。累计历史适应另立分支，只允许继承过去已付费support标签，不继承query标签。</w:t>
      </w:r>
    </w:p>
    <w:p>
      <w:r>
        <w:rPr>
          <w:rFonts w:ascii="Noto Sans CJK SC" w:hAnsi="Noto Sans CJK SC" w:eastAsia="Noto Sans CJK SC"/>
          <w:color w:val="000000"/>
        </w:rPr>
        <w:t>Wang优先用session1–2及其他明确LR run；run1前20用于校准，run2完整无触觉测试run为主要健康query。run6涉及中间真实人机训练，单列远query；不能把其差值归因于第三篇算法带来的人类学习。各原始干预组分别汇总，同时报告整体参与者均值。</w:t>
      </w:r>
    </w:p>
    <w:p>
      <w:r>
        <w:rPr>
          <w:rFonts w:ascii="Noto Sans CJK SC" w:hAnsi="Noto Sans CJK SC" w:eastAsia="Noto Sans CJK SC"/>
          <w:color w:val="000000"/>
        </w:rPr>
        <w:t>离线共同未来query设计用于公平比较预测，不等于实际减少患者等待时间。预算曲线需同时保存 accessible_labels、acquired_calibration_trials、unused_acquired_trials、audit_trials 和 elapsed_to_query；在固定同一未来query时，不能把隐藏了部分标签等同于这些trial没有被采集。</w:t>
      </w:r>
    </w:p>
    <w:p>
      <w:pPr>
        <w:pStyle w:val="Heading1"/>
      </w:pPr>
      <w:r>
        <w:t>8 对照与消融矩阵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792"/>
        <w:gridCol w:w="3816"/>
        <w:gridCol w:w="5184"/>
      </w:tblGrid>
      <w:tr>
        <w:trPr>
          <w:cantSplit/>
          <w:tblHeader/>
        </w:trPr>
        <w:tc>
          <w:tcPr>
            <w:tcW w:type="dxa" w:w="792"/>
            <w:vAlign w:val="center"/>
            <w:shd w:fill="DEE7EF"/>
          </w:tcPr>
          <w:p>
            <w:pPr>
              <w:keepNext/>
              <w:spacing w:line="269" w:lineRule="auto" w:after="40" w:before="40"/>
              <w:jc w:val="center"/>
            </w:pPr>
            <w:r>
              <w:rPr>
                <w:rFonts w:ascii="Noto Sans CJK SC" w:hAnsi="Noto Sans CJK SC" w:eastAsia="Noto Sans CJK SC"/>
                <w:b/>
                <w:color w:val="000000"/>
                <w:sz w:val="19"/>
              </w:rPr>
              <w:t>编号</w:t>
            </w:r>
          </w:p>
        </w:tc>
        <w:tc>
          <w:tcPr>
            <w:tcW w:type="dxa" w:w="3816"/>
            <w:vAlign w:val="center"/>
            <w:shd w:fill="DEE7EF"/>
          </w:tcPr>
          <w:p>
            <w:pPr>
              <w:keepNext/>
              <w:spacing w:line="269" w:lineRule="auto" w:after="40" w:before="40"/>
            </w:pPr>
            <w:r>
              <w:rPr>
                <w:rFonts w:ascii="Noto Sans CJK SC" w:hAnsi="Noto Sans CJK SC" w:eastAsia="Noto Sans CJK SC"/>
                <w:b/>
                <w:color w:val="000000"/>
                <w:sz w:val="19"/>
              </w:rPr>
              <w:t>方法</w:t>
            </w:r>
          </w:p>
        </w:tc>
        <w:tc>
          <w:tcPr>
            <w:tcW w:type="dxa" w:w="5184"/>
            <w:vAlign w:val="center"/>
            <w:shd w:fill="DEE7EF"/>
          </w:tcPr>
          <w:p>
            <w:pPr>
              <w:keepNext/>
              <w:spacing w:line="269" w:lineRule="auto" w:after="40" w:before="40"/>
            </w:pPr>
            <w:r>
              <w:rPr>
                <w:rFonts w:ascii="Noto Sans CJK SC" w:hAnsi="Noto Sans CJK SC" w:eastAsia="Noto Sans CJK SC"/>
                <w:b/>
                <w:color w:val="000000"/>
                <w:sz w:val="19"/>
              </w:rPr>
              <w:t>作用</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B0</w:t>
            </w:r>
          </w:p>
        </w:tc>
        <w:tc>
          <w:tcPr>
            <w:tcW w:type="dxa" w:w="3816"/>
            <w:vAlign w:val="center"/>
          </w:tcPr>
          <w:p>
            <w:pPr>
              <w:keepNext w:val="0"/>
              <w:spacing w:line="269" w:lineRule="auto" w:after="40" w:before="40"/>
            </w:pPr>
            <w:r>
              <w:rPr>
                <w:rFonts w:ascii="Noto Sans CJK SC" w:hAnsi="Noto Sans CJK SC" w:eastAsia="Noto Sans CJK SC"/>
                <w:color w:val="000000"/>
                <w:sz w:val="19"/>
              </w:rPr>
              <w:t>冻结source EEGNet</w:t>
            </w:r>
          </w:p>
        </w:tc>
        <w:tc>
          <w:tcPr>
            <w:tcW w:type="dxa" w:w="5184"/>
            <w:vAlign w:val="center"/>
          </w:tcPr>
          <w:p>
            <w:pPr>
              <w:keepNext w:val="0"/>
              <w:spacing w:line="269" w:lineRule="auto" w:after="40" w:before="40"/>
            </w:pPr>
            <w:r>
              <w:rPr>
                <w:rFonts w:ascii="Noto Sans CJK SC" w:hAnsi="Noto Sans CJK SC" w:eastAsia="Noto Sans CJK SC"/>
                <w:color w:val="000000"/>
                <w:sz w:val="19"/>
              </w:rPr>
              <w:t>测量净改进和错误转移的共同旧模型</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B1</w:t>
            </w:r>
          </w:p>
        </w:tc>
        <w:tc>
          <w:tcPr>
            <w:tcW w:type="dxa" w:w="3816"/>
            <w:vAlign w:val="center"/>
          </w:tcPr>
          <w:p>
            <w:pPr>
              <w:keepNext w:val="0"/>
              <w:spacing w:line="269" w:lineRule="auto" w:after="40" w:before="40"/>
            </w:pPr>
            <w:r>
              <w:rPr>
                <w:rFonts w:ascii="Noto Sans CJK SC" w:hAnsi="Noto Sans CJK SC" w:eastAsia="Noto Sans CJK SC"/>
                <w:color w:val="000000"/>
                <w:sz w:val="19"/>
              </w:rPr>
              <w:t>只更新分类头</w:t>
            </w:r>
          </w:p>
        </w:tc>
        <w:tc>
          <w:tcPr>
            <w:tcW w:type="dxa" w:w="5184"/>
            <w:vAlign w:val="center"/>
          </w:tcPr>
          <w:p>
            <w:pPr>
              <w:keepNext w:val="0"/>
              <w:spacing w:line="269" w:lineRule="auto" w:after="40" w:before="40"/>
            </w:pPr>
            <w:r>
              <w:rPr>
                <w:rFonts w:ascii="Noto Sans CJK SC" w:hAnsi="Noto Sans CJK SC" w:eastAsia="Noto Sans CJK SC"/>
                <w:color w:val="000000"/>
                <w:sz w:val="19"/>
              </w:rPr>
              <w:t>检验是否需要空间更新</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B2</w:t>
            </w:r>
          </w:p>
        </w:tc>
        <w:tc>
          <w:tcPr>
            <w:tcW w:type="dxa" w:w="3816"/>
            <w:vAlign w:val="center"/>
          </w:tcPr>
          <w:p>
            <w:pPr>
              <w:keepNext w:val="0"/>
              <w:spacing w:line="269" w:lineRule="auto" w:after="40" w:before="40"/>
            </w:pPr>
            <w:r>
              <w:rPr>
                <w:rFonts w:ascii="Noto Sans CJK SC" w:hAnsi="Noto Sans CJK SC" w:eastAsia="Noto Sans CJK SC"/>
                <w:color w:val="000000"/>
                <w:sz w:val="19"/>
              </w:rPr>
              <w:t>全EEGNet微调</w:t>
            </w:r>
          </w:p>
        </w:tc>
        <w:tc>
          <w:tcPr>
            <w:tcW w:type="dxa" w:w="5184"/>
            <w:vAlign w:val="center"/>
          </w:tcPr>
          <w:p>
            <w:pPr>
              <w:keepNext w:val="0"/>
              <w:spacing w:line="269" w:lineRule="auto" w:after="40" w:before="40"/>
            </w:pPr>
            <w:r>
              <w:rPr>
                <w:rFonts w:ascii="Noto Sans CJK SC" w:hAnsi="Noto Sans CJK SC" w:eastAsia="Noto Sans CJK SC"/>
                <w:color w:val="000000"/>
                <w:sz w:val="19"/>
              </w:rPr>
              <w:t>与自由更新比较</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B3</w:t>
            </w:r>
          </w:p>
        </w:tc>
        <w:tc>
          <w:tcPr>
            <w:tcW w:type="dxa" w:w="3816"/>
            <w:vAlign w:val="center"/>
          </w:tcPr>
          <w:p>
            <w:pPr>
              <w:keepNext w:val="0"/>
              <w:spacing w:line="269" w:lineRule="auto" w:after="40" w:before="40"/>
            </w:pPr>
            <w:r>
              <w:rPr>
                <w:rFonts w:ascii="Noto Sans CJK SC" w:hAnsi="Noto Sans CJK SC" w:eastAsia="Noto Sans CJK SC"/>
                <w:color w:val="000000"/>
                <w:sz w:val="19"/>
              </w:rPr>
              <w:t>support-only源协方差对齐加分类头</w:t>
            </w:r>
          </w:p>
        </w:tc>
        <w:tc>
          <w:tcPr>
            <w:tcW w:type="dxa" w:w="5184"/>
            <w:vAlign w:val="center"/>
          </w:tcPr>
          <w:p>
            <w:pPr>
              <w:keepNext w:val="0"/>
              <w:spacing w:line="269" w:lineRule="auto" w:after="40" w:before="40"/>
            </w:pPr>
            <w:r>
              <w:rPr>
                <w:rFonts w:ascii="Noto Sans CJK SC" w:hAnsi="Noto Sans CJK SC" w:eastAsia="Noto Sans CJK SC"/>
                <w:color w:val="000000"/>
                <w:sz w:val="19"/>
              </w:rPr>
              <w:t>检验协方差对齐即可解释的收益，具体矩阵明确标注</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B4</w:t>
            </w:r>
          </w:p>
        </w:tc>
        <w:tc>
          <w:tcPr>
            <w:tcW w:type="dxa" w:w="3816"/>
            <w:vAlign w:val="center"/>
          </w:tcPr>
          <w:p>
            <w:pPr>
              <w:keepNext w:val="0"/>
              <w:spacing w:line="269" w:lineRule="auto" w:after="40" w:before="40"/>
            </w:pPr>
            <w:r>
              <w:rPr>
                <w:rFonts w:ascii="Noto Sans CJK SC" w:hAnsi="Noto Sans CJK SC" w:eastAsia="Noto Sans CJK SC"/>
                <w:color w:val="000000"/>
                <w:sz w:val="19"/>
              </w:rPr>
              <w:t>CSP/LDA全重拟合及源先验收缩</w:t>
            </w:r>
          </w:p>
        </w:tc>
        <w:tc>
          <w:tcPr>
            <w:tcW w:type="dxa" w:w="5184"/>
            <w:vAlign w:val="center"/>
          </w:tcPr>
          <w:p>
            <w:pPr>
              <w:keepNext w:val="0"/>
              <w:spacing w:line="269" w:lineRule="auto" w:after="40" w:before="40"/>
            </w:pPr>
            <w:r>
              <w:rPr>
                <w:rFonts w:ascii="Noto Sans CJK SC" w:hAnsi="Noto Sans CJK SC" w:eastAsia="Noto Sans CJK SC"/>
                <w:color w:val="000000"/>
                <w:sz w:val="19"/>
              </w:rPr>
              <w:t>延续论文2并提供强小数据基线</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B5</w:t>
            </w:r>
          </w:p>
        </w:tc>
        <w:tc>
          <w:tcPr>
            <w:tcW w:type="dxa" w:w="3816"/>
            <w:vAlign w:val="center"/>
          </w:tcPr>
          <w:p>
            <w:pPr>
              <w:keepNext w:val="0"/>
              <w:spacing w:line="269" w:lineRule="auto" w:after="40" w:before="40"/>
            </w:pPr>
            <w:r>
              <w:rPr>
                <w:rFonts w:ascii="Noto Sans CJK SC" w:hAnsi="Noto Sans CJK SC" w:eastAsia="Noto Sans CJK SC"/>
                <w:color w:val="000000"/>
                <w:sz w:val="19"/>
              </w:rPr>
              <w:t>切空间分类器的目标校准</w:t>
            </w:r>
          </w:p>
        </w:tc>
        <w:tc>
          <w:tcPr>
            <w:tcW w:type="dxa" w:w="5184"/>
            <w:vAlign w:val="center"/>
          </w:tcPr>
          <w:p>
            <w:pPr>
              <w:keepNext w:val="0"/>
              <w:spacing w:line="269" w:lineRule="auto" w:after="40" w:before="40"/>
            </w:pPr>
            <w:r>
              <w:rPr>
                <w:rFonts w:ascii="Noto Sans CJK SC" w:hAnsi="Noto Sans CJK SC" w:eastAsia="Noto Sans CJK SC"/>
                <w:color w:val="000000"/>
                <w:sz w:val="19"/>
              </w:rPr>
              <w:t>强传统几何对照</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B6</w:t>
            </w:r>
          </w:p>
        </w:tc>
        <w:tc>
          <w:tcPr>
            <w:tcW w:type="dxa" w:w="3816"/>
            <w:vAlign w:val="center"/>
          </w:tcPr>
          <w:p>
            <w:pPr>
              <w:keepNext w:val="0"/>
              <w:spacing w:line="269" w:lineRule="auto" w:after="40" w:before="40"/>
            </w:pPr>
            <w:r>
              <w:rPr>
                <w:rFonts w:ascii="Noto Sans CJK SC" w:hAnsi="Noto Sans CJK SC" w:eastAsia="Noto Sans CJK SC"/>
                <w:color w:val="000000"/>
                <w:sz w:val="19"/>
              </w:rPr>
              <w:t>自由空间LoRA加分类头</w:t>
            </w:r>
          </w:p>
        </w:tc>
        <w:tc>
          <w:tcPr>
            <w:tcW w:type="dxa" w:w="5184"/>
            <w:vAlign w:val="center"/>
          </w:tcPr>
          <w:p>
            <w:pPr>
              <w:keepNext w:val="0"/>
              <w:spacing w:line="269" w:lineRule="auto" w:after="40" w:before="40"/>
            </w:pPr>
            <w:r>
              <w:rPr>
                <w:rFonts w:ascii="Noto Sans CJK SC" w:hAnsi="Noto Sans CJK SC" w:eastAsia="Noto Sans CJK SC"/>
                <w:color w:val="000000"/>
                <w:sz w:val="19"/>
              </w:rPr>
              <w:t>普通参数高效适应对照，报告真实参数数</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B7</w:t>
            </w:r>
          </w:p>
        </w:tc>
        <w:tc>
          <w:tcPr>
            <w:tcW w:type="dxa" w:w="3816"/>
            <w:vAlign w:val="center"/>
          </w:tcPr>
          <w:p>
            <w:pPr>
              <w:keepNext w:val="0"/>
              <w:spacing w:line="269" w:lineRule="auto" w:after="40" w:before="40"/>
            </w:pPr>
            <w:r>
              <w:rPr>
                <w:rFonts w:ascii="Noto Sans CJK SC" w:hAnsi="Noto Sans CJK SC" w:eastAsia="Noto Sans CJK SC"/>
                <w:color w:val="000000"/>
                <w:sz w:val="19"/>
              </w:rPr>
              <w:t>LoRA加既有PCT正则</w:t>
            </w:r>
          </w:p>
        </w:tc>
        <w:tc>
          <w:tcPr>
            <w:tcW w:type="dxa" w:w="5184"/>
            <w:vAlign w:val="center"/>
          </w:tcPr>
          <w:p>
            <w:pPr>
              <w:keepNext w:val="0"/>
              <w:spacing w:line="269" w:lineRule="auto" w:after="40" w:before="40"/>
            </w:pPr>
            <w:r>
              <w:rPr>
                <w:rFonts w:ascii="Noto Sans CJK SC" w:hAnsi="Noto Sans CJK SC" w:eastAsia="Noto Sans CJK SC"/>
                <w:color w:val="000000"/>
                <w:sz w:val="19"/>
              </w:rPr>
              <w:t>避免将已知减少negative flip的收益写成新贡献</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B8</w:t>
            </w:r>
          </w:p>
        </w:tc>
        <w:tc>
          <w:tcPr>
            <w:tcW w:type="dxa" w:w="3816"/>
            <w:vAlign w:val="center"/>
          </w:tcPr>
          <w:p>
            <w:pPr>
              <w:keepNext w:val="0"/>
              <w:spacing w:line="269" w:lineRule="auto" w:after="40" w:before="40"/>
            </w:pPr>
            <w:r>
              <w:rPr>
                <w:rFonts w:ascii="Noto Sans CJK SC" w:hAnsi="Noto Sans CJK SC" w:eastAsia="Noto Sans CJK SC"/>
                <w:color w:val="000000"/>
                <w:sz w:val="19"/>
              </w:rPr>
              <w:t>同G维度、同元学习的加性空间变换</w:t>
            </w:r>
          </w:p>
        </w:tc>
        <w:tc>
          <w:tcPr>
            <w:tcW w:type="dxa" w:w="5184"/>
            <w:vAlign w:val="center"/>
          </w:tcPr>
          <w:p>
            <w:pPr>
              <w:keepNext w:val="0"/>
              <w:spacing w:line="269" w:lineRule="auto" w:after="40" w:before="40"/>
            </w:pPr>
            <w:r>
              <w:rPr>
                <w:rFonts w:ascii="Noto Sans CJK SC" w:hAnsi="Noto Sans CJK SC" w:eastAsia="Noto Sans CJK SC"/>
                <w:color w:val="000000"/>
                <w:sz w:val="19"/>
              </w:rPr>
              <w:t>最接近的结构对照；检验矩阵指数的增量</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B9</w:t>
            </w:r>
          </w:p>
        </w:tc>
        <w:tc>
          <w:tcPr>
            <w:tcW w:type="dxa" w:w="3816"/>
            <w:vAlign w:val="center"/>
          </w:tcPr>
          <w:p>
            <w:pPr>
              <w:keepNext w:val="0"/>
              <w:spacing w:line="269" w:lineRule="auto" w:after="40" w:before="40"/>
            </w:pPr>
            <w:r>
              <w:rPr>
                <w:rFonts w:ascii="Noto Sans CJK SC" w:hAnsi="Noto Sans CJK SC" w:eastAsia="Noto Sans CJK SC"/>
                <w:color w:val="000000"/>
                <w:sz w:val="19"/>
              </w:rPr>
              <w:t>同r随机固定生成元</w:t>
            </w:r>
          </w:p>
        </w:tc>
        <w:tc>
          <w:tcPr>
            <w:tcW w:type="dxa" w:w="5184"/>
            <w:vAlign w:val="center"/>
          </w:tcPr>
          <w:p>
            <w:pPr>
              <w:keepNext w:val="0"/>
              <w:spacing w:line="269" w:lineRule="auto" w:after="40" w:before="40"/>
            </w:pPr>
            <w:r>
              <w:rPr>
                <w:rFonts w:ascii="Noto Sans CJK SC" w:hAnsi="Noto Sans CJK SC" w:eastAsia="Noto Sans CJK SC"/>
                <w:color w:val="000000"/>
                <w:sz w:val="19"/>
              </w:rPr>
              <w:t>精确匹配目标系数数量，检验学到方向的价值</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B10</w:t>
            </w:r>
          </w:p>
        </w:tc>
        <w:tc>
          <w:tcPr>
            <w:tcW w:type="dxa" w:w="3816"/>
            <w:vAlign w:val="center"/>
          </w:tcPr>
          <w:p>
            <w:pPr>
              <w:keepNext w:val="0"/>
              <w:spacing w:line="269" w:lineRule="auto" w:after="40" w:before="40"/>
            </w:pPr>
            <w:r>
              <w:rPr>
                <w:rFonts w:ascii="Noto Sans CJK SC" w:hAnsi="Noto Sans CJK SC" w:eastAsia="Noto Sans CJK SC"/>
                <w:color w:val="000000"/>
                <w:sz w:val="19"/>
              </w:rPr>
              <w:t>相同双层训练的Meta-LoRA</w:t>
            </w:r>
          </w:p>
        </w:tc>
        <w:tc>
          <w:tcPr>
            <w:tcW w:type="dxa" w:w="5184"/>
            <w:vAlign w:val="center"/>
          </w:tcPr>
          <w:p>
            <w:pPr>
              <w:keepNext w:val="0"/>
              <w:spacing w:line="269" w:lineRule="auto" w:after="40" w:before="40"/>
            </w:pPr>
            <w:r>
              <w:rPr>
                <w:rFonts w:ascii="Noto Sans CJK SC" w:hAnsi="Noto Sans CJK SC" w:eastAsia="Noto Sans CJK SC"/>
                <w:color w:val="000000"/>
                <w:sz w:val="19"/>
              </w:rPr>
              <w:t>控制额外纵向元训练的价值</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B11</w:t>
            </w:r>
          </w:p>
        </w:tc>
        <w:tc>
          <w:tcPr>
            <w:tcW w:type="dxa" w:w="3816"/>
            <w:vAlign w:val="center"/>
          </w:tcPr>
          <w:p>
            <w:pPr>
              <w:keepNext w:val="0"/>
              <w:spacing w:line="269" w:lineRule="auto" w:after="40" w:before="40"/>
            </w:pPr>
            <w:r>
              <w:rPr>
                <w:rFonts w:ascii="Noto Sans CJK SC" w:hAnsi="Noto Sans CJK SC" w:eastAsia="Noto Sans CJK SC"/>
                <w:color w:val="000000"/>
                <w:sz w:val="19"/>
              </w:rPr>
              <w:t>Meta-LoRA加PCT</w:t>
            </w:r>
          </w:p>
        </w:tc>
        <w:tc>
          <w:tcPr>
            <w:tcW w:type="dxa" w:w="5184"/>
            <w:vAlign w:val="center"/>
          </w:tcPr>
          <w:p>
            <w:pPr>
              <w:keepNext w:val="0"/>
              <w:spacing w:line="269" w:lineRule="auto" w:after="40" w:before="40"/>
            </w:pPr>
            <w:r>
              <w:rPr>
                <w:rFonts w:ascii="Noto Sans CJK SC" w:hAnsi="Noto Sans CJK SC" w:eastAsia="Noto Sans CJK SC"/>
                <w:color w:val="000000"/>
                <w:sz w:val="19"/>
              </w:rPr>
              <w:t>强组合对照，避免只给新方法额外训练或正则</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P</w:t>
            </w:r>
          </w:p>
        </w:tc>
        <w:tc>
          <w:tcPr>
            <w:tcW w:type="dxa" w:w="3816"/>
            <w:vAlign w:val="center"/>
          </w:tcPr>
          <w:p>
            <w:pPr>
              <w:keepNext w:val="0"/>
              <w:spacing w:line="269" w:lineRule="auto" w:after="40" w:before="40"/>
            </w:pPr>
            <w:r>
              <w:rPr>
                <w:rFonts w:ascii="Noto Sans CJK SC" w:hAnsi="Noto Sans CJK SC" w:eastAsia="Noto Sans CJK SC"/>
                <w:color w:val="000000"/>
                <w:sz w:val="19"/>
              </w:rPr>
              <w:t>所提元学习受限空间更新</w:t>
            </w:r>
          </w:p>
        </w:tc>
        <w:tc>
          <w:tcPr>
            <w:tcW w:type="dxa" w:w="5184"/>
            <w:vAlign w:val="center"/>
          </w:tcPr>
          <w:p>
            <w:pPr>
              <w:keepNext w:val="0"/>
              <w:spacing w:line="269" w:lineRule="auto" w:after="40" w:before="40"/>
            </w:pPr>
            <w:r>
              <w:rPr>
                <w:rFonts w:ascii="Noto Sans CJK SC" w:hAnsi="Noto Sans CJK SC" w:eastAsia="Noto Sans CJK SC"/>
                <w:color w:val="000000"/>
                <w:sz w:val="19"/>
              </w:rPr>
              <w:t>主要候选</w:t>
            </w:r>
          </w:p>
        </w:tc>
      </w:tr>
    </w:tbl>
    <w:p>
      <w:pPr>
        <w:spacing w:after="40" w:before="0" w:line="96" w:lineRule="auto"/>
      </w:pPr>
      <w:r>
        <w:rPr>
          <w:rFonts w:ascii="Noto Sans CJK SC" w:hAnsi="Noto Sans CJK SC" w:eastAsia="Noto Sans CJK SC"/>
          <w:color w:val="000000"/>
          <w:sz w:val="4"/>
        </w:rPr>
      </w:r>
    </w:p>
    <w:p>
      <w:r>
        <w:rPr>
          <w:rFonts w:ascii="Noto Sans CJK SC" w:hAnsi="Noto Sans CJK SC" w:eastAsia="Noto Sans CJK SC"/>
          <w:color w:val="000000"/>
        </w:rPr>
        <w:t>另做去掉白化、去掉幅度约束、只保留对称变化、只保留旋转、r变化、P加/不加PCT。以固定元数据顺序从Stieger meta-train40人形成嵌套10/20/40人，用相同1000次outer更新和冻结配置学习G，专门检验增加独立参与者的价值；validation保持不变，实际人数与接触trial分别记录。消融先在开发数据筛查，密封前登记需要做的最终消融；不要为每个组合进行无上限搜索。</w:t>
      </w:r>
    </w:p>
    <w:p>
      <w:r>
        <w:rPr>
          <w:rFonts w:ascii="Noto Sans CJK SC" w:hAnsi="Noto Sans CJK SC" w:eastAsia="Noto Sans CJK SC"/>
          <w:color w:val="000000"/>
        </w:rPr>
        <w:t>B6的LoRA rank与P的系数r不是相同概念，也通常不是相同参数数。既报告同训练更新预算，也报告实际参数数、峰值显存、拟合和推断时间。若要称参数匹配，必须给出实际计数；B8、B9是主要精确系数匹配对照。</w:t>
      </w:r>
    </w:p>
    <w:p>
      <w:r>
        <w:rPr>
          <w:rFonts w:ascii="Noto Sans CJK SC" w:hAnsi="Noto Sans CJK SC" w:eastAsia="Noto Sans CJK SC"/>
          <w:color w:val="000000"/>
        </w:rPr>
        <w:t>对每个对照给相同的开发调参上限，最多9个预登记配置，先单seed筛查再以3seed确认；不能只充分调新方法。最强实用适应对照B*从B1至B11中，用3条确认pipeline在Stieger validation的20trial参与者均值选择。先形成距最高均值不超过0.5个百分点的候选集合，再按同一设备、同一计时协议下校准耗时中位数选择最快者，仍并列则取编号较小者。B0冻结参照单独报告；即便P胜过B*，若明显差于B0也不能称实用改善。B*的ID、配置和选择记录在开外测之前冻结，不由HS或Wang表现决定。</w:t>
      </w:r>
    </w:p>
    <w:p>
      <w:pPr>
        <w:pStyle w:val="Heading1"/>
      </w:pPr>
      <w:r>
        <w:t>9 次级实验</w:t>
      </w:r>
    </w:p>
    <w:p>
      <w:r>
        <w:rPr>
          <w:rFonts w:ascii="Noto Sans CJK SC" w:hAnsi="Noto Sans CJK SC" w:eastAsia="Noto Sans CJK SC"/>
          <w:color w:val="000000"/>
        </w:rPr>
        <w:t>固定预算曲线使用B=0、4、8、12、16、20，在同一个20trial预留块后的query上比较；所有方法共享原始前缀。曲线衡量有限标签访问下的预测表现；另报告实际经过试次数，避免虚报患者时间节省。40/80trial仅在有足够完整未来query的数据上另行预定，不与20trial主效应合并。</w:t>
      </w:r>
    </w:p>
    <w:p>
      <w:r>
        <w:rPr>
          <w:rFonts w:ascii="Noto Sans CJK SC" w:hAnsi="Noto Sans CJK SC" w:eastAsia="Noto Sans CJK SC"/>
          <w:color w:val="000000"/>
        </w:rPr>
        <w:t>序贯实验先用前4个trial拟合候选，再在下一批完整4个trial先保存预测、后揭示标签。首次有独立审计是第8个trial。接受、继续采集或回退规则只用开发集设定；缺类别或证据不足时继续或冻结。被审计模型必须保持参数和BN缓冲不变。</w:t>
      </w:r>
    </w:p>
    <w:p>
      <w:r>
        <w:rPr>
          <w:rFonts w:ascii="Noto Sans CJK SC" w:hAnsi="Noto Sans CJK SC" w:eastAsia="Noto Sans CJK SC"/>
          <w:color w:val="000000"/>
        </w:rPr>
        <w:t>候选重新拟合后产生新的candidate_id，需新的未来审计，不能复用旧候选的审计证明新模型有效。所有审计标签计费。最终部署的是实际通过审计的checkpoint；停止后拿全部已付费标签重训是另一个预登记分支。主结果不依赖序贯门控成功，也不宣称几个标签能给任意漂移下的分布无关安全保证。</w:t>
      </w:r>
    </w:p>
    <w:p>
      <w:r>
        <w:rPr>
          <w:rFonts w:ascii="Noto Sans CJK SC" w:hAnsi="Noto Sans CJK SC" w:eastAsia="Noto Sans CJK SC"/>
          <w:color w:val="000000"/>
        </w:rPr>
        <w:t>基础模型扩展先选MIRepNet；通道、窗口、预训练接触史和绝对幅值单位合同通过后，才加CBraMod或REVE。原权重保留官方输入和推荐设置的结果，与统一受控输入的结果分别标明。不能同时改变通道、频带、source数据与更新规则后把差异归给新算法。</w:t>
      </w:r>
    </w:p>
    <w:p>
      <w:r>
        <w:rPr>
          <w:rFonts w:ascii="Noto Sans CJK SC" w:hAnsi="Noto Sans CJK SC" w:eastAsia="Noto Sans CJK SC"/>
          <w:color w:val="000000"/>
        </w:rPr>
        <w:t>BTTA-DG按作者可实现的在线信息顺序独立比较。它的无标签query使用权与本主实验不同，列在单独表；整批目标数据的transductive方法也不能混称严格未来预测。Finger、PROTEUS等改变类别语义的实验只承担任务迁移扩展。</w:t>
      </w:r>
    </w:p>
    <w:p>
      <w:pPr>
        <w:pStyle w:val="Heading1"/>
      </w:pPr>
      <w:r>
        <w:t>10 统计分析</w:t>
      </w:r>
    </w:p>
    <w:p>
      <w:r>
        <w:rPr>
          <w:rFonts w:ascii="Noto Sans CJK SC" w:hAnsi="Noto Sans CJK SC" w:eastAsia="Noto Sans CJK SC"/>
          <w:color w:val="000000"/>
        </w:rPr>
        <w:t>主要指标为trial级balanced accuracy，等于左右类recall的平均。一个trial有多个窗口时先按预先固定规则平均窗口概率，再产生一次trial预测；不把窗口当独立样本。</w:t>
      </w:r>
    </w:p>
    <w:p>
      <w:r>
        <w:rPr>
          <w:rFonts w:ascii="Noto Sans CJK SC" w:hAnsi="Noto Sans CJK SC" w:eastAsia="Noto Sans CJK SC"/>
          <w:color w:val="000000"/>
        </w:rPr>
        <w:t>每个pipeline seed中先算参与者每session的BA，再平均其session；之后平均5个pipeline seed，得到每人每方法一个数。HS中P减B*的14个或实际合格人数个配对差值构成主分析。不要将278个session、23382个trial或93528个窗口当作独立临床样本数。</w:t>
      </w:r>
    </w:p>
    <w:p>
      <w:r>
        <w:rPr>
          <w:rFonts w:ascii="Noto Sans CJK SC" w:hAnsi="Noto Sans CJK SC" w:eastAsia="Noto Sans CJK SC"/>
          <w:color w:val="000000"/>
        </w:rPr>
        <w:t>报告配对均值差、全部参与者差值和以参与者为重采样单位的95% percentile bootstrap区间，20000次、seed20261018；抽中一个参与者时保留其全部session和seed结构。小样本区间可能不稳定，应同时展示所有个体值。若报告配对符号翻转检验，明确其方法可交换/差值对称的零假设，最多枚举2^n或固定蒙特卡洛数；不将它描述为随机临床试验。</w:t>
      </w:r>
    </w:p>
    <w:p>
      <w:r>
        <w:rPr>
          <w:rFonts w:ascii="Noto Sans CJK SC" w:hAnsi="Noto Sans CJK SC" w:eastAsia="Noto Sans CJK SC"/>
          <w:color w:val="000000"/>
        </w:rPr>
        <w:t>H1只对应HS的P对B*。Wang作为独立复现，不在两个队列中选择较显著者改称主结果。其他方法、预算、类别recall、新增错误率、下尾表现均为次级；需要正式p值时预定义同一检验族并用Holm校正。可以不为每一幅机制图添加p值。</w:t>
      </w:r>
    </w:p>
    <w:p>
      <w:r>
        <w:rPr>
          <w:rFonts w:ascii="Noto Sans CJK SC" w:hAnsi="Noto Sans CJK SC" w:eastAsia="Noto Sans CJK SC"/>
          <w:color w:val="000000"/>
        </w:rPr>
        <w:t>错误转移必须使用共同分母。对每一类别，以该类全部query trial为分母，计算“冻结错、候选对”和“冻结对、候选错”；两类平均的前者减后者才等于相对冻结的BA变化。条件在旧错误或旧正确上的比率可另报，但不能直接相减得到BA。P与B*的差异另做配对比较。</w:t>
      </w:r>
    </w:p>
    <w:p>
      <w:r>
        <w:rPr>
          <w:rFonts w:ascii="Noto Sans CJK SC" w:hAnsi="Noto Sans CJK SC" w:eastAsia="Noto Sans CJK SC"/>
          <w:color w:val="000000"/>
        </w:rPr>
        <w:t>额外报告更新后下降的参与者比例、BA下降超过5个百分点者、实际theta范数、白化空间条件数、校准耗时和峰值显存。5个百分点是描述用预定阈值，不代表临床最小有效差异。不能从离线解码改善推出康复疗效。</w:t>
      </w:r>
    </w:p>
    <w:p>
      <w:pPr>
        <w:pStyle w:val="Heading1"/>
      </w:pPr>
      <w:r>
        <w:t>11 机制验证与论文图表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1296"/>
        <w:gridCol w:w="4104"/>
        <w:gridCol w:w="4392"/>
      </w:tblGrid>
      <w:tr>
        <w:trPr>
          <w:cantSplit/>
          <w:tblHeader/>
        </w:trPr>
        <w:tc>
          <w:tcPr>
            <w:tcW w:type="dxa" w:w="1296"/>
            <w:vAlign w:val="center"/>
            <w:shd w:fill="DEE7EF"/>
          </w:tcPr>
          <w:p>
            <w:pPr>
              <w:keepNext/>
              <w:spacing w:line="269" w:lineRule="auto" w:after="40" w:before="40"/>
              <w:jc w:val="center"/>
            </w:pPr>
            <w:r>
              <w:rPr>
                <w:rFonts w:ascii="Noto Sans CJK SC" w:hAnsi="Noto Sans CJK SC" w:eastAsia="Noto Sans CJK SC"/>
                <w:b/>
                <w:color w:val="000000"/>
                <w:sz w:val="19"/>
              </w:rPr>
              <w:t>图表</w:t>
            </w:r>
          </w:p>
        </w:tc>
        <w:tc>
          <w:tcPr>
            <w:tcW w:type="dxa" w:w="4104"/>
            <w:vAlign w:val="center"/>
            <w:shd w:fill="DEE7EF"/>
          </w:tcPr>
          <w:p>
            <w:pPr>
              <w:keepNext/>
              <w:spacing w:line="269" w:lineRule="auto" w:after="40" w:before="40"/>
            </w:pPr>
            <w:r>
              <w:rPr>
                <w:rFonts w:ascii="Noto Sans CJK SC" w:hAnsi="Noto Sans CJK SC" w:eastAsia="Noto Sans CJK SC"/>
                <w:b/>
                <w:color w:val="000000"/>
                <w:sz w:val="19"/>
              </w:rPr>
              <w:t>要回答的问题</w:t>
            </w:r>
          </w:p>
        </w:tc>
        <w:tc>
          <w:tcPr>
            <w:tcW w:type="dxa" w:w="4392"/>
            <w:vAlign w:val="center"/>
            <w:shd w:fill="DEE7EF"/>
          </w:tcPr>
          <w:p>
            <w:pPr>
              <w:keepNext/>
              <w:spacing w:line="269" w:lineRule="auto" w:after="40" w:before="40"/>
            </w:pPr>
            <w:r>
              <w:rPr>
                <w:rFonts w:ascii="Noto Sans CJK SC" w:hAnsi="Noto Sans CJK SC" w:eastAsia="Noto Sans CJK SC"/>
                <w:b/>
                <w:color w:val="000000"/>
                <w:sz w:val="19"/>
              </w:rPr>
              <w:t>从何种已保存产物生成</w:t>
            </w:r>
          </w:p>
        </w:tc>
      </w:tr>
      <w:tr>
        <w:trPr>
          <w:cantSplit/>
        </w:trPr>
        <w:tc>
          <w:tcPr>
            <w:tcW w:type="dxa" w:w="1296"/>
            <w:vAlign w:val="center"/>
          </w:tcPr>
          <w:p>
            <w:pPr>
              <w:keepNext w:val="0"/>
              <w:spacing w:line="269" w:lineRule="auto" w:after="40" w:before="40"/>
              <w:jc w:val="center"/>
            </w:pPr>
            <w:r>
              <w:rPr>
                <w:rFonts w:ascii="Noto Sans CJK SC" w:hAnsi="Noto Sans CJK SC" w:eastAsia="Noto Sans CJK SC"/>
                <w:color w:val="000000"/>
                <w:sz w:val="19"/>
              </w:rPr>
              <w:t>图1</w:t>
            </w:r>
          </w:p>
        </w:tc>
        <w:tc>
          <w:tcPr>
            <w:tcW w:type="dxa" w:w="4104"/>
            <w:vAlign w:val="center"/>
          </w:tcPr>
          <w:p>
            <w:pPr>
              <w:keepNext w:val="0"/>
              <w:spacing w:line="269" w:lineRule="auto" w:after="40" w:before="40"/>
            </w:pPr>
            <w:r>
              <w:rPr>
                <w:rFonts w:ascii="Noto Sans CJK SC" w:hAnsi="Noto Sans CJK SC" w:eastAsia="Noto Sans CJK SC"/>
                <w:color w:val="000000"/>
                <w:sz w:val="19"/>
              </w:rPr>
              <w:t>新算法在何处适应，训练与外测如何隔离</w:t>
            </w:r>
          </w:p>
        </w:tc>
        <w:tc>
          <w:tcPr>
            <w:tcW w:type="dxa" w:w="4392"/>
            <w:vAlign w:val="center"/>
          </w:tcPr>
          <w:p>
            <w:pPr>
              <w:keepNext w:val="0"/>
              <w:spacing w:line="269" w:lineRule="auto" w:after="40" w:before="40"/>
            </w:pPr>
            <w:r>
              <w:rPr>
                <w:rFonts w:ascii="Noto Sans CJK SC" w:hAnsi="Noto Sans CJK SC" w:eastAsia="Noto Sans CJK SC"/>
                <w:color w:val="000000"/>
                <w:sz w:val="19"/>
              </w:rPr>
              <w:t>协议、split、模型结构和参数计数</w:t>
            </w:r>
          </w:p>
        </w:tc>
      </w:tr>
      <w:tr>
        <w:trPr>
          <w:cantSplit/>
        </w:trPr>
        <w:tc>
          <w:tcPr>
            <w:tcW w:type="dxa" w:w="1296"/>
            <w:vAlign w:val="center"/>
          </w:tcPr>
          <w:p>
            <w:pPr>
              <w:keepNext w:val="0"/>
              <w:spacing w:line="269" w:lineRule="auto" w:after="40" w:before="40"/>
              <w:jc w:val="center"/>
            </w:pPr>
            <w:r>
              <w:rPr>
                <w:rFonts w:ascii="Noto Sans CJK SC" w:hAnsi="Noto Sans CJK SC" w:eastAsia="Noto Sans CJK SC"/>
                <w:color w:val="000000"/>
                <w:sz w:val="19"/>
              </w:rPr>
              <w:t>图2</w:t>
            </w:r>
          </w:p>
        </w:tc>
        <w:tc>
          <w:tcPr>
            <w:tcW w:type="dxa" w:w="4104"/>
            <w:vAlign w:val="center"/>
          </w:tcPr>
          <w:p>
            <w:pPr>
              <w:keepNext w:val="0"/>
              <w:spacing w:line="269" w:lineRule="auto" w:after="40" w:before="40"/>
            </w:pPr>
            <w:r>
              <w:rPr>
                <w:rFonts w:ascii="Noto Sans CJK SC" w:hAnsi="Noto Sans CJK SC" w:eastAsia="Noto Sans CJK SC"/>
                <w:color w:val="000000"/>
                <w:sz w:val="19"/>
              </w:rPr>
              <w:t>20trial下是否优于强对照，个体是否一致</w:t>
            </w:r>
          </w:p>
        </w:tc>
        <w:tc>
          <w:tcPr>
            <w:tcW w:type="dxa" w:w="4392"/>
            <w:vAlign w:val="center"/>
          </w:tcPr>
          <w:p>
            <w:pPr>
              <w:keepNext w:val="0"/>
              <w:spacing w:line="269" w:lineRule="auto" w:after="40" w:before="40"/>
            </w:pPr>
            <w:r>
              <w:rPr>
                <w:rFonts w:ascii="Noto Sans CJK SC" w:hAnsi="Noto Sans CJK SC" w:eastAsia="Noto Sans CJK SC"/>
                <w:color w:val="000000"/>
                <w:sz w:val="19"/>
              </w:rPr>
              <w:t>逐trial预测、参与者聚合、配对区间</w:t>
            </w:r>
          </w:p>
        </w:tc>
      </w:tr>
      <w:tr>
        <w:trPr>
          <w:cantSplit/>
        </w:trPr>
        <w:tc>
          <w:tcPr>
            <w:tcW w:type="dxa" w:w="1296"/>
            <w:vAlign w:val="center"/>
          </w:tcPr>
          <w:p>
            <w:pPr>
              <w:keepNext w:val="0"/>
              <w:spacing w:line="269" w:lineRule="auto" w:after="40" w:before="40"/>
              <w:jc w:val="center"/>
            </w:pPr>
            <w:r>
              <w:rPr>
                <w:rFonts w:ascii="Noto Sans CJK SC" w:hAnsi="Noto Sans CJK SC" w:eastAsia="Noto Sans CJK SC"/>
                <w:color w:val="000000"/>
                <w:sz w:val="19"/>
              </w:rPr>
              <w:t>图3</w:t>
            </w:r>
          </w:p>
        </w:tc>
        <w:tc>
          <w:tcPr>
            <w:tcW w:type="dxa" w:w="4104"/>
            <w:vAlign w:val="center"/>
          </w:tcPr>
          <w:p>
            <w:pPr>
              <w:keepNext w:val="0"/>
              <w:spacing w:line="269" w:lineRule="auto" w:after="40" w:before="40"/>
            </w:pPr>
            <w:r>
              <w:rPr>
                <w:rFonts w:ascii="Noto Sans CJK SC" w:hAnsi="Noto Sans CJK SC" w:eastAsia="Noto Sans CJK SC"/>
                <w:color w:val="000000"/>
                <w:sz w:val="19"/>
              </w:rPr>
              <w:t>用4–20trial时性能怎样变化</w:t>
            </w:r>
          </w:p>
        </w:tc>
        <w:tc>
          <w:tcPr>
            <w:tcW w:type="dxa" w:w="4392"/>
            <w:vAlign w:val="center"/>
          </w:tcPr>
          <w:p>
            <w:pPr>
              <w:keepNext w:val="0"/>
              <w:spacing w:line="269" w:lineRule="auto" w:after="40" w:before="40"/>
            </w:pPr>
            <w:r>
              <w:rPr>
                <w:rFonts w:ascii="Noto Sans CJK SC" w:hAnsi="Noto Sans CJK SC" w:eastAsia="Noto Sans CJK SC"/>
                <w:color w:val="000000"/>
                <w:sz w:val="19"/>
              </w:rPr>
              <w:t>相同未来query的预算轨迹</w:t>
            </w:r>
          </w:p>
        </w:tc>
      </w:tr>
      <w:tr>
        <w:trPr>
          <w:cantSplit/>
        </w:trPr>
        <w:tc>
          <w:tcPr>
            <w:tcW w:type="dxa" w:w="1296"/>
            <w:vAlign w:val="center"/>
          </w:tcPr>
          <w:p>
            <w:pPr>
              <w:keepNext w:val="0"/>
              <w:spacing w:line="269" w:lineRule="auto" w:after="40" w:before="40"/>
              <w:jc w:val="center"/>
            </w:pPr>
            <w:r>
              <w:rPr>
                <w:rFonts w:ascii="Noto Sans CJK SC" w:hAnsi="Noto Sans CJK SC" w:eastAsia="Noto Sans CJK SC"/>
                <w:color w:val="000000"/>
                <w:sz w:val="19"/>
              </w:rPr>
              <w:t>图4</w:t>
            </w:r>
          </w:p>
        </w:tc>
        <w:tc>
          <w:tcPr>
            <w:tcW w:type="dxa" w:w="4104"/>
            <w:vAlign w:val="center"/>
          </w:tcPr>
          <w:p>
            <w:pPr>
              <w:keepNext w:val="0"/>
              <w:spacing w:line="269" w:lineRule="auto" w:after="40" w:before="40"/>
            </w:pPr>
            <w:r>
              <w:rPr>
                <w:rFonts w:ascii="Noto Sans CJK SC" w:hAnsi="Noto Sans CJK SC" w:eastAsia="Noto Sans CJK SC"/>
                <w:color w:val="000000"/>
                <w:sz w:val="19"/>
              </w:rPr>
              <w:t>提升来自纠错还是减少新错</w:t>
            </w:r>
          </w:p>
        </w:tc>
        <w:tc>
          <w:tcPr>
            <w:tcW w:type="dxa" w:w="4392"/>
            <w:vAlign w:val="center"/>
          </w:tcPr>
          <w:p>
            <w:pPr>
              <w:keepNext w:val="0"/>
              <w:spacing w:line="269" w:lineRule="auto" w:after="40" w:before="40"/>
            </w:pPr>
            <w:r>
              <w:rPr>
                <w:rFonts w:ascii="Noto Sans CJK SC" w:hAnsi="Noto Sans CJK SC" w:eastAsia="Noto Sans CJK SC"/>
                <w:color w:val="000000"/>
                <w:sz w:val="19"/>
              </w:rPr>
              <w:t>paired transition表和probability</w:t>
            </w:r>
          </w:p>
        </w:tc>
      </w:tr>
      <w:tr>
        <w:trPr>
          <w:cantSplit/>
        </w:trPr>
        <w:tc>
          <w:tcPr>
            <w:tcW w:type="dxa" w:w="1296"/>
            <w:vAlign w:val="center"/>
          </w:tcPr>
          <w:p>
            <w:pPr>
              <w:keepNext w:val="0"/>
              <w:spacing w:line="269" w:lineRule="auto" w:after="40" w:before="40"/>
              <w:jc w:val="center"/>
            </w:pPr>
            <w:r>
              <w:rPr>
                <w:rFonts w:ascii="Noto Sans CJK SC" w:hAnsi="Noto Sans CJK SC" w:eastAsia="Noto Sans CJK SC"/>
                <w:color w:val="000000"/>
                <w:sz w:val="19"/>
              </w:rPr>
              <w:t>图5</w:t>
            </w:r>
          </w:p>
        </w:tc>
        <w:tc>
          <w:tcPr>
            <w:tcW w:type="dxa" w:w="4104"/>
            <w:vAlign w:val="center"/>
          </w:tcPr>
          <w:p>
            <w:pPr>
              <w:keepNext w:val="0"/>
              <w:spacing w:line="269" w:lineRule="auto" w:after="40" w:before="40"/>
            </w:pPr>
            <w:r>
              <w:rPr>
                <w:rFonts w:ascii="Noto Sans CJK SC" w:hAnsi="Noto Sans CJK SC" w:eastAsia="Noto Sans CJK SC"/>
                <w:color w:val="000000"/>
                <w:sz w:val="19"/>
              </w:rPr>
              <w:t>学到空间方向及幅度约束是否必要</w:t>
            </w:r>
          </w:p>
        </w:tc>
        <w:tc>
          <w:tcPr>
            <w:tcW w:type="dxa" w:w="4392"/>
            <w:vAlign w:val="center"/>
          </w:tcPr>
          <w:p>
            <w:pPr>
              <w:keepNext w:val="0"/>
              <w:spacing w:line="269" w:lineRule="auto" w:after="40" w:before="40"/>
            </w:pPr>
            <w:r>
              <w:rPr>
                <w:rFonts w:ascii="Noto Sans CJK SC" w:hAnsi="Noto Sans CJK SC" w:eastAsia="Noto Sans CJK SC"/>
                <w:color w:val="000000"/>
                <w:sz w:val="19"/>
              </w:rPr>
              <w:t>B8/B9、对称/旋转/约束消融</w:t>
            </w:r>
          </w:p>
        </w:tc>
      </w:tr>
      <w:tr>
        <w:trPr>
          <w:cantSplit/>
        </w:trPr>
        <w:tc>
          <w:tcPr>
            <w:tcW w:type="dxa" w:w="1296"/>
            <w:vAlign w:val="center"/>
          </w:tcPr>
          <w:p>
            <w:pPr>
              <w:keepNext w:val="0"/>
              <w:spacing w:line="269" w:lineRule="auto" w:after="40" w:before="40"/>
              <w:jc w:val="center"/>
            </w:pPr>
            <w:r>
              <w:rPr>
                <w:rFonts w:ascii="Noto Sans CJK SC" w:hAnsi="Noto Sans CJK SC" w:eastAsia="Noto Sans CJK SC"/>
                <w:color w:val="000000"/>
                <w:sz w:val="19"/>
              </w:rPr>
              <w:t>图6</w:t>
            </w:r>
          </w:p>
        </w:tc>
        <w:tc>
          <w:tcPr>
            <w:tcW w:type="dxa" w:w="4104"/>
            <w:vAlign w:val="center"/>
          </w:tcPr>
          <w:p>
            <w:pPr>
              <w:keepNext w:val="0"/>
              <w:spacing w:line="269" w:lineRule="auto" w:after="40" w:before="40"/>
            </w:pPr>
            <w:r>
              <w:rPr>
                <w:rFonts w:ascii="Noto Sans CJK SC" w:hAnsi="Noto Sans CJK SC" w:eastAsia="Noto Sans CJK SC"/>
                <w:color w:val="000000"/>
                <w:sz w:val="19"/>
              </w:rPr>
              <w:t>新健康队列、弱表现参与者和计算成本</w:t>
            </w:r>
          </w:p>
        </w:tc>
        <w:tc>
          <w:tcPr>
            <w:tcW w:type="dxa" w:w="4392"/>
            <w:vAlign w:val="center"/>
          </w:tcPr>
          <w:p>
            <w:pPr>
              <w:keepNext w:val="0"/>
              <w:spacing w:line="269" w:lineRule="auto" w:after="40" w:before="40"/>
            </w:pPr>
            <w:r>
              <w:rPr>
                <w:rFonts w:ascii="Noto Sans CJK SC" w:hAnsi="Noto Sans CJK SC" w:eastAsia="Noto Sans CJK SC"/>
                <w:color w:val="000000"/>
                <w:sz w:val="19"/>
              </w:rPr>
              <w:t>Wang复现、个体差值、GPU/CPU计时</w:t>
            </w:r>
          </w:p>
        </w:tc>
      </w:tr>
      <w:tr>
        <w:trPr>
          <w:cantSplit/>
        </w:trPr>
        <w:tc>
          <w:tcPr>
            <w:tcW w:type="dxa" w:w="1296"/>
            <w:vAlign w:val="center"/>
          </w:tcPr>
          <w:p>
            <w:pPr>
              <w:keepNext w:val="0"/>
              <w:spacing w:line="269" w:lineRule="auto" w:after="40" w:before="40"/>
              <w:jc w:val="center"/>
            </w:pPr>
            <w:r>
              <w:rPr>
                <w:rFonts w:ascii="Noto Sans CJK SC" w:hAnsi="Noto Sans CJK SC" w:eastAsia="Noto Sans CJK SC"/>
                <w:color w:val="000000"/>
                <w:sz w:val="19"/>
              </w:rPr>
              <w:t>补充表</w:t>
            </w:r>
          </w:p>
        </w:tc>
        <w:tc>
          <w:tcPr>
            <w:tcW w:type="dxa" w:w="4104"/>
            <w:vAlign w:val="center"/>
          </w:tcPr>
          <w:p>
            <w:pPr>
              <w:keepNext w:val="0"/>
              <w:spacing w:line="269" w:lineRule="auto" w:after="40" w:before="40"/>
            </w:pPr>
            <w:r>
              <w:rPr>
                <w:rFonts w:ascii="Noto Sans CJK SC" w:hAnsi="Noto Sans CJK SC" w:eastAsia="Noto Sans CJK SC"/>
                <w:color w:val="000000"/>
                <w:sz w:val="19"/>
              </w:rPr>
              <w:t>每库样本流失、版本、许可、超参数及全部seed</w:t>
            </w:r>
          </w:p>
        </w:tc>
        <w:tc>
          <w:tcPr>
            <w:tcW w:type="dxa" w:w="4392"/>
            <w:vAlign w:val="center"/>
          </w:tcPr>
          <w:p>
            <w:pPr>
              <w:keepNext w:val="0"/>
              <w:spacing w:line="269" w:lineRule="auto" w:after="40" w:before="40"/>
            </w:pPr>
            <w:r>
              <w:rPr>
                <w:rFonts w:ascii="Noto Sans CJK SC" w:hAnsi="Noto Sans CJK SC" w:eastAsia="Noto Sans CJK SC"/>
                <w:color w:val="000000"/>
                <w:sz w:val="19"/>
              </w:rPr>
              <w:t>manifest、QC、配置、运行账本</w:t>
            </w:r>
          </w:p>
        </w:tc>
      </w:tr>
    </w:tbl>
    <w:p>
      <w:pPr>
        <w:spacing w:after="40" w:before="0" w:line="96" w:lineRule="auto"/>
      </w:pPr>
      <w:r>
        <w:rPr>
          <w:rFonts w:ascii="Noto Sans CJK SC" w:hAnsi="Noto Sans CJK SC" w:eastAsia="Noto Sans CJK SC"/>
          <w:color w:val="000000"/>
          <w:sz w:val="4"/>
        </w:rPr>
      </w:r>
    </w:p>
    <w:p>
      <w:r>
        <w:rPr>
          <w:rFonts w:ascii="Noto Sans CJK SC" w:hAnsi="Noto Sans CJK SC" w:eastAsia="Noto Sans CJK SC"/>
          <w:color w:val="000000"/>
        </w:rPr>
        <w:t>生成元基底可被正交旋转而描述同一子空间，G1/G2不是唯一可识别的神经生理成分。优先展示子空间投影、跨seed主角、实际目标变换与空间模式变化；不能仅凭漂亮脑地形图宣称找到了因果神经机制。</w:t>
      </w:r>
    </w:p>
    <w:p>
      <w:r>
        <w:rPr>
          <w:rFonts w:ascii="Noto Sans CJK SC" w:hAnsi="Noto Sans CJK SC" w:eastAsia="Noto Sans CJK SC"/>
          <w:color w:val="000000"/>
        </w:rPr>
        <w:t>训练所得权重、嵌入、预测和诊断需按各自模型哈希保存。预测可支持后续重新计算统计和画图，不能替代改变网络、时间窗或目标函数后必须重做的训练。</w:t>
      </w:r>
    </w:p>
    <w:p>
      <w:pPr>
        <w:pStyle w:val="Heading1"/>
      </w:pPr>
      <w:r>
        <w:t>12 运行阶段与产物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792"/>
        <w:gridCol w:w="4536"/>
        <w:gridCol w:w="4464"/>
      </w:tblGrid>
      <w:tr>
        <w:trPr>
          <w:cantSplit/>
          <w:tblHeader/>
        </w:trPr>
        <w:tc>
          <w:tcPr>
            <w:tcW w:type="dxa" w:w="792"/>
            <w:vAlign w:val="center"/>
            <w:shd w:fill="DEE7EF"/>
          </w:tcPr>
          <w:p>
            <w:pPr>
              <w:keepNext/>
              <w:spacing w:line="269" w:lineRule="auto" w:after="40" w:before="40"/>
              <w:jc w:val="center"/>
            </w:pPr>
            <w:r>
              <w:rPr>
                <w:rFonts w:ascii="Noto Sans CJK SC" w:hAnsi="Noto Sans CJK SC" w:eastAsia="Noto Sans CJK SC"/>
                <w:b/>
                <w:color w:val="000000"/>
                <w:sz w:val="19"/>
              </w:rPr>
              <w:t>阶段</w:t>
            </w:r>
          </w:p>
        </w:tc>
        <w:tc>
          <w:tcPr>
            <w:tcW w:type="dxa" w:w="4536"/>
            <w:vAlign w:val="center"/>
            <w:shd w:fill="DEE7EF"/>
          </w:tcPr>
          <w:p>
            <w:pPr>
              <w:keepNext/>
              <w:spacing w:line="269" w:lineRule="auto" w:after="40" w:before="40"/>
            </w:pPr>
            <w:r>
              <w:rPr>
                <w:rFonts w:ascii="Noto Sans CJK SC" w:hAnsi="Noto Sans CJK SC" w:eastAsia="Noto Sans CJK SC"/>
                <w:b/>
                <w:color w:val="000000"/>
                <w:sz w:val="19"/>
              </w:rPr>
              <w:t>必须完成的工作</w:t>
            </w:r>
          </w:p>
        </w:tc>
        <w:tc>
          <w:tcPr>
            <w:tcW w:type="dxa" w:w="4464"/>
            <w:vAlign w:val="center"/>
            <w:shd w:fill="DEE7EF"/>
          </w:tcPr>
          <w:p>
            <w:pPr>
              <w:keepNext/>
              <w:spacing w:line="269" w:lineRule="auto" w:after="40" w:before="40"/>
            </w:pPr>
            <w:r>
              <w:rPr>
                <w:rFonts w:ascii="Noto Sans CJK SC" w:hAnsi="Noto Sans CJK SC" w:eastAsia="Noto Sans CJK SC"/>
                <w:b/>
                <w:color w:val="000000"/>
                <w:sz w:val="19"/>
              </w:rPr>
              <w:t>验收产物</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W0</w:t>
            </w:r>
          </w:p>
        </w:tc>
        <w:tc>
          <w:tcPr>
            <w:tcW w:type="dxa" w:w="4536"/>
            <w:vAlign w:val="center"/>
          </w:tcPr>
          <w:p>
            <w:pPr>
              <w:keepNext w:val="0"/>
              <w:spacing w:line="269" w:lineRule="auto" w:after="40" w:before="40"/>
            </w:pPr>
            <w:r>
              <w:rPr>
                <w:rFonts w:ascii="Noto Sans CJK SC" w:hAnsi="Noto Sans CJK SC" w:eastAsia="Noto Sans CJK SC"/>
                <w:color w:val="000000"/>
                <w:sz w:val="19"/>
              </w:rPr>
              <w:t>恢复上下文、只读复用索引、现有算力与持久盘</w:t>
            </w:r>
          </w:p>
        </w:tc>
        <w:tc>
          <w:tcPr>
            <w:tcW w:type="dxa" w:w="4464"/>
            <w:vAlign w:val="center"/>
          </w:tcPr>
          <w:p>
            <w:pPr>
              <w:keepNext w:val="0"/>
              <w:spacing w:line="269" w:lineRule="auto" w:after="40" w:before="40"/>
            </w:pPr>
            <w:r>
              <w:rPr>
                <w:rFonts w:ascii="Noto Sans CJK SC" w:hAnsi="Noto Sans CJK SC" w:eastAsia="Noto Sans CJK SC"/>
                <w:color w:val="000000"/>
                <w:sz w:val="19"/>
              </w:rPr>
              <w:t>environment、reuse_audit、resource_budget</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W1</w:t>
            </w:r>
          </w:p>
        </w:tc>
        <w:tc>
          <w:tcPr>
            <w:tcW w:type="dxa" w:w="4536"/>
            <w:vAlign w:val="center"/>
          </w:tcPr>
          <w:p>
            <w:pPr>
              <w:keepNext w:val="0"/>
              <w:spacing w:line="269" w:lineRule="auto" w:after="40" w:before="40"/>
            </w:pPr>
            <w:r>
              <w:rPr>
                <w:rFonts w:ascii="Noto Sans CJK SC" w:hAnsi="Noto Sans CJK SC" w:eastAsia="Noto Sans CJK SC"/>
                <w:color w:val="000000"/>
                <w:sz w:val="19"/>
              </w:rPr>
              <w:t>锁归档与许可，小样本native schema、时间窗审核</w:t>
            </w:r>
          </w:p>
        </w:tc>
        <w:tc>
          <w:tcPr>
            <w:tcW w:type="dxa" w:w="4464"/>
            <w:vAlign w:val="center"/>
          </w:tcPr>
          <w:p>
            <w:pPr>
              <w:keepNext w:val="0"/>
              <w:spacing w:line="269" w:lineRule="auto" w:after="40" w:before="40"/>
            </w:pPr>
            <w:r>
              <w:rPr>
                <w:rFonts w:ascii="Noto Sans CJK SC" w:hAnsi="Noto Sans CJK SC" w:eastAsia="Noto Sans CJK SC"/>
                <w:color w:val="000000"/>
                <w:sz w:val="19"/>
              </w:rPr>
              <w:t>registry、checksums、adapter_audit、input_contract</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W2</w:t>
            </w:r>
          </w:p>
        </w:tc>
        <w:tc>
          <w:tcPr>
            <w:tcW w:type="dxa" w:w="4536"/>
            <w:vAlign w:val="center"/>
          </w:tcPr>
          <w:p>
            <w:pPr>
              <w:keepNext w:val="0"/>
              <w:spacing w:line="269" w:lineRule="auto" w:after="40" w:before="40"/>
            </w:pPr>
            <w:r>
              <w:rPr>
                <w:rFonts w:ascii="Noto Sans CJK SC" w:hAnsi="Noto Sans CJK SC" w:eastAsia="Noto Sans CJK SC"/>
                <w:color w:val="000000"/>
                <w:sz w:val="19"/>
              </w:rPr>
              <w:t>生成四source完整且版本化的数值缓存</w:t>
            </w:r>
          </w:p>
        </w:tc>
        <w:tc>
          <w:tcPr>
            <w:tcW w:type="dxa" w:w="4464"/>
            <w:vAlign w:val="center"/>
          </w:tcPr>
          <w:p>
            <w:pPr>
              <w:keepNext w:val="0"/>
              <w:spacing w:line="269" w:lineRule="auto" w:after="40" w:before="40"/>
            </w:pPr>
            <w:r>
              <w:rPr>
                <w:rFonts w:ascii="Noto Sans CJK SC" w:hAnsi="Noto Sans CJK SC" w:eastAsia="Noto Sans CJK SC"/>
                <w:color w:val="000000"/>
                <w:sz w:val="19"/>
              </w:rPr>
              <w:t>source manifest、QC、独立trial shards</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W3</w:t>
            </w:r>
          </w:p>
        </w:tc>
        <w:tc>
          <w:tcPr>
            <w:tcW w:type="dxa" w:w="4536"/>
            <w:vAlign w:val="center"/>
          </w:tcPr>
          <w:p>
            <w:pPr>
              <w:keepNext w:val="0"/>
              <w:spacing w:line="269" w:lineRule="auto" w:after="40" w:before="40"/>
            </w:pPr>
            <w:r>
              <w:rPr>
                <w:rFonts w:ascii="Noto Sans CJK SC" w:hAnsi="Noto Sans CJK SC" w:eastAsia="Noto Sans CJK SC"/>
                <w:color w:val="000000"/>
                <w:sz w:val="19"/>
              </w:rPr>
              <w:t>Stieger纯LR、真实顺序、40/11/11及meta episode</w:t>
            </w:r>
          </w:p>
        </w:tc>
        <w:tc>
          <w:tcPr>
            <w:tcW w:type="dxa" w:w="4464"/>
            <w:vAlign w:val="center"/>
          </w:tcPr>
          <w:p>
            <w:pPr>
              <w:keepNext w:val="0"/>
              <w:spacing w:line="269" w:lineRule="auto" w:after="40" w:before="40"/>
            </w:pPr>
            <w:r>
              <w:rPr>
                <w:rFonts w:ascii="Noto Sans CJK SC" w:hAnsi="Noto Sans CJK SC" w:eastAsia="Noto Sans CJK SC"/>
                <w:color w:val="000000"/>
                <w:sz w:val="19"/>
              </w:rPr>
              <w:t>meta shards、split、episode manifest</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W4</w:t>
            </w:r>
          </w:p>
        </w:tc>
        <w:tc>
          <w:tcPr>
            <w:tcW w:type="dxa" w:w="4536"/>
            <w:vAlign w:val="center"/>
          </w:tcPr>
          <w:p>
            <w:pPr>
              <w:keepNext w:val="0"/>
              <w:spacing w:line="269" w:lineRule="auto" w:after="40" w:before="40"/>
            </w:pPr>
            <w:r>
              <w:rPr>
                <w:rFonts w:ascii="Noto Sans CJK SC" w:hAnsi="Noto Sans CJK SC" w:eastAsia="Noto Sans CJK SC"/>
                <w:color w:val="000000"/>
                <w:sz w:val="19"/>
              </w:rPr>
              <w:t>训练source f0、Rref及传统基线</w:t>
            </w:r>
          </w:p>
        </w:tc>
        <w:tc>
          <w:tcPr>
            <w:tcW w:type="dxa" w:w="4464"/>
            <w:vAlign w:val="center"/>
          </w:tcPr>
          <w:p>
            <w:pPr>
              <w:keepNext w:val="0"/>
              <w:spacing w:line="269" w:lineRule="auto" w:after="40" w:before="40"/>
            </w:pPr>
            <w:r>
              <w:rPr>
                <w:rFonts w:ascii="Noto Sans CJK SC" w:hAnsi="Noto Sans CJK SC" w:eastAsia="Noto Sans CJK SC"/>
                <w:color w:val="000000"/>
                <w:sz w:val="19"/>
              </w:rPr>
              <w:t>source LODO、checkpoint、source参考</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W5</w:t>
            </w:r>
          </w:p>
        </w:tc>
        <w:tc>
          <w:tcPr>
            <w:tcW w:type="dxa" w:w="4536"/>
            <w:vAlign w:val="center"/>
          </w:tcPr>
          <w:p>
            <w:pPr>
              <w:keepNext w:val="0"/>
              <w:spacing w:line="269" w:lineRule="auto" w:after="40" w:before="40"/>
            </w:pPr>
            <w:r>
              <w:rPr>
                <w:rFonts w:ascii="Noto Sans CJK SC" w:hAnsi="Noto Sans CJK SC" w:eastAsia="Noto Sans CJK SC"/>
                <w:color w:val="000000"/>
                <w:sz w:val="19"/>
              </w:rPr>
              <w:t>实现G与强对照，做数学、梯度和泄漏检查</w:t>
            </w:r>
          </w:p>
        </w:tc>
        <w:tc>
          <w:tcPr>
            <w:tcW w:type="dxa" w:w="4464"/>
            <w:vAlign w:val="center"/>
          </w:tcPr>
          <w:p>
            <w:pPr>
              <w:keepNext w:val="0"/>
              <w:spacing w:line="269" w:lineRule="auto" w:after="40" w:before="40"/>
            </w:pPr>
            <w:r>
              <w:rPr>
                <w:rFonts w:ascii="Noto Sans CJK SC" w:hAnsi="Noto Sans CJK SC" w:eastAsia="Noto Sans CJK SC"/>
                <w:color w:val="000000"/>
                <w:sz w:val="19"/>
              </w:rPr>
              <w:t>实现源码、数值和可见性回执</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W6</w:t>
            </w:r>
          </w:p>
        </w:tc>
        <w:tc>
          <w:tcPr>
            <w:tcW w:type="dxa" w:w="4536"/>
            <w:vAlign w:val="center"/>
          </w:tcPr>
          <w:p>
            <w:pPr>
              <w:keepNext w:val="0"/>
              <w:spacing w:line="269" w:lineRule="auto" w:after="40" w:before="40"/>
            </w:pPr>
            <w:r>
              <w:rPr>
                <w:rFonts w:ascii="Noto Sans CJK SC" w:hAnsi="Noto Sans CJK SC" w:eastAsia="Noto Sans CJK SC"/>
                <w:color w:val="000000"/>
                <w:sz w:val="19"/>
              </w:rPr>
              <w:t>40人元训练、11人调参，内部留出一次检查</w:t>
            </w:r>
          </w:p>
        </w:tc>
        <w:tc>
          <w:tcPr>
            <w:tcW w:type="dxa" w:w="4464"/>
            <w:vAlign w:val="center"/>
          </w:tcPr>
          <w:p>
            <w:pPr>
              <w:keepNext w:val="0"/>
              <w:spacing w:line="269" w:lineRule="auto" w:after="40" w:before="40"/>
            </w:pPr>
            <w:r>
              <w:rPr>
                <w:rFonts w:ascii="Noto Sans CJK SC" w:hAnsi="Noto Sans CJK SC" w:eastAsia="Noto Sans CJK SC"/>
                <w:color w:val="000000"/>
                <w:sz w:val="19"/>
              </w:rPr>
              <w:t>所有配置/失败、B*选择、内部验证</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W7</w:t>
            </w:r>
          </w:p>
        </w:tc>
        <w:tc>
          <w:tcPr>
            <w:tcW w:type="dxa" w:w="4536"/>
            <w:vAlign w:val="center"/>
          </w:tcPr>
          <w:p>
            <w:pPr>
              <w:keepNext w:val="0"/>
              <w:spacing w:line="269" w:lineRule="auto" w:after="40" w:before="40"/>
            </w:pPr>
            <w:r>
              <w:rPr>
                <w:rFonts w:ascii="Noto Sans CJK SC" w:hAnsi="Noto Sans CJK SC" w:eastAsia="Noto Sans CJK SC"/>
                <w:color w:val="000000"/>
                <w:sz w:val="19"/>
              </w:rPr>
              <w:t>冻结模型、方法、窗口、seed、指标和统计代码</w:t>
            </w:r>
          </w:p>
        </w:tc>
        <w:tc>
          <w:tcPr>
            <w:tcW w:type="dxa" w:w="4464"/>
            <w:vAlign w:val="center"/>
          </w:tcPr>
          <w:p>
            <w:pPr>
              <w:keepNext w:val="0"/>
              <w:spacing w:line="269" w:lineRule="auto" w:after="40" w:before="40"/>
            </w:pPr>
            <w:r>
              <w:rPr>
                <w:rFonts w:ascii="Noto Sans CJK SC" w:hAnsi="Noto Sans CJK SC" w:eastAsia="Noto Sans CJK SC"/>
                <w:color w:val="000000"/>
                <w:sz w:val="19"/>
              </w:rPr>
              <w:t>freeze.json及内容哈希</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W8</w:t>
            </w:r>
          </w:p>
        </w:tc>
        <w:tc>
          <w:tcPr>
            <w:tcW w:type="dxa" w:w="4536"/>
            <w:vAlign w:val="center"/>
          </w:tcPr>
          <w:p>
            <w:pPr>
              <w:keepNext w:val="0"/>
              <w:spacing w:line="269" w:lineRule="auto" w:after="40" w:before="40"/>
            </w:pPr>
            <w:r>
              <w:rPr>
                <w:rFonts w:ascii="Noto Sans CJK SC" w:hAnsi="Noto Sans CJK SC" w:eastAsia="Noto Sans CJK SC"/>
                <w:color w:val="000000"/>
                <w:sz w:val="19"/>
              </w:rPr>
              <w:t>HS主确认与Wang健康确认</w:t>
            </w:r>
          </w:p>
        </w:tc>
        <w:tc>
          <w:tcPr>
            <w:tcW w:type="dxa" w:w="4464"/>
            <w:vAlign w:val="center"/>
          </w:tcPr>
          <w:p>
            <w:pPr>
              <w:keepNext w:val="0"/>
              <w:spacing w:line="269" w:lineRule="auto" w:after="40" w:before="40"/>
            </w:pPr>
            <w:r>
              <w:rPr>
                <w:rFonts w:ascii="Noto Sans CJK SC" w:hAnsi="Noto Sans CJK SC" w:eastAsia="Noto Sans CJK SC"/>
                <w:color w:val="000000"/>
                <w:sz w:val="19"/>
              </w:rPr>
              <w:t>封存query预测、全会话回执</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W9</w:t>
            </w:r>
          </w:p>
        </w:tc>
        <w:tc>
          <w:tcPr>
            <w:tcW w:type="dxa" w:w="4536"/>
            <w:vAlign w:val="center"/>
          </w:tcPr>
          <w:p>
            <w:pPr>
              <w:keepNext w:val="0"/>
              <w:spacing w:line="269" w:lineRule="auto" w:after="40" w:before="40"/>
            </w:pPr>
            <w:r>
              <w:rPr>
                <w:rFonts w:ascii="Noto Sans CJK SC" w:hAnsi="Noto Sans CJK SC" w:eastAsia="Noto Sans CJK SC"/>
                <w:color w:val="000000"/>
                <w:sz w:val="19"/>
              </w:rPr>
              <w:t>从冻结预测做统计、机制和图表</w:t>
            </w:r>
          </w:p>
        </w:tc>
        <w:tc>
          <w:tcPr>
            <w:tcW w:type="dxa" w:w="4464"/>
            <w:vAlign w:val="center"/>
          </w:tcPr>
          <w:p>
            <w:pPr>
              <w:keepNext w:val="0"/>
              <w:spacing w:line="269" w:lineRule="auto" w:after="40" w:before="40"/>
            </w:pPr>
            <w:r>
              <w:rPr>
                <w:rFonts w:ascii="Noto Sans CJK SC" w:hAnsi="Noto Sans CJK SC" w:eastAsia="Noto Sans CJK SC"/>
                <w:color w:val="000000"/>
                <w:sz w:val="19"/>
              </w:rPr>
              <w:t>results、tables、figures、limitations</w:t>
            </w:r>
          </w:p>
        </w:tc>
      </w:tr>
    </w:tbl>
    <w:p>
      <w:pPr>
        <w:spacing w:after="40" w:before="0" w:line="96" w:lineRule="auto"/>
      </w:pPr>
      <w:r>
        <w:rPr>
          <w:rFonts w:ascii="Noto Sans CJK SC" w:hAnsi="Noto Sans CJK SC" w:eastAsia="Noto Sans CJK SC"/>
          <w:color w:val="000000"/>
          <w:sz w:val="4"/>
        </w:rPr>
      </w:r>
    </w:p>
    <w:p>
      <w:r>
        <w:rPr>
          <w:rFonts w:ascii="Noto Sans CJK SC" w:hAnsi="Noto Sans CJK SC" w:eastAsia="Noto Sans CJK SC"/>
          <w:color w:val="000000"/>
        </w:rPr>
        <w:t>具体任务依赖和“已有可运行命令／Work待实现接口”的区分见 WORK_TASKS.md。不把尚未实现的p3work命令当作现成脚本运行。START_HERE_WORK.md提供可直接导入的执行指令。</w:t>
      </w:r>
    </w:p>
    <w:p>
      <w:pPr>
        <w:pStyle w:val="Heading1"/>
      </w:pPr>
      <w:r>
        <w:t>13 算力与存储安排</w:t>
      </w:r>
    </w:p>
    <w:p>
      <w:r>
        <w:rPr>
          <w:rFonts w:ascii="Noto Sans CJK SC" w:hAnsi="Noto Sans CJK SC" w:eastAsia="Noto Sans CJK SC"/>
          <w:color w:val="000000"/>
        </w:rPr>
        <w:t>先利用现有空闲实例做native数据小样本、CPU数学基线和一个受控GPU pilot。记录真实准备时间、每100个源更新耗时、每100个meta outer更新耗时、每目标session校准耗时及峰值显存，再估计全任务成本。当前没有现场测量或账户报价，不承诺某型号、若干小时或固定价格一定完成。</w:t>
      </w:r>
    </w:p>
    <w:p>
      <w:r>
        <w:rPr>
          <w:rFonts w:ascii="Noto Sans CJK SC" w:hAnsi="Noto Sans CJK SC" w:eastAsia="Noto Sans CJK SC"/>
          <w:color w:val="000000"/>
        </w:rPr>
        <w:t>数据阶段与GPU训练阶段分开。Stieger按参与者/会话下载并保留原档哈希，避免为读一个文件反复下载整库ZIP；处理数据使用分片或memory map，不能把约351GB原始数据一次读进内存。完整原档约351GB，加Wang约59GB、HS约6.9GB及source、解压和检查点后，持久盘需按manifest与处理倍率计算，旧100GiB检查不是容量保证。</w:t>
      </w:r>
    </w:p>
    <w:p>
      <w:r>
        <w:rPr>
          <w:rFonts w:ascii="Noto Sans CJK SC" w:hAnsi="Noto Sans CJK SC" w:eastAsia="Noto Sans CJK SC"/>
          <w:color w:val="000000"/>
        </w:rPr>
        <w:t>费用上界计算为实测GPU小时乘账户实际时价，加存储和传输；source、meta搜索、校准拟合和外测分别列账。每个阶段设置max_wall_hours、max_gpu_hours、max_download_bytes与max_jobs。仅在现有授权额度内执行；没有明确额度时先输出具体pilot估计和下一批任务范围，再确认新增支出，不擅自新建付费实例或提高消费上限。</w:t>
      </w:r>
    </w:p>
    <w:p>
      <w:r>
        <w:rPr>
          <w:rFonts w:ascii="Noto Sans CJK SC" w:hAnsi="Noto Sans CJK SC" w:eastAsia="Noto Sans CJK SC"/>
          <w:color w:val="000000"/>
        </w:rPr>
        <w:t>神经源训练默认延续旧包最多80个epoch、每epoch64次有放回batch更新，明确epoch不是全量遍历。meta训练和目标校准的更新定义另由METHOD_SPEC固定。固定updates的比较与固定时间的比较分开，不能只报告更快的一种。</w:t>
      </w:r>
    </w:p>
    <w:p>
      <w:r>
        <w:rPr>
          <w:rFonts w:ascii="Noto Sans CJK SC" w:hAnsi="Noto Sans CJK SC" w:eastAsia="Noto Sans CJK SC"/>
          <w:color w:val="000000"/>
        </w:rPr>
        <w:t>GPU计时必须同步或使用CUDA Event；保存硬件、驱动、库版本、TF32/混合精度设置和UTC起止时间。断点保存optimizer、随机数状态、数据位置和hash。不同硬件或依赖版本续跑记为新分支；不声称跨平台位级可复现。[R17 R18]</w:t>
      </w:r>
    </w:p>
    <w:p>
      <w:pPr>
        <w:pStyle w:val="Heading1"/>
      </w:pPr>
      <w:r>
        <w:t>14 结果保存和后续写作</w:t>
      </w:r>
    </w:p>
    <w:p>
      <w:r>
        <w:rPr>
          <w:rFonts w:ascii="Noto Sans CJK SC" w:hAnsi="Noto Sans CJK SC" w:eastAsia="Noto Sans CJK SC"/>
          <w:color w:val="000000"/>
        </w:rPr>
        <w:t>每个run保存：运行ID、代码提交或源码哈希、数据与输入版本、split、完整配置、seed、source checkpoint、Rref与G、目标theta/head、优化器及断点、每epoch指标、逐trial概率、预测先于揭示标签的记录、排除原因、失败与回退、耗时、显存及环境。</w:t>
      </w:r>
    </w:p>
    <w:p>
      <w:r>
        <w:rPr>
          <w:rFonts w:ascii="Noto Sans CJK SC" w:hAnsi="Noto Sans CJK SC" w:eastAsia="Noto Sans CJK SC"/>
          <w:color w:val="000000"/>
        </w:rPr>
        <w:t>固定保存节点为初始化、预先规定的checkpoint间隔、开发最佳checkpoint、每个校准预算终点和审计候选。原始query预测文件只追加，统计重算写新目录。定期把检查点与运行账本保存到用户已有的持久化位置，按哈希验收；不要自动复制含密码的配置或公开受限制EEG。</w:t>
      </w:r>
    </w:p>
    <w:p>
      <w:r>
        <w:rPr>
          <w:rFonts w:ascii="Noto Sans CJK SC" w:hAnsi="Noto Sans CJK SC" w:eastAsia="Noto Sans CJK SC"/>
          <w:color w:val="000000"/>
        </w:rPr>
        <w:t>论文正文围绕三个证据组织：20trial下外部效果；空间方向和约束的必要性；个体差异、错误转移与计算代价。将论文2的机制现象作为问题来源，并明确引用其稿件状态，避免重复发表旧实验当新结果。</w:t>
      </w:r>
    </w:p>
    <w:p>
      <w:pPr>
        <w:pStyle w:val="Heading1"/>
      </w:pPr>
      <w:r>
        <w:t>15 继续投入和停止标准</w:t>
      </w:r>
    </w:p>
    <w:p>
      <w:r>
        <w:rPr>
          <w:rFonts w:ascii="Noto Sans CJK SC" w:hAnsi="Noto Sans CJK SC" w:eastAsia="Noto Sans CJK SC"/>
          <w:color w:val="000000"/>
        </w:rPr>
        <w:t>开发阶段至少应证明P的平均表现不劣于冻结f0并优于只更新head，并在B8/B9等最接近对照前有可信的参与者级改善。开发validation相对B*平均提升2个百分点可作为继续大批训练的内部参考线；这不是预计结果，也不是外测显著性标准。</w:t>
      </w:r>
    </w:p>
    <w:p>
      <w:r>
        <w:rPr>
          <w:rFonts w:ascii="Noto Sans CJK SC" w:hAnsi="Noto Sans CJK SC" w:eastAsia="Noto Sans CJK SC"/>
          <w:color w:val="000000"/>
        </w:rPr>
        <w:t>若P与B8相近而都胜过随机方向，贡献应收窄为学到空间方向，不能夸大矩阵指数带来性能提升。若只有加PCT时有效，需要证明超越B7、B11及冻结B*中相关强组合，否则更可能是已知正则或元学习资源的作用。若只有cue窗口有益，则不能声称改进了纯MI信息解码。</w:t>
      </w:r>
    </w:p>
    <w:p>
      <w:r>
        <w:rPr>
          <w:rFonts w:ascii="Noto Sans CJK SC" w:hAnsi="Noto Sans CJK SC" w:eastAsia="Noto Sans CJK SC"/>
          <w:color w:val="000000"/>
        </w:rPr>
        <w:t>若仅在Kumar成立、新队列不复现，第三篇不能以跨队列普适改进为结论。若HS顺序或原trial去重不成立，主确认暂停，优先完成不受影响的source和开发工作，输出具体缺失证据；不能悄悄改成随机窗口拆分。</w:t>
      </w:r>
    </w:p>
    <w:p>
      <w:r>
        <w:rPr>
          <w:rFonts w:ascii="Noto Sans CJK SC" w:hAnsi="Noto Sans CJK SC" w:eastAsia="Noto Sans CJK SC"/>
          <w:color w:val="000000"/>
        </w:rPr>
        <w:t>开外测后不得因p值不理想更换主对照、删除seed、调整query起点或临时改变患者纳入标准。新设想需新版本和新的独立验证数据。所有失败配置和不利结果都保留，供后续分析真正的适用条件。</w:t>
      </w:r>
    </w:p>
    <w:p>
      <w:pPr>
        <w:pStyle w:val="Heading1"/>
      </w:pPr>
      <w:r>
        <w:t>16 文献与数据入口</w:t>
      </w:r>
    </w:p>
    <w:p>
      <w:r>
        <w:rPr>
          <w:rFonts w:ascii="Noto Sans CJK SC" w:hAnsi="Noto Sans CJK SC" w:eastAsia="Noto Sans CJK SC"/>
          <w:color w:val="000000"/>
        </w:rPr>
        <w:t>引用编号、完整题名、DOI、原始代码及访问日期见 SOURCES.md。DATA_AUDIT.md保存逐库的未解决事项和原始证据；DATA_REGISTRY.json中null表示尚未测得，不能填为0或用论文设计人数代替实际可用人数。</w:t>
      </w:r>
    </w:p>
    <w:p>
      <w:pPr>
        <w:pStyle w:val="Heading1"/>
        <w:pageBreakBefore/>
      </w:pPr>
      <w:r>
        <w:t>附录 A  主算法的计算定义</w:t>
      </w:r>
    </w:p>
    <w:p>
      <w:r>
        <w:rPr>
          <w:rFonts w:ascii="Noto Sans CJK SC" w:hAnsi="Noto Sans CJK SC" w:eastAsia="Noto Sans CJK SC"/>
          <w:color w:val="000000"/>
        </w:rPr>
        <w:t>本附录与 METHOD_SPEC.md 同义。p表示冻结编码器的特征维数，r表示目标空间系数数目，T表示单trial的采样点数；空间变换矩阵另记为 exp(M)。这里的参数值是预先规定的开发起点，尚未经真实训练验证。</w:t>
      </w:r>
    </w:p>
    <w:p>
      <w:pPr>
        <w:pStyle w:val="Heading2"/>
      </w:pPr>
      <w:r>
        <w:t>A1  参考坐标与固定 source 协方差</w:t>
      </w:r>
    </w:p>
    <w:p>
      <w:r>
        <w:rPr>
          <w:rFonts w:ascii="Noto Sans CJK SC" w:hAnsi="Noto Sans CJK SC" w:eastAsia="Noto Sans CJK SC"/>
          <w:color w:val="000000"/>
        </w:rPr>
        <w:t>Q采用固定11通道顺序下的10×11行正交Helmert基。X为CAR11、统一滤波、裁窗及按通道时间去均值之后、联合RMS之前的11×T输入。实际Q数组及哈希必须保存。</w:t>
      </w:r>
    </w:p>
    <w:p>
      <w:pPr>
        <w:spacing w:before="100" w:after="160"/>
        <w:jc w:val="center"/>
      </w:pPr>
      <w:r>
        <w:drawing>
          <wp:inline xmlns:a="http://schemas.openxmlformats.org/drawingml/2006/main" xmlns:pic="http://schemas.openxmlformats.org/drawingml/2006/picture">
            <wp:extent cx="5303520" cy="569484"/>
            <wp:docPr id="1" name="Picture 1" descr="H为11通道共同平均参考矩阵。Q为10乘11行正交矩阵，Q转置Q等于H。"/>
            <wp:cNvGraphicFramePr>
              <a:graphicFrameLocks noChangeAspect="1"/>
            </wp:cNvGraphicFramePr>
            <a:graphic>
              <a:graphicData uri="http://schemas.openxmlformats.org/drawingml/2006/picture">
                <pic:pic>
                  <pic:nvPicPr>
                    <pic:cNvPr id="0" name="eq_Q.png"/>
                    <pic:cNvPicPr/>
                  </pic:nvPicPr>
                  <pic:blipFill>
                    <a:blip r:embed="rId10"/>
                    <a:stretch>
                      <a:fillRect/>
                    </a:stretch>
                  </pic:blipFill>
                  <pic:spPr>
                    <a:xfrm>
                      <a:off x="0" y="0"/>
                      <a:ext cx="5303520" cy="569484"/>
                    </a:xfrm>
                    <a:prstGeom prst="rect"/>
                  </pic:spPr>
                </pic:pic>
              </a:graphicData>
            </a:graphic>
          </wp:inline>
        </w:drawing>
      </w:r>
    </w:p>
    <w:p>
      <w:r>
        <w:rPr>
          <w:rFonts w:ascii="Noto Sans CJK SC" w:hAnsi="Noto Sans CJK SC" w:eastAsia="Noto Sans CJK SC"/>
          <w:color w:val="000000"/>
        </w:rPr>
        <w:t>每trial协方差先做迹归一化，然后按数据集、参与者、该参与者trial逐级等权平均。固定source参考仅由f0的四source训练split估计。</w:t>
      </w:r>
    </w:p>
    <w:p>
      <w:pPr>
        <w:spacing w:before="100" w:after="160"/>
        <w:jc w:val="center"/>
      </w:pPr>
      <w:r>
        <w:drawing>
          <wp:inline xmlns:a="http://schemas.openxmlformats.org/drawingml/2006/main" xmlns:pic="http://schemas.openxmlformats.org/drawingml/2006/picture">
            <wp:extent cx="5623560" cy="697321"/>
            <wp:docPr id="2" name="Picture 2" descr="Ci等于Q Xi Xi转置 Q转置除以其迹。Rref为0.95倍平均协方差加0.05倍I10除10。"/>
            <wp:cNvGraphicFramePr>
              <a:graphicFrameLocks noChangeAspect="1"/>
            </wp:cNvGraphicFramePr>
            <a:graphic>
              <a:graphicData uri="http://schemas.openxmlformats.org/drawingml/2006/picture">
                <pic:pic>
                  <pic:nvPicPr>
                    <pic:cNvPr id="0" name="eq_R.png"/>
                    <pic:cNvPicPr/>
                  </pic:nvPicPr>
                  <pic:blipFill>
                    <a:blip r:embed="rId11"/>
                    <a:stretch>
                      <a:fillRect/>
                    </a:stretch>
                  </pic:blipFill>
                  <pic:spPr>
                    <a:xfrm>
                      <a:off x="0" y="0"/>
                      <a:ext cx="5623560" cy="697321"/>
                    </a:xfrm>
                    <a:prstGeom prst="rect"/>
                  </pic:spPr>
                </pic:pic>
              </a:graphicData>
            </a:graphic>
          </wp:inline>
        </w:drawing>
      </w:r>
    </w:p>
    <w:p>
      <w:r>
        <w:rPr>
          <w:rFonts w:ascii="Noto Sans CJK SC" w:hAnsi="Noto Sans CJK SC" w:eastAsia="Noto Sans CJK SC"/>
          <w:color w:val="000000"/>
        </w:rPr>
        <w:t>Rref、它的平方根与逆平方根用float64对称特征分解求得并固定。白化只定义空间更新坐标；不会单独改变冻结模型的基线输入。</w:t>
      </w:r>
    </w:p>
    <w:p>
      <w:pPr>
        <w:pStyle w:val="Heading2"/>
      </w:pPr>
      <w:r>
        <w:t>A2  学到的空间方向与可证明边界</w:t>
      </w:r>
    </w:p>
    <w:p>
      <w:r>
        <w:rPr>
          <w:rFonts w:ascii="Noto Sans CJK SC" w:hAnsi="Noto Sans CJK SC" w:eastAsia="Noto Sans CJK SC"/>
          <w:color w:val="000000"/>
        </w:rPr>
        <w:t>E是100×99的固定无迹矩阵正交基：90个非对角标准基加9个对角Helmert对比基。B是99×r的列正交参数，初始化为固定seed正态矩阵的薄QR，统一R对角线非负符号约定。</w:t>
      </w:r>
    </w:p>
    <w:p>
      <w:pPr>
        <w:spacing w:before="100" w:after="160"/>
        <w:jc w:val="center"/>
      </w:pPr>
      <w:r>
        <w:drawing>
          <wp:inline xmlns:a="http://schemas.openxmlformats.org/drawingml/2006/main" xmlns:pic="http://schemas.openxmlformats.org/drawingml/2006/picture">
            <wp:extent cx="5623560" cy="608610"/>
            <wp:docPr id="3" name="Picture 3" descr="生成元向量化为E乘B对应列；B列正交；M为r个生成元的系数组合，theta二范数不超过rho。"/>
            <wp:cNvGraphicFramePr>
              <a:graphicFrameLocks noChangeAspect="1"/>
            </wp:cNvGraphicFramePr>
            <a:graphic>
              <a:graphicData uri="http://schemas.openxmlformats.org/drawingml/2006/picture">
                <pic:pic>
                  <pic:nvPicPr>
                    <pic:cNvPr id="0" name="eq_G.png"/>
                    <pic:cNvPicPr/>
                  </pic:nvPicPr>
                  <pic:blipFill>
                    <a:blip r:embed="rId12"/>
                    <a:stretch>
                      <a:fillRect/>
                    </a:stretch>
                  </pic:blipFill>
                  <pic:spPr>
                    <a:xfrm>
                      <a:off x="0" y="0"/>
                      <a:ext cx="5623560" cy="608610"/>
                    </a:xfrm>
                    <a:prstGeom prst="rect"/>
                  </pic:spPr>
                </pic:pic>
              </a:graphicData>
            </a:graphic>
          </wp:inline>
        </w:drawing>
      </w:r>
    </w:p>
    <w:p>
      <w:pPr>
        <w:spacing w:before="100" w:after="160"/>
        <w:jc w:val="center"/>
      </w:pPr>
      <w:r>
        <w:drawing>
          <wp:inline xmlns:a="http://schemas.openxmlformats.org/drawingml/2006/main" xmlns:pic="http://schemas.openxmlformats.org/drawingml/2006/picture">
            <wp:extent cx="5166360" cy="567346"/>
            <wp:docPr id="4" name="Picture 4" descr="A theta等于Q转置乘source参考协方差平方根乘M的矩阵指数乘参考逆平方根乘Q。"/>
            <wp:cNvGraphicFramePr>
              <a:graphicFrameLocks noChangeAspect="1"/>
            </wp:cNvGraphicFramePr>
            <a:graphic>
              <a:graphicData uri="http://schemas.openxmlformats.org/drawingml/2006/picture">
                <pic:pic>
                  <pic:nvPicPr>
                    <pic:cNvPr id="0" name="eq_A.png"/>
                    <pic:cNvPicPr/>
                  </pic:nvPicPr>
                  <pic:blipFill>
                    <a:blip r:embed="rId13"/>
                    <a:stretch>
                      <a:fillRect/>
                    </a:stretch>
                  </pic:blipFill>
                  <pic:spPr>
                    <a:xfrm>
                      <a:off x="0" y="0"/>
                      <a:ext cx="5166360" cy="567346"/>
                    </a:xfrm>
                    <a:prstGeom prst="rect"/>
                  </pic:spPr>
                </pic:pic>
              </a:graphicData>
            </a:graphic>
          </wp:inline>
        </w:drawing>
      </w:r>
    </w:p>
    <w:p>
      <w:r>
        <w:rPr>
          <w:rFonts w:ascii="Noto Sans CJK SC" w:hAnsi="Noto Sans CJK SC" w:eastAsia="Noto Sans CJK SC"/>
          <w:color w:val="000000"/>
        </w:rPr>
        <w:t>空间更新之后再做全通道联合trial RMS。用float64求和与平方根，不加epsilon或幅值下限；非有限数值或零能量由统一QC拒绝。只有共同正增益可证时，未知绝对单位才可进入这一尺度无关路径。</w:t>
      </w:r>
    </w:p>
    <w:p>
      <w:pPr>
        <w:spacing w:before="100" w:after="160"/>
        <w:jc w:val="center"/>
      </w:pPr>
      <w:r>
        <w:drawing>
          <wp:inline xmlns:a="http://schemas.openxmlformats.org/drawingml/2006/main" xmlns:pic="http://schemas.openxmlformats.org/drawingml/2006/picture">
            <wp:extent cx="4754880" cy="623189"/>
            <wp:docPr id="5" name="Picture 5" descr="联合trial RMS归一化：Y除以全通道全部时间点的均方根，对共同正增益不变。"/>
            <wp:cNvGraphicFramePr>
              <a:graphicFrameLocks noChangeAspect="1"/>
            </wp:cNvGraphicFramePr>
            <a:graphic>
              <a:graphicData uri="http://schemas.openxmlformats.org/drawingml/2006/picture">
                <pic:pic>
                  <pic:nvPicPr>
                    <pic:cNvPr id="0" name="eq_norm.png"/>
                    <pic:cNvPicPr/>
                  </pic:nvPicPr>
                  <pic:blipFill>
                    <a:blip r:embed="rId14"/>
                    <a:stretch>
                      <a:fillRect/>
                    </a:stretch>
                  </pic:blipFill>
                  <pic:spPr>
                    <a:xfrm>
                      <a:off x="0" y="0"/>
                      <a:ext cx="4754880" cy="623189"/>
                    </a:xfrm>
                    <a:prstGeom prst="rect"/>
                  </pic:spPr>
                </pic:pic>
              </a:graphicData>
            </a:graphic>
          </wp:inline>
        </w:drawing>
      </w:r>
    </w:p>
    <w:p>
      <w:r>
        <w:rPr>
          <w:rFonts w:ascii="Noto Sans CJK SC" w:hAnsi="Noto Sans CJK SC" w:eastAsia="Noto Sans CJK SC"/>
          <w:color w:val="000000"/>
        </w:rPr>
        <w:t>字典无迹且Frobenius正交，故M的谱范数不超过rho，得到以下白化10维空间的界。</w:t>
      </w:r>
    </w:p>
    <w:p>
      <w:pPr>
        <w:spacing w:before="100" w:after="160"/>
        <w:jc w:val="center"/>
      </w:pPr>
      <w:r>
        <w:drawing>
          <wp:inline xmlns:a="http://schemas.openxmlformats.org/drawingml/2006/main" xmlns:pic="http://schemas.openxmlformats.org/drawingml/2006/picture">
            <wp:extent cx="5669280" cy="223564"/>
            <wp:docPr id="6" name="Picture 6" descr="矩阵指数的奇异值介于exp负rho和exp rho之间，二范数条件数不超过exp 2rho，行列式等于1。"/>
            <wp:cNvGraphicFramePr>
              <a:graphicFrameLocks noChangeAspect="1"/>
            </wp:cNvGraphicFramePr>
            <a:graphic>
              <a:graphicData uri="http://schemas.openxmlformats.org/drawingml/2006/picture">
                <pic:pic>
                  <pic:nvPicPr>
                    <pic:cNvPr id="0" name="eq_bound.png"/>
                    <pic:cNvPicPr/>
                  </pic:nvPicPr>
                  <pic:blipFill>
                    <a:blip r:embed="rId15"/>
                    <a:stretch>
                      <a:fillRect/>
                    </a:stretch>
                  </pic:blipFill>
                  <pic:spPr>
                    <a:xfrm>
                      <a:off x="0" y="0"/>
                      <a:ext cx="5669280" cy="223564"/>
                    </a:xfrm>
                    <a:prstGeom prst="rect"/>
                  </pic:spPr>
                </pic:pic>
              </a:graphicData>
            </a:graphic>
          </wp:inline>
        </w:drawing>
      </w:r>
    </w:p>
    <w:p>
      <w:r>
        <w:rPr>
          <w:rFonts w:ascii="Noto Sans CJK SC" w:hAnsi="Noto Sans CJK SC" w:eastAsia="Noto Sans CJK SC"/>
          <w:color w:val="000000"/>
        </w:rPr>
        <w:t>theta=0时A=H，理论上恢复同一CAR输入；任意公共参考偏置被消除。上述奇异值和体积性质仅属于白化有效空间。11×11的A本来秩10、行列式0；RMS之后也不保持体积。r不是更新矩阵的秩，这些结构性质不保证准确率或新增错误不会恶化。</w:t>
      </w:r>
    </w:p>
    <w:p>
      <w:pPr>
        <w:pStyle w:val="Heading2"/>
      </w:pPr>
      <w:r>
        <w:t>A3  分类头与内层优化</w:t>
      </w:r>
    </w:p>
    <w:p>
      <w:r>
        <w:rPr>
          <w:rFonts w:ascii="Noto Sans CJK SC" w:hAnsi="Noto Sans CJK SC" w:eastAsia="Noto Sans CJK SC"/>
          <w:color w:val="000000"/>
        </w:rPr>
        <w:t>固定编码器phi、原始双logit分类头和全部BN buffers。令u为适应输入的编码特征。目标只学习theta、delta w与delta b，总计r+p+1个参数。实现时沿用原始双logit源头，加对称margin增量，避免改变零增量重放的数值路径。</w:t>
      </w:r>
    </w:p>
    <w:p>
      <w:pPr>
        <w:spacing w:before="100" w:after="160"/>
        <w:jc w:val="center"/>
      </w:pPr>
      <w:r>
        <w:drawing>
          <wp:inline xmlns:a="http://schemas.openxmlformats.org/drawingml/2006/main" xmlns:pic="http://schemas.openxmlformats.org/drawingml/2006/picture">
            <wp:extent cx="5394960" cy="469127"/>
            <wp:docPr id="7" name="Picture 7" descr="新双logit等于原头在适应特征上的输出，加负delta m除2和正delta m除2。"/>
            <wp:cNvGraphicFramePr>
              <a:graphicFrameLocks noChangeAspect="1"/>
            </wp:cNvGraphicFramePr>
            <a:graphic>
              <a:graphicData uri="http://schemas.openxmlformats.org/drawingml/2006/picture">
                <pic:pic>
                  <pic:nvPicPr>
                    <pic:cNvPr id="0" name="eq_head.png"/>
                    <pic:cNvPicPr/>
                  </pic:nvPicPr>
                  <pic:blipFill>
                    <a:blip r:embed="rId16"/>
                    <a:stretch>
                      <a:fillRect/>
                    </a:stretch>
                  </pic:blipFill>
                  <pic:spPr>
                    <a:xfrm>
                      <a:off x="0" y="0"/>
                      <a:ext cx="5394960" cy="469127"/>
                    </a:xfrm>
                    <a:prstGeom prst="rect"/>
                  </pic:spPr>
                </pic:pic>
              </a:graphicData>
            </a:graphic>
          </wp:inline>
        </w:drawing>
      </w:r>
    </w:p>
    <w:p>
      <w:r>
        <w:rPr>
          <w:rFonts w:ascii="Noto Sans CJK SC" w:hAnsi="Noto Sans CJK SC" w:eastAsia="Noto Sans CJK SC"/>
          <w:color w:val="000000"/>
        </w:rPr>
        <w:t>同一组logits生成softmax概率和argmax类别；完全相同时取0。m为两个新logit之差；按每类均值再平均构造类别平衡BCE。</w:t>
      </w:r>
    </w:p>
    <w:p>
      <w:pPr>
        <w:spacing w:before="100" w:after="160"/>
        <w:jc w:val="center"/>
      </w:pPr>
      <w:r>
        <w:drawing>
          <wp:inline xmlns:a="http://schemas.openxmlformats.org/drawingml/2006/main" xmlns:pic="http://schemas.openxmlformats.org/drawingml/2006/picture">
            <wp:extent cx="5029200" cy="894565"/>
            <wp:docPr id="8" name="Picture 8" descr="类平衡损失等于两类各自平均BCE的平均。"/>
            <wp:cNvGraphicFramePr>
              <a:graphicFrameLocks noChangeAspect="1"/>
            </wp:cNvGraphicFramePr>
            <a:graphic>
              <a:graphicData uri="http://schemas.openxmlformats.org/drawingml/2006/picture">
                <pic:pic>
                  <pic:nvPicPr>
                    <pic:cNvPr id="0" name="eq_bal.png"/>
                    <pic:cNvPicPr/>
                  </pic:nvPicPr>
                  <pic:blipFill>
                    <a:blip r:embed="rId17"/>
                    <a:stretch>
                      <a:fillRect/>
                    </a:stretch>
                  </pic:blipFill>
                  <pic:spPr>
                    <a:xfrm>
                      <a:off x="0" y="0"/>
                      <a:ext cx="5029200" cy="894565"/>
                    </a:xfrm>
                    <a:prstGeom prst="rect"/>
                  </pic:spPr>
                </pic:pic>
              </a:graphicData>
            </a:graphic>
          </wp:inline>
        </w:drawing>
      </w:r>
    </w:p>
    <w:p>
      <w:pPr>
        <w:spacing w:before="100" w:after="160"/>
        <w:jc w:val="center"/>
      </w:pPr>
      <w:r>
        <w:drawing>
          <wp:inline xmlns:a="http://schemas.openxmlformats.org/drawingml/2006/main" xmlns:pic="http://schemas.openxmlformats.org/drawingml/2006/picture">
            <wp:extent cx="5532120" cy="682806"/>
            <wp:docPr id="9" name="Picture 9" descr="内层损失为类平衡BCE加0.01 theta二范数平方，加0.001倍头增量平方和除p加1。"/>
            <wp:cNvGraphicFramePr>
              <a:graphicFrameLocks noChangeAspect="1"/>
            </wp:cNvGraphicFramePr>
            <a:graphic>
              <a:graphicData uri="http://schemas.openxmlformats.org/drawingml/2006/picture">
                <pic:pic>
                  <pic:nvPicPr>
                    <pic:cNvPr id="0" name="eq_inner.png"/>
                    <pic:cNvPicPr/>
                  </pic:nvPicPr>
                  <pic:blipFill>
                    <a:blip r:embed="rId18"/>
                    <a:stretch>
                      <a:fillRect/>
                    </a:stretch>
                  </pic:blipFill>
                  <pic:spPr>
                    <a:xfrm>
                      <a:off x="0" y="0"/>
                      <a:ext cx="5532120" cy="682806"/>
                    </a:xfrm>
                    <a:prstGeom prst="rect"/>
                  </pic:spPr>
                </pic:pic>
              </a:graphicData>
            </a:graphic>
          </wp:inline>
        </w:drawing>
      </w:r>
    </w:p>
    <w:p>
      <w:r>
        <w:rPr>
          <w:rFonts w:ascii="Noto Sans CJK SC" w:hAnsi="Noto Sans CJK SC" w:eastAsia="Noto Sans CJK SC"/>
          <w:color w:val="000000"/>
        </w:rPr>
        <w:t>每episode从零theta、零头增量开始，执行10次full-support SGD。theta学习率0.05，头0.01，无momentum、无support增强、无query早停；两组变量在同一前向下同时更新，每步把theta投影回半径rho的闭球。有效support缺类时回退f0，并保留该episode及采集成本。</w:t>
      </w:r>
    </w:p>
    <w:p>
      <w:pPr>
        <w:pStyle w:val="Heading2"/>
      </w:pPr>
      <w:r>
        <w:t>A4  完整双层元训练</w:t>
      </w:r>
    </w:p>
    <w:p>
      <w:r>
        <w:rPr>
          <w:rFonts w:ascii="Noto Sans CJK SC" w:hAnsi="Noto Sans CJK SC" w:eastAsia="Noto Sans CJK SC"/>
          <w:color w:val="000000"/>
        </w:rPr>
        <w:t>先均匀抽取meta-train参与者，再均匀抽其合格session。support固定为实际经过的前20个LR trial；query取后续完整LR run合并后的所有合法trial。每episode query整体至少20trial、每类至少5个。外层query按每类等权、类内每trial等权，不另加run权重。</w:t>
      </w:r>
    </w:p>
    <w:p>
      <w:pPr>
        <w:spacing w:before="100" w:after="160"/>
        <w:jc w:val="center"/>
      </w:pPr>
      <w:r>
        <w:drawing>
          <wp:inline xmlns:a="http://schemas.openxmlformats.org/drawingml/2006/main" xmlns:pic="http://schemas.openxmlformats.org/drawingml/2006/picture">
            <wp:extent cx="5623560" cy="643107"/>
            <wp:docPr id="10" name="Picture 10" descr="外层在B列正交约束下，最小化内层10步之后未来query的平均类平衡损失。"/>
            <wp:cNvGraphicFramePr>
              <a:graphicFrameLocks noChangeAspect="1"/>
            </wp:cNvGraphicFramePr>
            <a:graphic>
              <a:graphicData uri="http://schemas.openxmlformats.org/drawingml/2006/picture">
                <pic:pic>
                  <pic:nvPicPr>
                    <pic:cNvPr id="0" name="eq_outer.png"/>
                    <pic:cNvPicPr/>
                  </pic:nvPicPr>
                  <pic:blipFill>
                    <a:blip r:embed="rId19"/>
                    <a:stretch>
                      <a:fillRect/>
                    </a:stretch>
                  </pic:blipFill>
                  <pic:spPr>
                    <a:xfrm>
                      <a:off x="0" y="0"/>
                      <a:ext cx="5623560" cy="643107"/>
                    </a:xfrm>
                    <a:prstGeom prst="rect"/>
                  </pic:spPr>
                </pic:pic>
              </a:graphicData>
            </a:graphic>
          </wp:inline>
        </w:drawing>
      </w:r>
    </w:p>
    <w:p>
      <w:r>
        <w:rPr>
          <w:rFonts w:ascii="Noto Sans CJK SC" w:hAnsi="Noto Sans CJK SC" w:eastAsia="Noto Sans CJK SC"/>
          <w:color w:val="000000"/>
        </w:rPr>
        <w:t>每meta-batch为4episodes，共1000次outer更新。完整保留10步内层对B的依赖，使用create_graph或等价自动微分。冻结f0不等于切断输入到B的梯度；任何detach近似都必须作为不同方法标明。</w:t>
      </w:r>
    </w:p>
    <w:p>
      <w:pPr>
        <w:spacing w:before="100" w:after="160"/>
        <w:jc w:val="center"/>
      </w:pPr>
      <w:r>
        <w:drawing>
          <wp:inline xmlns:a="http://schemas.openxmlformats.org/drawingml/2006/main" xmlns:pic="http://schemas.openxmlformats.org/drawingml/2006/picture">
            <wp:extent cx="5669280" cy="303064"/>
            <wp:docPr id="11" name="Picture 11" descr="将欧氏梯度投影到Stiefel切空间，再以0.01步长更新并做薄QR回缩。"/>
            <wp:cNvGraphicFramePr>
              <a:graphicFrameLocks noChangeAspect="1"/>
            </wp:cNvGraphicFramePr>
            <a:graphic>
              <a:graphicData uri="http://schemas.openxmlformats.org/drawingml/2006/picture">
                <pic:pic>
                  <pic:nvPicPr>
                    <pic:cNvPr id="0" name="eq_update.png"/>
                    <pic:cNvPicPr/>
                  </pic:nvPicPr>
                  <pic:blipFill>
                    <a:blip r:embed="rId20"/>
                    <a:stretch>
                      <a:fillRect/>
                    </a:stretch>
                  </pic:blipFill>
                  <pic:spPr>
                    <a:xfrm>
                      <a:off x="0" y="0"/>
                      <a:ext cx="5669280" cy="303064"/>
                    </a:xfrm>
                    <a:prstGeom prst="rect"/>
                  </pic:spPr>
                </pic:pic>
              </a:graphicData>
            </a:graphic>
          </wp:inline>
        </w:drawing>
      </w:r>
    </w:p>
    <w:p>
      <w:r>
        <w:rPr>
          <w:rFonts w:ascii="Noto Sans CJK SC" w:hAnsi="Noto Sans CJK SC" w:eastAsia="Noto Sans CJK SC"/>
          <w:color w:val="000000"/>
        </w:rPr>
        <w:t>投影后梯度整体Frobenius范数上限1。B、Rref和matrix_exp使用float64，encoder可float32且转换保留梯度；首版不用混合精度。每50次outer在validation评估，先最高参与者平均BA、再较低BCE、再较早checkpoint破同分。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2232"/>
        <w:gridCol w:w="2952"/>
        <w:gridCol w:w="4608"/>
      </w:tblGrid>
      <w:tr>
        <w:trPr>
          <w:cantSplit/>
          <w:tblHeader/>
        </w:trPr>
        <w:tc>
          <w:tcPr>
            <w:tcW w:type="dxa" w:w="2232"/>
            <w:vAlign w:val="center"/>
            <w:shd w:fill="DEE7EF"/>
          </w:tcPr>
          <w:p>
            <w:pPr>
              <w:keepNext/>
              <w:spacing w:line="269" w:lineRule="auto" w:after="40" w:before="40"/>
            </w:pPr>
            <w:r>
              <w:rPr>
                <w:rFonts w:ascii="Noto Sans CJK SC" w:hAnsi="Noto Sans CJK SC" w:eastAsia="Noto Sans CJK SC"/>
                <w:b/>
                <w:color w:val="000000"/>
                <w:sz w:val="19"/>
              </w:rPr>
              <w:t>参数</w:t>
            </w:r>
          </w:p>
        </w:tc>
        <w:tc>
          <w:tcPr>
            <w:tcW w:type="dxa" w:w="2952"/>
            <w:vAlign w:val="center"/>
            <w:shd w:fill="DEE7EF"/>
          </w:tcPr>
          <w:p>
            <w:pPr>
              <w:keepNext/>
              <w:spacing w:line="269" w:lineRule="auto" w:after="40" w:before="40"/>
            </w:pPr>
            <w:r>
              <w:rPr>
                <w:rFonts w:ascii="Noto Sans CJK SC" w:hAnsi="Noto Sans CJK SC" w:eastAsia="Noto Sans CJK SC"/>
                <w:b/>
                <w:color w:val="000000"/>
                <w:sz w:val="19"/>
              </w:rPr>
              <w:t>预登记设置</w:t>
            </w:r>
          </w:p>
        </w:tc>
        <w:tc>
          <w:tcPr>
            <w:tcW w:type="dxa" w:w="4608"/>
            <w:vAlign w:val="center"/>
            <w:shd w:fill="DEE7EF"/>
          </w:tcPr>
          <w:p>
            <w:pPr>
              <w:keepNext/>
              <w:spacing w:line="269" w:lineRule="auto" w:after="40" w:before="40"/>
            </w:pPr>
            <w:r>
              <w:rPr>
                <w:rFonts w:ascii="Noto Sans CJK SC" w:hAnsi="Noto Sans CJK SC" w:eastAsia="Noto Sans CJK SC"/>
                <w:b/>
                <w:color w:val="000000"/>
                <w:sz w:val="19"/>
              </w:rPr>
              <w:t>目的与记录要求</w:t>
            </w:r>
          </w:p>
        </w:tc>
      </w:tr>
      <w:tr>
        <w:trPr>
          <w:cantSplit/>
        </w:trPr>
        <w:tc>
          <w:tcPr>
            <w:tcW w:type="dxa" w:w="2232"/>
            <w:vAlign w:val="center"/>
          </w:tcPr>
          <w:p>
            <w:pPr>
              <w:keepNext w:val="0"/>
              <w:spacing w:line="269" w:lineRule="auto" w:after="40" w:before="40"/>
            </w:pPr>
            <w:r>
              <w:rPr>
                <w:rFonts w:ascii="Noto Sans CJK SC" w:hAnsi="Noto Sans CJK SC" w:eastAsia="Noto Sans CJK SC"/>
                <w:color w:val="000000"/>
                <w:sz w:val="19"/>
              </w:rPr>
              <w:t>r与rho</w:t>
            </w:r>
          </w:p>
        </w:tc>
        <w:tc>
          <w:tcPr>
            <w:tcW w:type="dxa" w:w="2952"/>
            <w:vAlign w:val="center"/>
          </w:tcPr>
          <w:p>
            <w:pPr>
              <w:keepNext w:val="0"/>
              <w:spacing w:line="269" w:lineRule="auto" w:after="40" w:before="40"/>
            </w:pPr>
            <w:r>
              <w:rPr>
                <w:rFonts w:ascii="Noto Sans CJK SC" w:hAnsi="Noto Sans CJK SC" w:eastAsia="Noto Sans CJK SC"/>
                <w:color w:val="000000"/>
                <w:sz w:val="19"/>
              </w:rPr>
              <w:t>r={2,4,8}；rho={0.05,0.15,0.35}</w:t>
            </w:r>
          </w:p>
        </w:tc>
        <w:tc>
          <w:tcPr>
            <w:tcW w:type="dxa" w:w="4608"/>
            <w:vAlign w:val="center"/>
          </w:tcPr>
          <w:p>
            <w:pPr>
              <w:keepNext w:val="0"/>
              <w:spacing w:line="269" w:lineRule="auto" w:after="40" w:before="40"/>
            </w:pPr>
            <w:r>
              <w:rPr>
                <w:rFonts w:ascii="Noto Sans CJK SC" w:hAnsi="Noto Sans CJK SC" w:eastAsia="Noto Sans CJK SC"/>
                <w:color w:val="000000"/>
                <w:sz w:val="19"/>
              </w:rPr>
              <w:t>9个配置，所有对照最多同样9个开发候选</w:t>
            </w:r>
          </w:p>
        </w:tc>
      </w:tr>
      <w:tr>
        <w:trPr>
          <w:cantSplit/>
        </w:trPr>
        <w:tc>
          <w:tcPr>
            <w:tcW w:type="dxa" w:w="2232"/>
            <w:vAlign w:val="center"/>
          </w:tcPr>
          <w:p>
            <w:pPr>
              <w:keepNext w:val="0"/>
              <w:spacing w:line="269" w:lineRule="auto" w:after="40" w:before="40"/>
            </w:pPr>
            <w:r>
              <w:rPr>
                <w:rFonts w:ascii="Noto Sans CJK SC" w:hAnsi="Noto Sans CJK SC" w:eastAsia="Noto Sans CJK SC"/>
                <w:color w:val="000000"/>
                <w:sz w:val="19"/>
              </w:rPr>
              <w:t>source随机性</w:t>
            </w:r>
          </w:p>
        </w:tc>
        <w:tc>
          <w:tcPr>
            <w:tcW w:type="dxa" w:w="2952"/>
            <w:vAlign w:val="center"/>
          </w:tcPr>
          <w:p>
            <w:pPr>
              <w:keepNext w:val="0"/>
              <w:spacing w:line="269" w:lineRule="auto" w:after="40" w:before="40"/>
            </w:pPr>
            <w:r>
              <w:rPr>
                <w:rFonts w:ascii="Noto Sans CJK SC" w:hAnsi="Noto Sans CJK SC" w:eastAsia="Noto Sans CJK SC"/>
                <w:color w:val="000000"/>
                <w:sz w:val="19"/>
              </w:rPr>
              <w:t>3seed确认；最终5pipeline</w:t>
            </w:r>
          </w:p>
        </w:tc>
        <w:tc>
          <w:tcPr>
            <w:tcW w:type="dxa" w:w="4608"/>
            <w:vAlign w:val="center"/>
          </w:tcPr>
          <w:p>
            <w:pPr>
              <w:keepNext w:val="0"/>
              <w:spacing w:line="269" w:lineRule="auto" w:after="40" w:before="40"/>
            </w:pPr>
            <w:r>
              <w:rPr>
                <w:rFonts w:ascii="Noto Sans CJK SC" w:hAnsi="Noto Sans CJK SC" w:eastAsia="Noto Sans CJK SC"/>
                <w:color w:val="000000"/>
                <w:sz w:val="19"/>
              </w:rPr>
              <w:t>完整绑定f0、G初始化与episode顺序；不挑最好seed</w:t>
            </w:r>
          </w:p>
        </w:tc>
      </w:tr>
      <w:tr>
        <w:trPr>
          <w:cantSplit/>
        </w:trPr>
        <w:tc>
          <w:tcPr>
            <w:tcW w:type="dxa" w:w="2232"/>
            <w:vAlign w:val="center"/>
          </w:tcPr>
          <w:p>
            <w:pPr>
              <w:keepNext w:val="0"/>
              <w:spacing w:line="269" w:lineRule="auto" w:after="40" w:before="40"/>
            </w:pPr>
            <w:r>
              <w:rPr>
                <w:rFonts w:ascii="Noto Sans CJK SC" w:hAnsi="Noto Sans CJK SC" w:eastAsia="Noto Sans CJK SC"/>
                <w:color w:val="000000"/>
                <w:sz w:val="19"/>
              </w:rPr>
              <w:t>主G搜索</w:t>
            </w:r>
          </w:p>
        </w:tc>
        <w:tc>
          <w:tcPr>
            <w:tcW w:type="dxa" w:w="2952"/>
            <w:vAlign w:val="center"/>
          </w:tcPr>
          <w:p>
            <w:pPr>
              <w:keepNext w:val="0"/>
              <w:spacing w:line="269" w:lineRule="auto" w:after="40" w:before="40"/>
            </w:pPr>
            <w:r>
              <w:rPr>
                <w:rFonts w:ascii="Noto Sans CJK SC" w:hAnsi="Noto Sans CJK SC" w:eastAsia="Noto Sans CJK SC"/>
                <w:color w:val="000000"/>
                <w:sz w:val="19"/>
              </w:rPr>
              <w:t>9格×1seed；冻结配置再加4seed</w:t>
            </w:r>
          </w:p>
        </w:tc>
        <w:tc>
          <w:tcPr>
            <w:tcW w:type="dxa" w:w="4608"/>
            <w:vAlign w:val="center"/>
          </w:tcPr>
          <w:p>
            <w:pPr>
              <w:keepNext w:val="0"/>
              <w:spacing w:line="269" w:lineRule="auto" w:after="40" w:before="40"/>
            </w:pPr>
            <w:r>
              <w:rPr>
                <w:rFonts w:ascii="Noto Sans CJK SC" w:hAnsi="Noto Sans CJK SC" w:eastAsia="Noto Sans CJK SC"/>
                <w:color w:val="000000"/>
                <w:sz w:val="19"/>
              </w:rPr>
              <w:t>共13个meta job；52000 episodes、520000 inner steps；验证及其他对照另计</w:t>
            </w:r>
          </w:p>
        </w:tc>
      </w:tr>
      <w:tr>
        <w:trPr>
          <w:cantSplit/>
        </w:trPr>
        <w:tc>
          <w:tcPr>
            <w:tcW w:type="dxa" w:w="2232"/>
            <w:vAlign w:val="center"/>
          </w:tcPr>
          <w:p>
            <w:pPr>
              <w:keepNext w:val="0"/>
              <w:spacing w:line="269" w:lineRule="auto" w:after="40" w:before="40"/>
            </w:pPr>
            <w:r>
              <w:rPr>
                <w:rFonts w:ascii="Noto Sans CJK SC" w:hAnsi="Noto Sans CJK SC" w:eastAsia="Noto Sans CJK SC"/>
                <w:color w:val="000000"/>
                <w:sz w:val="19"/>
              </w:rPr>
              <w:t>数据规模消融</w:t>
            </w:r>
          </w:p>
        </w:tc>
        <w:tc>
          <w:tcPr>
            <w:tcW w:type="dxa" w:w="2952"/>
            <w:vAlign w:val="center"/>
          </w:tcPr>
          <w:p>
            <w:pPr>
              <w:keepNext w:val="0"/>
              <w:spacing w:line="269" w:lineRule="auto" w:after="40" w:before="40"/>
            </w:pPr>
            <w:r>
              <w:rPr>
                <w:rFonts w:ascii="Noto Sans CJK SC" w:hAnsi="Noto Sans CJK SC" w:eastAsia="Noto Sans CJK SC"/>
                <w:color w:val="000000"/>
                <w:sz w:val="19"/>
              </w:rPr>
              <w:t>嵌套10/20/40人</w:t>
            </w:r>
          </w:p>
        </w:tc>
        <w:tc>
          <w:tcPr>
            <w:tcW w:type="dxa" w:w="4608"/>
            <w:vAlign w:val="center"/>
          </w:tcPr>
          <w:p>
            <w:pPr>
              <w:keepNext w:val="0"/>
              <w:spacing w:line="269" w:lineRule="auto" w:after="40" w:before="40"/>
            </w:pPr>
            <w:r>
              <w:rPr>
                <w:rFonts w:ascii="Noto Sans CJK SC" w:hAnsi="Noto Sans CJK SC" w:eastAsia="Noto Sans CJK SC"/>
                <w:color w:val="000000"/>
                <w:sz w:val="19"/>
              </w:rPr>
              <w:t>相同1000×4 outer预算、f0、配置和validation；人数不足时按协议改为预定比例</w:t>
            </w:r>
          </w:p>
        </w:tc>
      </w:tr>
      <w:tr>
        <w:trPr>
          <w:cantSplit/>
        </w:trPr>
        <w:tc>
          <w:tcPr>
            <w:tcW w:type="dxa" w:w="2232"/>
            <w:vAlign w:val="center"/>
          </w:tcPr>
          <w:p>
            <w:pPr>
              <w:keepNext w:val="0"/>
              <w:spacing w:line="269" w:lineRule="auto" w:after="40" w:before="40"/>
            </w:pPr>
            <w:r>
              <w:rPr>
                <w:rFonts w:ascii="Noto Sans CJK SC" w:hAnsi="Noto Sans CJK SC" w:eastAsia="Noto Sans CJK SC"/>
                <w:color w:val="000000"/>
                <w:sz w:val="19"/>
              </w:rPr>
              <w:t>目标阶段</w:t>
            </w:r>
          </w:p>
        </w:tc>
        <w:tc>
          <w:tcPr>
            <w:tcW w:type="dxa" w:w="2952"/>
            <w:vAlign w:val="center"/>
          </w:tcPr>
          <w:p>
            <w:pPr>
              <w:keepNext w:val="0"/>
              <w:spacing w:line="269" w:lineRule="auto" w:after="40" w:before="40"/>
            </w:pPr>
            <w:r>
              <w:rPr>
                <w:rFonts w:ascii="Noto Sans CJK SC" w:hAnsi="Noto Sans CJK SC" w:eastAsia="Noto Sans CJK SC"/>
                <w:color w:val="000000"/>
                <w:sz w:val="19"/>
              </w:rPr>
              <w:t>20trial；10次full-support SGD</w:t>
            </w:r>
          </w:p>
        </w:tc>
        <w:tc>
          <w:tcPr>
            <w:tcW w:type="dxa" w:w="4608"/>
            <w:vAlign w:val="center"/>
          </w:tcPr>
          <w:p>
            <w:pPr>
              <w:keepNext w:val="0"/>
              <w:spacing w:line="269" w:lineRule="auto" w:after="40" w:before="40"/>
            </w:pPr>
            <w:r>
              <w:rPr>
                <w:rFonts w:ascii="Noto Sans CJK SC" w:hAnsi="Noto Sans CJK SC" w:eastAsia="Noto Sans CJK SC"/>
                <w:color w:val="000000"/>
                <w:sz w:val="19"/>
              </w:rPr>
              <w:t>无效校准trial计费，未来query不给拟合或标准化读取</w:t>
            </w:r>
          </w:p>
        </w:tc>
      </w:tr>
    </w:tbl>
    <w:p>
      <w:pPr>
        <w:spacing w:after="40" w:before="0" w:line="96" w:lineRule="auto"/>
      </w:pPr>
      <w:r>
        <w:rPr>
          <w:rFonts w:ascii="Noto Sans CJK SC" w:hAnsi="Noto Sans CJK SC" w:eastAsia="Noto Sans CJK SC"/>
          <w:color w:val="000000"/>
          <w:sz w:val="4"/>
        </w:rPr>
      </w:r>
    </w:p>
    <w:p>
      <w:pPr>
        <w:pStyle w:val="Heading2"/>
      </w:pPr>
      <w:r>
        <w:t>A5  PCT只作为已有强对照</w:t>
      </w:r>
    </w:p>
    <w:p>
      <w:r>
        <w:rPr>
          <w:rFonts w:ascii="Noto Sans CJK SC" w:hAnsi="Noto Sans CJK SC" w:eastAsia="Noto Sans CJK SC"/>
          <w:color w:val="000000"/>
        </w:rPr>
        <w:t>主方法的PCT系数为0。P+PCT、B7和B11使用同一冻结teacher与old-correct mask，增加0.1倍以下focal logit matching；被比较的是已有正则之外的增量。</w:t>
      </w:r>
    </w:p>
    <w:p>
      <w:pPr>
        <w:spacing w:before="100" w:after="160"/>
        <w:jc w:val="center"/>
      </w:pPr>
      <w:r>
        <w:drawing>
          <wp:inline xmlns:a="http://schemas.openxmlformats.org/drawingml/2006/main" xmlns:pic="http://schemas.openxmlformats.org/drawingml/2006/picture">
            <wp:extent cx="5669280" cy="638792"/>
            <wp:docPr id="12" name="Picture 12" descr="PCT项为每个support样本的双logit平方差均值；旧模型判对样本权重为6，其余为1。"/>
            <wp:cNvGraphicFramePr>
              <a:graphicFrameLocks noChangeAspect="1"/>
            </wp:cNvGraphicFramePr>
            <a:graphic>
              <a:graphicData uri="http://schemas.openxmlformats.org/drawingml/2006/picture">
                <pic:pic>
                  <pic:nvPicPr>
                    <pic:cNvPr id="0" name="eq_pct.png"/>
                    <pic:cNvPicPr/>
                  </pic:nvPicPr>
                  <pic:blipFill>
                    <a:blip r:embed="rId21"/>
                    <a:stretch>
                      <a:fillRect/>
                    </a:stretch>
                  </pic:blipFill>
                  <pic:spPr>
                    <a:xfrm>
                      <a:off x="0" y="0"/>
                      <a:ext cx="5669280" cy="638792"/>
                    </a:xfrm>
                    <a:prstGeom prst="rect"/>
                  </pic:spPr>
                </pic:pic>
              </a:graphicData>
            </a:graphic>
          </wp:inline>
        </w:drawing>
      </w:r>
    </w:p>
    <w:p>
      <w:r>
        <w:rPr>
          <w:rFonts w:ascii="Noto Sans CJK SC" w:hAnsi="Noto Sans CJK SC" w:eastAsia="Noto Sans CJK SC"/>
          <w:color w:val="000000"/>
        </w:rPr>
        <w:t>空间方向的坐标基可旋转而不改变所表示子空间；机制图展示投影、主角与实际变换，不把G1或G2命名为唯一神经生理成分。完整推导、伪代码及数值验收条件见METHOD_SPEC.md。</w:t>
      </w:r>
    </w:p>
    <w:p>
      <w:pPr>
        <w:pStyle w:val="Heading1"/>
        <w:pageBreakBefore/>
      </w:pPr>
      <w:r>
        <w:t>附录 B  强对照的实施与搜索规格</w:t>
      </w:r>
    </w:p>
    <w:p>
      <w:r>
        <w:rPr>
          <w:rFonts w:ascii="Noto Sans CJK SC" w:hAnsi="Noto Sans CJK SC" w:eastAsia="Noto Sans CJK SC"/>
          <w:color w:val="000000"/>
        </w:rPr>
        <w:t>本文件把 EXPERIMENT_PROTOCOL 中的 B0–B11 落到可复现设置。所有数值是预先规定的开发起点，不是已验证最优值。每个方法最多9个开发配置；修改必须在内部留出或外测之前登记新版本。数学基线与神经基线不假装具有同样的optimizer步数，分别报告标签、参数、更新、耗时。</w:t>
      </w:r>
    </w:p>
    <w:p>
      <w:pPr>
        <w:pStyle w:val="Heading2"/>
      </w:pPr>
      <w:r>
        <w:t>1 共同契约</w:t>
      </w:r>
    </w:p>
    <w:p>
      <w:r>
        <w:rPr>
          <w:rFonts w:ascii="Noto Sans CJK SC" w:hAnsi="Noto Sans CJK SC" w:eastAsia="Noto Sans CJK SC"/>
          <w:color w:val="000000"/>
        </w:rPr>
        <w:t>相同原始20trial前缀、相同有效support、相同未来query、同一输入窗口和clinic11。supervised方法有效support缺类时均回退各自source模型，计入失败/回退统计。参与者、session、trial资格对全部方法相同。不会为了凑类别向未来补采。</w:t>
      </w:r>
    </w:p>
    <w:p>
      <w:r>
        <w:rPr>
          <w:rFonts w:ascii="Noto Sans CJK SC" w:hAnsi="Noto Sans CJK SC" w:eastAsia="Noto Sans CJK SC"/>
          <w:color w:val="000000"/>
        </w:rPr>
        <w:t>所有基于EEGNet的更新共享完全相同f0；其源权重、source classifier和BN buffers作为只读起点。除B2明确允许的参数以外都冻结，所有神经方法在目标阶段均使用eval模式，关闭dropout并固定BN统计。源logits的标签0/1顺序固定；由同一logits生成probability和argmax，tie选择0。</w:t>
      </w:r>
    </w:p>
    <w:p>
      <w:r>
        <w:rPr>
          <w:rFonts w:ascii="Noto Sans CJK SC" w:hAnsi="Noto Sans CJK SC" w:eastAsia="Noto Sans CJK SC"/>
          <w:color w:val="000000"/>
        </w:rPr>
        <w:t>空间方法统一使用METHOD_SPEC的Q与Rref坐标。变换之后才做相同的联合trial RMS，不加原始幅值epsilon；相对通道增益不会被逐通道z-score消除。Rref来自四个source，任何对照不得额外使用query或完整无标签目标session来估计参考。</w:t>
      </w:r>
    </w:p>
    <w:p>
      <w:pPr>
        <w:pStyle w:val="Heading2"/>
      </w:pPr>
      <w:r>
        <w:t>2 基础神经与协方差对照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792"/>
        <w:gridCol w:w="3816"/>
        <w:gridCol w:w="5184"/>
      </w:tblGrid>
      <w:tr>
        <w:trPr>
          <w:cantSplit/>
          <w:tblHeader/>
        </w:trPr>
        <w:tc>
          <w:tcPr>
            <w:tcW w:type="dxa" w:w="792"/>
            <w:vAlign w:val="center"/>
            <w:shd w:fill="DEE7EF"/>
          </w:tcPr>
          <w:p>
            <w:pPr>
              <w:keepNext/>
              <w:spacing w:line="269" w:lineRule="auto" w:after="40" w:before="40"/>
              <w:jc w:val="center"/>
            </w:pPr>
            <w:r>
              <w:rPr>
                <w:rFonts w:ascii="Noto Sans CJK SC" w:hAnsi="Noto Sans CJK SC" w:eastAsia="Noto Sans CJK SC"/>
                <w:b/>
                <w:color w:val="000000"/>
                <w:sz w:val="19"/>
              </w:rPr>
              <w:t>ID</w:t>
            </w:r>
          </w:p>
        </w:tc>
        <w:tc>
          <w:tcPr>
            <w:tcW w:type="dxa" w:w="3816"/>
            <w:vAlign w:val="center"/>
            <w:shd w:fill="DEE7EF"/>
          </w:tcPr>
          <w:p>
            <w:pPr>
              <w:keepNext/>
              <w:spacing w:line="269" w:lineRule="auto" w:after="40" w:before="40"/>
            </w:pPr>
            <w:r>
              <w:rPr>
                <w:rFonts w:ascii="Noto Sans CJK SC" w:hAnsi="Noto Sans CJK SC" w:eastAsia="Noto Sans CJK SC"/>
                <w:b/>
                <w:color w:val="000000"/>
                <w:sz w:val="19"/>
              </w:rPr>
              <w:t>参数与优化</w:t>
            </w:r>
          </w:p>
        </w:tc>
        <w:tc>
          <w:tcPr>
            <w:tcW w:type="dxa" w:w="5184"/>
            <w:vAlign w:val="center"/>
            <w:shd w:fill="DEE7EF"/>
          </w:tcPr>
          <w:p>
            <w:pPr>
              <w:keepNext/>
              <w:spacing w:line="269" w:lineRule="auto" w:after="40" w:before="40"/>
            </w:pPr>
            <w:r>
              <w:rPr>
                <w:rFonts w:ascii="Noto Sans CJK SC" w:hAnsi="Noto Sans CJK SC" w:eastAsia="Noto Sans CJK SC"/>
                <w:b/>
                <w:color w:val="000000"/>
                <w:sz w:val="19"/>
              </w:rPr>
              <w:t>开发配置</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B0</w:t>
            </w:r>
          </w:p>
        </w:tc>
        <w:tc>
          <w:tcPr>
            <w:tcW w:type="dxa" w:w="3816"/>
            <w:vAlign w:val="center"/>
          </w:tcPr>
          <w:p>
            <w:pPr>
              <w:keepNext w:val="0"/>
              <w:spacing w:line="269" w:lineRule="auto" w:after="40" w:before="40"/>
            </w:pPr>
            <w:r>
              <w:rPr>
                <w:rFonts w:ascii="Noto Sans CJK SC" w:hAnsi="Noto Sans CJK SC" w:eastAsia="Noto Sans CJK SC"/>
                <w:color w:val="000000"/>
                <w:sz w:val="19"/>
              </w:rPr>
              <w:t>frozen。 f0直接推断，无目标优化</w:t>
            </w:r>
          </w:p>
        </w:tc>
        <w:tc>
          <w:tcPr>
            <w:tcW w:type="dxa" w:w="5184"/>
            <w:vAlign w:val="center"/>
          </w:tcPr>
          <w:p>
            <w:pPr>
              <w:keepNext w:val="0"/>
              <w:spacing w:line="269" w:lineRule="auto" w:after="40" w:before="40"/>
            </w:pPr>
            <w:r>
              <w:rPr>
                <w:rFonts w:ascii="Noto Sans CJK SC" w:hAnsi="Noto Sans CJK SC" w:eastAsia="Noto Sans CJK SC"/>
                <w:color w:val="000000"/>
                <w:sz w:val="19"/>
              </w:rPr>
              <w:t>1个固定设置</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B1</w:t>
            </w:r>
          </w:p>
        </w:tc>
        <w:tc>
          <w:tcPr>
            <w:tcW w:type="dxa" w:w="3816"/>
            <w:vAlign w:val="center"/>
          </w:tcPr>
          <w:p>
            <w:pPr>
              <w:keepNext w:val="0"/>
              <w:spacing w:line="269" w:lineRule="auto" w:after="40" w:before="40"/>
            </w:pPr>
            <w:r>
              <w:rPr>
                <w:rFonts w:ascii="Noto Sans CJK SC" w:hAnsi="Noto Sans CJK SC" w:eastAsia="Noto Sans CJK SC"/>
                <w:color w:val="000000"/>
                <w:sz w:val="19"/>
              </w:rPr>
              <w:t>head-only。 θ固定0；原双logit加对称margin头增量；full-support SGD 10步，类平衡BCE</w:t>
            </w:r>
          </w:p>
        </w:tc>
        <w:tc>
          <w:tcPr>
            <w:tcW w:type="dxa" w:w="5184"/>
            <w:vAlign w:val="center"/>
          </w:tcPr>
          <w:p>
            <w:pPr>
              <w:keepNext w:val="0"/>
              <w:spacing w:line="269" w:lineRule="auto" w:after="40" w:before="40"/>
            </w:pPr>
            <w:r>
              <w:rPr>
                <w:rFonts w:ascii="Noto Sans CJK SC" w:hAnsi="Noto Sans CJK SC" w:eastAsia="Noto Sans CJK SC"/>
                <w:color w:val="000000"/>
                <w:sz w:val="19"/>
              </w:rPr>
              <w:t>head lr={0.003,0.01,0.03} × 头L2系数={0,0.001,0.01}，按p+1归一化，共9</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B2</w:t>
            </w:r>
          </w:p>
        </w:tc>
        <w:tc>
          <w:tcPr>
            <w:tcW w:type="dxa" w:w="3816"/>
            <w:vAlign w:val="center"/>
          </w:tcPr>
          <w:p>
            <w:pPr>
              <w:keepNext w:val="0"/>
              <w:spacing w:line="269" w:lineRule="auto" w:after="40" w:before="40"/>
            </w:pPr>
            <w:r>
              <w:rPr>
                <w:rFonts w:ascii="Noto Sans CJK SC" w:hAnsi="Noto Sans CJK SC" w:eastAsia="Noto Sans CJK SC"/>
                <w:color w:val="000000"/>
                <w:sz w:val="19"/>
              </w:rPr>
              <w:t>full fine-tuning。 复制f0，更新全部可训练权重与头，BN running统计固定；full-support SGD10步；以源参数作L2起点</w:t>
            </w:r>
          </w:p>
        </w:tc>
        <w:tc>
          <w:tcPr>
            <w:tcW w:type="dxa" w:w="5184"/>
            <w:vAlign w:val="center"/>
          </w:tcPr>
          <w:p>
            <w:pPr>
              <w:keepNext w:val="0"/>
              <w:spacing w:line="269" w:lineRule="auto" w:after="40" w:before="40"/>
            </w:pPr>
            <w:r>
              <w:rPr>
                <w:rFonts w:ascii="Noto Sans CJK SC" w:hAnsi="Noto Sans CJK SC" w:eastAsia="Noto Sans CJK SC"/>
                <w:color w:val="000000"/>
                <w:sz w:val="19"/>
              </w:rPr>
              <w:t>lr={0.0001,0.0003,0.001} × L2-to-source={0,0.0001,0.001}，按可训练参数数归一化，共9</w:t>
            </w:r>
          </w:p>
        </w:tc>
      </w:tr>
      <w:tr>
        <w:trPr>
          <w:cantSplit/>
        </w:trPr>
        <w:tc>
          <w:tcPr>
            <w:tcW w:type="dxa" w:w="792"/>
            <w:vAlign w:val="center"/>
          </w:tcPr>
          <w:p>
            <w:pPr>
              <w:keepNext w:val="0"/>
              <w:spacing w:line="269" w:lineRule="auto" w:after="40" w:before="40"/>
              <w:jc w:val="center"/>
            </w:pPr>
            <w:r>
              <w:rPr>
                <w:rFonts w:ascii="Noto Sans CJK SC" w:hAnsi="Noto Sans CJK SC" w:eastAsia="Noto Sans CJK SC"/>
                <w:color w:val="000000"/>
                <w:sz w:val="19"/>
              </w:rPr>
              <w:t>B3</w:t>
            </w:r>
          </w:p>
        </w:tc>
        <w:tc>
          <w:tcPr>
            <w:tcW w:type="dxa" w:w="3816"/>
            <w:vAlign w:val="center"/>
          </w:tcPr>
          <w:p>
            <w:pPr>
              <w:keepNext w:val="0"/>
              <w:spacing w:line="269" w:lineRule="auto" w:after="40" w:before="40"/>
            </w:pPr>
            <w:r>
              <w:rPr>
                <w:rFonts w:ascii="Noto Sans CJK SC" w:hAnsi="Noto Sans CJK SC" w:eastAsia="Noto Sans CJK SC"/>
                <w:color w:val="000000"/>
                <w:sz w:val="19"/>
              </w:rPr>
              <w:t>source-covariance alignment + head。 从合法support估计trace-normalized CAR协方差Ctarget，收缩得到Rt；固定A=QᵀRref^(1/2)Rt^(−1/2)Q，再做B1同形头10步</w:t>
            </w:r>
          </w:p>
        </w:tc>
        <w:tc>
          <w:tcPr>
            <w:tcW w:type="dxa" w:w="5184"/>
            <w:vAlign w:val="center"/>
          </w:tcPr>
          <w:p>
            <w:pPr>
              <w:keepNext w:val="0"/>
              <w:spacing w:line="269" w:lineRule="auto" w:after="40" w:before="40"/>
            </w:pPr>
            <w:r>
              <w:rPr>
                <w:rFonts w:ascii="Noto Sans CJK SC" w:hAnsi="Noto Sans CJK SC" w:eastAsia="Noto Sans CJK SC"/>
                <w:color w:val="000000"/>
                <w:sz w:val="19"/>
              </w:rPr>
              <w:t>target covariance shrink={0.01,0.05,0.1} × head lr={0.003,0.01,0.03}；头L2=0.001，共9</w:t>
            </w:r>
          </w:p>
        </w:tc>
      </w:tr>
    </w:tbl>
    <w:p>
      <w:pPr>
        <w:spacing w:after="40" w:before="0" w:line="96" w:lineRule="auto"/>
      </w:pPr>
      <w:r>
        <w:rPr>
          <w:rFonts w:ascii="Noto Sans CJK SC" w:hAnsi="Noto Sans CJK SC" w:eastAsia="Noto Sans CJK SC"/>
          <w:color w:val="000000"/>
          <w:sz w:val="4"/>
        </w:rPr>
      </w:r>
    </w:p>
    <w:p>
      <w:r>
        <w:rPr>
          <w:rFonts w:ascii="Noto Sans CJK SC" w:hAnsi="Noto Sans CJK SC" w:eastAsia="Noto Sans CJK SC"/>
          <w:color w:val="000000"/>
        </w:rPr>
        <w:t>B3是“将目标协方差匹配到固定source参考”的对齐，必须给出上述方向和矩阵次序；不把它无说明写成作者EA原版。传统EA会把source和target都映射到其各自平均协方差的白化空间，需另行训练匹配source输入的编码器。若补做原版EA，使用独立source checkpoint与同预算support-only目标参考，列为补充强对照；不能把未对齐的f0只做一端白化就冒充完整原算法。</w:t>
      </w:r>
    </w:p>
    <w:p>
      <w:r>
        <w:rPr>
          <w:rFonts w:ascii="Noto Sans CJK SC" w:hAnsi="Noto Sans CJK SC" w:eastAsia="Noto Sans CJK SC"/>
          <w:color w:val="000000"/>
        </w:rPr>
        <w:t xml:space="preserve">B2的目标明确为 </w:t>
      </w:r>
      <w:r>
        <w:rPr>
          <w:rFonts w:ascii="Noto Sans CJK SC" w:hAnsi="Noto Sans CJK SC" w:eastAsia="Noto Sans CJK SC"/>
          <w:color w:val="000000"/>
        </w:rPr>
        <w:t>Lbal(S) + lambda*||psi-psi0||2^2/Ntrainable</w:t>
      </w:r>
      <w:r>
        <w:rPr>
          <w:rFonts w:ascii="Noto Sans CJK SC" w:hAnsi="Noto Sans CJK SC" w:eastAsia="Noto Sans CJK SC"/>
          <w:color w:val="000000"/>
        </w:rPr>
        <w:t>：Lbal沿用METHOD_SPEC的类别等权BCE，psi包含全部可训练参数及分类头，含偏置；psi0是同一source checkpoint，Ntrainable是psi元素数，BN running buffers不在其中。</w:t>
      </w:r>
    </w:p>
    <w:p>
      <w:r>
        <w:rPr>
          <w:rFonts w:ascii="Noto Sans CJK SC" w:hAnsi="Noto Sans CJK SC" w:eastAsia="Noto Sans CJK SC"/>
          <w:color w:val="000000"/>
        </w:rPr>
        <w:t>相关原始先例：He and Wu, Transfer Learning for Brain-Computer Interfaces: A Euclidean Space Data Alignment Approach，IEEE TBME，DOI10.1109/TBME.2019.2913914，作者稿 https://arxiv.org/abs/1808.05464 。Sun, Feng and Saenko, Correlation Alignment for Unsupervised Domain Adaptation，https://arxiv.org/abs/1612.01939 。本项目B3是明确适配到固定f0坐标的比较版本，不是宣称逐行复现以上论文。</w:t>
      </w:r>
    </w:p>
    <w:p>
      <w:pPr>
        <w:pStyle w:val="Heading2"/>
      </w:pPr>
      <w:r>
        <w:t>3 传统小样本基线</w:t>
      </w:r>
    </w:p>
    <w:p>
      <w:pPr>
        <w:pStyle w:val="Heading3"/>
      </w:pPr>
      <w:r>
        <w:t>B4 目标CSP加源先验和LDA</w:t>
      </w:r>
    </w:p>
    <w:p>
      <w:r>
        <w:rPr>
          <w:rFonts w:ascii="Noto Sans CJK SC" w:hAnsi="Noto Sans CJK SC" w:eastAsia="Noto Sans CJK SC"/>
          <w:color w:val="000000"/>
        </w:rPr>
        <w:t xml:space="preserve">在相同10维CAR坐标中计算每trial的trace-normalized协方差。source各类别均值按source数据集、参与者等权，target各类别均值只来自合法support。类别c的拟合协方差为 </w:t>
      </w:r>
      <w:r>
        <w:rPr>
          <w:rFonts w:ascii="Noto Sans CJK SC" w:hAnsi="Noto Sans CJK SC" w:eastAsia="Noto Sans CJK SC"/>
          <w:color w:val="000000"/>
        </w:rPr>
        <w:t>(1-alpha)*Ctarget_c + alpha*Csource_c</w:t>
      </w:r>
      <w:r>
        <w:rPr>
          <w:rFonts w:ascii="Noto Sans CJK SC" w:hAnsi="Noto Sans CJK SC" w:eastAsia="Noto Sans CJK SC"/>
          <w:color w:val="000000"/>
        </w:rPr>
        <w:t>，再用0.1的单位迹各向同性收缩。解CSP广义特征问题，取最大与最小各m个方向，提取log normalized variance特征，在target support上拟合</w:t>
      </w:r>
      <w:r>
        <w:rPr>
          <w:rFonts w:ascii="Noto Sans CJK SC" w:hAnsi="Noto Sans CJK SC" w:eastAsia="Noto Sans CJK SC"/>
          <w:color w:val="000000"/>
        </w:rPr>
        <w:t>LinearDiscriminantAnalysis(solver='lsqr', shrinkage='auto', priors=[0.5,0.5])</w:t>
      </w:r>
      <w:r>
        <w:rPr>
          <w:rFonts w:ascii="Noto Sans CJK SC" w:hAnsi="Noto Sans CJK SC" w:eastAsia="Noto Sans CJK SC"/>
          <w:color w:val="000000"/>
        </w:rPr>
        <w:t>。</w:t>
      </w:r>
    </w:p>
    <w:p>
      <w:r>
        <w:rPr>
          <w:rFonts w:ascii="Noto Sans CJK SC" w:hAnsi="Noto Sans CJK SC" w:eastAsia="Noto Sans CJK SC"/>
          <w:color w:val="000000"/>
        </w:rPr>
        <w:t>开发网格alpha={0,0.5,1}、m={1,2,3}，共9。alpha=0是target-only完整CSP重拟合，alpha=1是source CSP固定、只用target重新拟合LDA；中间值是源先验收缩。源CSP和源LDA均保存frozen参照。所有分母、排序和特征符号采用确定性约定；不把source全量trial与20个target简单拼接后将source权重淹没目标，除非作为另行标明的对照。</w:t>
      </w:r>
    </w:p>
    <w:p>
      <w:r>
        <w:rPr>
          <w:rFonts w:ascii="Noto Sans CJK SC" w:hAnsi="Noto Sans CJK SC" w:eastAsia="Noto Sans CJK SC"/>
          <w:color w:val="000000"/>
        </w:rPr>
        <w:t>B4先验方案是本研究的强传统实现，不能冒称与论文2的源标签规模、窗口和训练公式完全相同。论文2原协议的复核放在Kumar已探索数据中。</w:t>
      </w:r>
    </w:p>
    <w:p>
      <w:pPr>
        <w:pStyle w:val="Heading3"/>
      </w:pPr>
      <w:r>
        <w:t>B5 切空间特征的目标分类器校准</w:t>
      </w:r>
    </w:p>
    <w:p>
      <w:r>
        <w:rPr>
          <w:rFonts w:ascii="Noto Sans CJK SC" w:hAnsi="Noto Sans CJK SC" w:eastAsia="Noto Sans CJK SC"/>
          <w:color w:val="000000"/>
        </w:rPr>
        <w:t>保留旧包已经定义的log-Euclidean参考切空间特征，不能写成默认仿射不变均值。每trial在10维CAR空间做trace归一化和SPD收缩；source参考为source各log协方差加权均值的矩阵指数。切空间特征取参考白化后协方差的矩阵log，上三角非对角乘sqrt(2)。source特征标准化器与source logistic classifier固定作为初始模型。</w:t>
      </w:r>
    </w:p>
    <w:p>
      <w:r>
        <w:rPr>
          <w:rFonts w:ascii="Noto Sans CJK SC" w:hAnsi="Noto Sans CJK SC" w:eastAsia="Noto Sans CJK SC"/>
          <w:color w:val="000000"/>
        </w:rPr>
        <w:t>target仅使用support，通过类平衡BCE加L2-to-source校准logistic margin；使用确定性L-BFGS、最多200次迭代、梯度容差1e-8，记录是否收敛。开发网格trial covariance shrink={0.01,0.05,0.1}、L2-to-source={0.01,0.1,1}，共9。每个shrink对应合法source参考与分类器，source模型拟合另计任务数。不能把传统精确优化的迭代次数冒充与神经10步是相同运算量。</w:t>
      </w:r>
    </w:p>
    <w:p>
      <w:r>
        <w:rPr>
          <w:rFonts w:ascii="Noto Sans CJK SC" w:hAnsi="Noto Sans CJK SC" w:eastAsia="Noto Sans CJK SC"/>
          <w:color w:val="000000"/>
        </w:rPr>
        <w:t xml:space="preserve">B5的目标明确为 </w:t>
      </w:r>
      <w:r>
        <w:rPr>
          <w:rFonts w:ascii="Noto Sans CJK SC" w:hAnsi="Noto Sans CJK SC" w:eastAsia="Noto Sans CJK SC"/>
          <w:color w:val="000000"/>
        </w:rPr>
        <w:t>Lbal(S) + lambda*(||w-w0||2^2+(b-b0)^2)/(q+1)</w:t>
      </w:r>
      <w:r>
        <w:rPr>
          <w:rFonts w:ascii="Noto Sans CJK SC" w:hAnsi="Noto Sans CJK SC" w:eastAsia="Noto Sans CJK SC"/>
          <w:color w:val="000000"/>
        </w:rPr>
        <w:t>，其中q是固定source标准化后的切空间特征维数，w0、b0来自匹配shrink的source logistic classifier；偏置参与正则。Lbal沿用METHOD_SPEC的类别等权BCE，标准化器完全冻结，不用support重新定义特征尺度。</w:t>
      </w:r>
    </w:p>
    <w:p>
      <w:pPr>
        <w:pStyle w:val="Heading2"/>
      </w:pPr>
      <w:r>
        <w:t>4 自由空间更新与元学习强对照</w:t>
      </w:r>
    </w:p>
    <w:p>
      <w:pPr>
        <w:pStyle w:val="Heading3"/>
      </w:pPr>
      <w:r>
        <w:t>B6 与 B7</w:t>
      </w:r>
    </w:p>
    <w:p>
      <w:r>
        <w:rPr>
          <w:rFonts w:ascii="Noto Sans CJK SC" w:hAnsi="Noto Sans CJK SC" w:eastAsia="Noto Sans CJK SC"/>
          <w:color w:val="000000"/>
        </w:rPr>
        <w:t xml:space="preserve">B6在白化10维空间使用 </w:t>
      </w:r>
      <w:r>
        <w:rPr>
          <w:rFonts w:ascii="Noto Sans CJK SC" w:hAnsi="Noto Sans CJK SC" w:eastAsia="Noto Sans CJK SC"/>
          <w:color w:val="000000"/>
        </w:rPr>
        <w:t>T=I+UVᵀ</w:t>
      </w:r>
      <w:r>
        <w:rPr>
          <w:rFonts w:ascii="Noto Sans CJK SC" w:hAnsi="Noto Sans CJK SC" w:eastAsia="Noto Sans CJK SC"/>
          <w:color w:val="000000"/>
        </w:rPr>
        <w:t>。rank k={1,2,4}；U0用固定pipeline seed生成后薄QR，V0=0，初始T严格为I。目标更新U、V与相同margin头10步，因子学习率0.05、头0.01。内层用类平衡BCE、0.01*||UVᵀ||F²及METHOD_SPEC相同头正则；每次更新后若||UVᵀ||F&gt;rho，将V乘rho/该范数。rho={0.05,0.15,0.35}，共9配置。记录真实2dk+p+1参数数。</w:t>
      </w:r>
    </w:p>
    <w:p>
      <w:r>
        <w:rPr>
          <w:rFonts w:ascii="Noto Sans CJK SC" w:hAnsi="Noto Sans CJK SC" w:eastAsia="Noto Sans CJK SC"/>
          <w:color w:val="000000"/>
        </w:rPr>
        <w:t>B7在B6上加METHOD_SPEC的既有PCT focal logit matching，alpha=1、beta=5、lambda=0.1。teacher和old-correct mask在目标episode内固定，不能用适应后的模型重新生成“原本正确”集合。PCT的形式来自既有论文，系数是本研究冻结的实施规格。</w:t>
      </w:r>
    </w:p>
    <w:p>
      <w:pPr>
        <w:pStyle w:val="Heading3"/>
      </w:pPr>
      <w:r>
        <w:t>B8 与 B9</w:t>
      </w:r>
    </w:p>
    <w:p>
      <w:r>
        <w:rPr>
          <w:rFonts w:ascii="Noto Sans CJK SC" w:hAnsi="Noto Sans CJK SC" w:eastAsia="Noto Sans CJK SC"/>
          <w:color w:val="000000"/>
        </w:rPr>
        <w:t>B8使用METHOD_SPEC同样无迹正交字典、同样r与rho网格、同样Stieger40数据、1000×4episode外层与10步内层，但把</w:t>
      </w:r>
      <w:r>
        <w:rPr>
          <w:rFonts w:ascii="Noto Sans CJK SC" w:hAnsi="Noto Sans CJK SC" w:eastAsia="Noto Sans CJK SC"/>
          <w:color w:val="000000"/>
        </w:rPr>
        <w:t>exp(M)</w:t>
      </w:r>
      <w:r>
        <w:rPr>
          <w:rFonts w:ascii="Noto Sans CJK SC" w:hAnsi="Noto Sans CJK SC" w:eastAsia="Noto Sans CJK SC"/>
          <w:color w:val="000000"/>
        </w:rPr>
        <w:t>改为</w:t>
      </w:r>
      <w:r>
        <w:rPr>
          <w:rFonts w:ascii="Noto Sans CJK SC" w:hAnsi="Noto Sans CJK SC" w:eastAsia="Noto Sans CJK SC"/>
          <w:color w:val="000000"/>
        </w:rPr>
        <w:t>I+M</w:t>
      </w:r>
      <w:r>
        <w:rPr>
          <w:rFonts w:ascii="Noto Sans CJK SC" w:hAnsi="Noto Sans CJK SC" w:eastAsia="Noto Sans CJK SC"/>
          <w:color w:val="000000"/>
        </w:rPr>
        <w:t>。它必须独立元训练并在相同9格中选择，不能直接套P的最优配置后称公平。由于rho&lt;1，B8同样可逆；指数映射不是本研究唯一可逆方案。</w:t>
      </w:r>
    </w:p>
    <w:p>
      <w:r>
        <w:rPr>
          <w:rFonts w:ascii="Noto Sans CJK SC" w:hAnsi="Noto Sans CJK SC" w:eastAsia="Noto Sans CJK SC"/>
          <w:color w:val="000000"/>
        </w:rPr>
        <w:t>B9以pipeline seed初始化相同r个无迹正交生成元并永久冻结。空间系数与头按P拟合；它没有G元训练。r、rho同9格。重复seed用于随机字典和整个pipeline的稳定性，不能挑最好的随机字典。</w:t>
      </w:r>
    </w:p>
    <w:p>
      <w:pPr>
        <w:pStyle w:val="Heading3"/>
      </w:pPr>
      <w:r>
        <w:t>B10 与 B11</w:t>
      </w:r>
    </w:p>
    <w:p>
      <w:r>
        <w:rPr>
          <w:rFonts w:ascii="Noto Sans CJK SC" w:hAnsi="Noto Sans CJK SC" w:eastAsia="Noto Sans CJK SC"/>
          <w:color w:val="000000"/>
        </w:rPr>
        <w:t>B10为Meta-LoRA。外层只学习U0，保持V0=0；用10×k的列正交参数和与METHOD_SPEC相同的Stiefel投影/QR更新使起点确定。内层更新U、V及头的规则与B6一致；外层按相同的40人episode、20trial、1000次更新和4episode batch，用完整unroll的未来类平衡损失训练U0。k、rho同9格，outer学习率0.01、无momentum、梯度整体范数上限1。</w:t>
      </w:r>
    </w:p>
    <w:p>
      <w:r>
        <w:rPr>
          <w:rFonts w:ascii="Noto Sans CJK SC" w:hAnsi="Noto Sans CJK SC" w:eastAsia="Noto Sans CJK SC"/>
          <w:color w:val="000000"/>
        </w:rPr>
        <w:t>B11在Meta-LoRA内层加同一PCT项；需要独立元训练，使比较涵盖“元学习加PCT”这条强组合。其调参、验证频率、seed和query权限与P一致。所有基线都由同一source f0开始，不能只给P完整纵向训练数据。</w:t>
      </w:r>
    </w:p>
    <w:p>
      <w:pPr>
        <w:pStyle w:val="Heading2"/>
      </w:pPr>
      <w:r>
        <w:t>5 主候选和最强对照选择</w:t>
      </w:r>
    </w:p>
    <w:p>
      <w:r>
        <w:rPr>
          <w:rFonts w:ascii="Noto Sans CJK SC" w:hAnsi="Noto Sans CJK SC" w:eastAsia="Noto Sans CJK SC"/>
          <w:color w:val="000000"/>
        </w:rPr>
        <w:t>P为METHOD_SPEC唯一主方法，PCT系数为0；P+PCT另作消融，不自动替换P。B*候选集合是B1到B11，B0只作冻结参照。B*按3条确认pipeline在Stieger validation上20trial的参与者均值选择；先取距最高均值不超过0.5个百分点的集合，再按同设备预定计时的校准耗时中位数、最后按编号选择，记录在外测前冻结。P若低于单列的B0冻结参照，不能仅凭超过B*称为实用改善。</w:t>
      </w:r>
    </w:p>
    <w:p>
      <w:r>
        <w:rPr>
          <w:rFonts w:ascii="Noto Sans CJK SC" w:hAnsi="Noto Sans CJK SC" w:eastAsia="Noto Sans CJK SC"/>
          <w:color w:val="000000"/>
        </w:rPr>
        <w:t>确认阶段同一输入、source分支、seed和query给全部方法。未成功实现或未经过相同开发搜索的强对照不能被悄悄删除；应先完成它，或在打开外部query前明确缩小尚不能证明的主张。开发工程smoke仅验证实现，不用于报告科学效果。</w:t>
      </w:r>
    </w:p>
    <w:p>
      <w:pPr>
        <w:pStyle w:val="Heading2"/>
      </w:pPr>
      <w:r>
        <w:t>6 输出要求</w:t>
      </w:r>
    </w:p>
    <w:p>
      <w:r>
        <w:rPr>
          <w:rFonts w:ascii="Noto Sans CJK SC" w:hAnsi="Noto Sans CJK SC" w:eastAsia="Noto Sans CJK SC"/>
          <w:color w:val="000000"/>
        </w:rPr>
        <w:t>每次拟合保存公式与实现版本、具体网格项、source依赖、目标训练参数数、实际更新数、target prefix UID、query UID、耗时/显存、失败或回退原因、最终probability/logits及checkpoint SHA。所有方法在同一participant层面比较，不用窗口或seed充当独立样本。</w:t>
      </w:r>
    </w:p>
    <w:p>
      <w:pPr>
        <w:pStyle w:val="Heading1"/>
        <w:pageBreakBefore/>
      </w:pPr>
      <w:r>
        <w:t>附录 C  文献、数据与代码入口</w:t>
      </w:r>
    </w:p>
    <w:p>
      <w:r>
        <w:rPr>
          <w:rFonts w:ascii="Noto Sans CJK SC" w:hAnsi="Noto Sans CJK SC" w:eastAsia="Noto Sans CJK SC"/>
          <w:color w:val="000000"/>
          <w:sz w:val="21"/>
        </w:rPr>
        <w:t>以下编号对应正文引用。详细逐篇评述和额外候选见REFERENCE_METHODS.md与SOURCES.md。点击文献入口可查看原始来源；本方案中的阈值和优化常数是研究设计，不能归给参考论文。</w:t>
      </w:r>
    </w:p>
    <w:p>
      <w:pPr>
        <w:keepLines/>
        <w:spacing w:after="80"/>
      </w:pPr>
      <w:r>
        <w:rPr>
          <w:rFonts w:ascii="Noto Sans CJK SC" w:hAnsi="Noto Sans CJK SC" w:eastAsia="Noto Sans CJK SC"/>
          <w:color w:val="000000"/>
          <w:sz w:val="19"/>
        </w:rPr>
        <w:t>[R01] Wang et al. Sensory-guided human-machine joint learning accelerates the acquisition of motor imagery brain computer interface control. Nature Communications, 2026-07-15. DOI: 10.1038/s41467-026-75435-5。</w:t>
      </w:r>
      <w:r>
        <w:rPr>
          <w:rFonts w:ascii="Noto Sans CJK SC" w:hAnsi="Noto Sans CJK SC" w:eastAsia="Noto Sans CJK SC"/>
          <w:color w:val="000000"/>
          <w:sz w:val="18"/>
        </w:rPr>
        <w:t xml:space="preserve">  </w:t>
      </w:r>
      <w:hyperlink r:id="rId22">
        <w:r>
          <w:rPr>
            <w:rFonts w:ascii="Noto Sans CJK SC" w:hAnsi="Noto Sans CJK SC" w:eastAsia="Noto Sans CJK SC"/>
            <w:color w:val="1F4E79"/>
          </w:rPr>
          <w:t>原文</w:t>
        </w:r>
      </w:hyperlink>
      <w:r>
        <w:rPr>
          <w:rFonts w:ascii="Noto Sans CJK SC" w:hAnsi="Noto Sans CJK SC" w:eastAsia="Noto Sans CJK SC"/>
          <w:color w:val="000000"/>
          <w:sz w:val="18"/>
        </w:rPr>
        <w:t xml:space="preserve">  ·  </w:t>
      </w:r>
      <w:hyperlink r:id="rId23">
        <w:r>
          <w:rPr>
            <w:rFonts w:ascii="Noto Sans CJK SC" w:hAnsi="Noto Sans CJK SC" w:eastAsia="Noto Sans CJK SC"/>
            <w:color w:val="1F4E79"/>
          </w:rPr>
          <w:t>代码/审计</w:t>
        </w:r>
      </w:hyperlink>
      <w:r>
        <w:rPr>
          <w:rFonts w:ascii="Noto Sans CJK SC" w:hAnsi="Noto Sans CJK SC" w:eastAsia="Noto Sans CJK SC"/>
          <w:color w:val="000000"/>
          <w:sz w:val="18"/>
        </w:rPr>
        <w:t xml:space="preserve">  ·  </w:t>
      </w:r>
      <w:hyperlink r:id="rId24">
        <w:r>
          <w:rPr>
            <w:rFonts w:ascii="Noto Sans CJK SC" w:hAnsi="Noto Sans CJK SC" w:eastAsia="Noto Sans CJK SC"/>
            <w:color w:val="1F4E79"/>
          </w:rPr>
          <w:t>数据归档</w:t>
        </w:r>
      </w:hyperlink>
    </w:p>
    <w:p>
      <w:pPr>
        <w:keepLines/>
        <w:spacing w:after="80"/>
      </w:pPr>
      <w:r>
        <w:rPr>
          <w:rFonts w:ascii="Noto Sans CJK SC" w:hAnsi="Noto Sans CJK SC" w:eastAsia="Noto Sans CJK SC"/>
          <w:color w:val="000000"/>
          <w:sz w:val="19"/>
        </w:rPr>
        <w:t>[R02] Ding et al. EEG-based brain-computer interface enables real-time robotic hand control at individual finger level. Nature Communications, 2025-06-30. DOI: 10.1038/s41467-025-61064-x。</w:t>
      </w:r>
      <w:r>
        <w:rPr>
          <w:rFonts w:ascii="Noto Sans CJK SC" w:hAnsi="Noto Sans CJK SC" w:eastAsia="Noto Sans CJK SC"/>
          <w:color w:val="000000"/>
          <w:sz w:val="18"/>
        </w:rPr>
        <w:t xml:space="preserve">  </w:t>
      </w:r>
      <w:hyperlink r:id="rId25">
        <w:r>
          <w:rPr>
            <w:rFonts w:ascii="Noto Sans CJK SC" w:hAnsi="Noto Sans CJK SC" w:eastAsia="Noto Sans CJK SC"/>
            <w:color w:val="1F4E79"/>
          </w:rPr>
          <w:t>原文</w:t>
        </w:r>
      </w:hyperlink>
      <w:r>
        <w:rPr>
          <w:rFonts w:ascii="Noto Sans CJK SC" w:hAnsi="Noto Sans CJK SC" w:eastAsia="Noto Sans CJK SC"/>
          <w:color w:val="000000"/>
          <w:sz w:val="18"/>
        </w:rPr>
        <w:t xml:space="preserve">  ·  </w:t>
      </w:r>
      <w:hyperlink r:id="rId26">
        <w:r>
          <w:rPr>
            <w:rFonts w:ascii="Noto Sans CJK SC" w:hAnsi="Noto Sans CJK SC" w:eastAsia="Noto Sans CJK SC"/>
            <w:color w:val="1F4E79"/>
          </w:rPr>
          <w:t>代码/审计</w:t>
        </w:r>
      </w:hyperlink>
      <w:r>
        <w:rPr>
          <w:rFonts w:ascii="Noto Sans CJK SC" w:hAnsi="Noto Sans CJK SC" w:eastAsia="Noto Sans CJK SC"/>
          <w:color w:val="000000"/>
          <w:sz w:val="18"/>
        </w:rPr>
        <w:t xml:space="preserve">  ·  </w:t>
      </w:r>
      <w:hyperlink r:id="rId27">
        <w:r>
          <w:rPr>
            <w:rFonts w:ascii="Noto Sans CJK SC" w:hAnsi="Noto Sans CJK SC" w:eastAsia="Noto Sans CJK SC"/>
            <w:color w:val="1F4E79"/>
          </w:rPr>
          <w:t>数据归档</w:t>
        </w:r>
      </w:hyperlink>
    </w:p>
    <w:p>
      <w:pPr>
        <w:keepLines/>
        <w:spacing w:after="80"/>
      </w:pPr>
      <w:r>
        <w:rPr>
          <w:rFonts w:ascii="Noto Sans CJK SC" w:hAnsi="Noto Sans CJK SC" w:eastAsia="Noto Sans CJK SC"/>
          <w:color w:val="000000"/>
          <w:sz w:val="19"/>
        </w:rPr>
        <w:t>[R03] Lee et al. Brain–computer interface control with artificial intelligence copilots. Nature Machine Intelligence, 2025-09-01. DOI: 10.1038/s42256-025-01090-y。</w:t>
      </w:r>
      <w:r>
        <w:rPr>
          <w:rFonts w:ascii="Noto Sans CJK SC" w:hAnsi="Noto Sans CJK SC" w:eastAsia="Noto Sans CJK SC"/>
          <w:color w:val="000000"/>
          <w:sz w:val="18"/>
        </w:rPr>
        <w:t xml:space="preserve">  </w:t>
      </w:r>
      <w:hyperlink r:id="rId28">
        <w:r>
          <w:rPr>
            <w:rFonts w:ascii="Noto Sans CJK SC" w:hAnsi="Noto Sans CJK SC" w:eastAsia="Noto Sans CJK SC"/>
            <w:color w:val="1F4E79"/>
          </w:rPr>
          <w:t>原文</w:t>
        </w:r>
      </w:hyperlink>
      <w:r>
        <w:rPr>
          <w:rFonts w:ascii="Noto Sans CJK SC" w:hAnsi="Noto Sans CJK SC" w:eastAsia="Noto Sans CJK SC"/>
          <w:color w:val="000000"/>
          <w:sz w:val="18"/>
        </w:rPr>
        <w:t xml:space="preserve">  ·  </w:t>
      </w:r>
      <w:hyperlink r:id="rId29">
        <w:r>
          <w:rPr>
            <w:rFonts w:ascii="Noto Sans CJK SC" w:hAnsi="Noto Sans CJK SC" w:eastAsia="Noto Sans CJK SC"/>
            <w:color w:val="1F4E79"/>
          </w:rPr>
          <w:t>代码/审计</w:t>
        </w:r>
      </w:hyperlink>
      <w:r>
        <w:rPr>
          <w:rFonts w:ascii="Noto Sans CJK SC" w:hAnsi="Noto Sans CJK SC" w:eastAsia="Noto Sans CJK SC"/>
          <w:color w:val="000000"/>
          <w:sz w:val="18"/>
        </w:rPr>
        <w:t xml:space="preserve">  ·  </w:t>
      </w:r>
      <w:hyperlink r:id="rId30">
        <w:r>
          <w:rPr>
            <w:rFonts w:ascii="Noto Sans CJK SC" w:hAnsi="Noto Sans CJK SC" w:eastAsia="Noto Sans CJK SC"/>
            <w:color w:val="1F4E79"/>
          </w:rPr>
          <w:t>数据归档</w:t>
        </w:r>
      </w:hyperlink>
    </w:p>
    <w:p>
      <w:pPr>
        <w:keepLines/>
        <w:spacing w:after="80"/>
      </w:pPr>
      <w:r>
        <w:rPr>
          <w:rFonts w:ascii="Noto Sans CJK SC" w:hAnsi="Noto Sans CJK SC" w:eastAsia="Noto Sans CJK SC"/>
          <w:color w:val="000000"/>
          <w:sz w:val="19"/>
        </w:rPr>
        <w:t>[R04] Yan et al. Positive-Congruent Training: Towards Regression-Free Model Updates. CVPR 2021, 14299–14308。</w:t>
      </w:r>
      <w:r>
        <w:rPr>
          <w:rFonts w:ascii="Noto Sans CJK SC" w:hAnsi="Noto Sans CJK SC" w:eastAsia="Noto Sans CJK SC"/>
          <w:color w:val="000000"/>
          <w:sz w:val="18"/>
        </w:rPr>
        <w:t xml:space="preserve">  </w:t>
      </w:r>
      <w:hyperlink r:id="rId31">
        <w:r>
          <w:rPr>
            <w:rFonts w:ascii="Noto Sans CJK SC" w:hAnsi="Noto Sans CJK SC" w:eastAsia="Noto Sans CJK SC"/>
            <w:color w:val="1F4E79"/>
          </w:rPr>
          <w:t>作者版本</w:t>
        </w:r>
      </w:hyperlink>
      <w:r>
        <w:rPr>
          <w:rFonts w:ascii="Noto Sans CJK SC" w:hAnsi="Noto Sans CJK SC" w:eastAsia="Noto Sans CJK SC"/>
          <w:color w:val="000000"/>
          <w:sz w:val="18"/>
        </w:rPr>
        <w:t xml:space="preserve">  ·  </w:t>
      </w:r>
      <w:hyperlink r:id="rId32">
        <w:r>
          <w:rPr>
            <w:rFonts w:ascii="Noto Sans CJK SC" w:hAnsi="Noto Sans CJK SC" w:eastAsia="Noto Sans CJK SC"/>
            <w:color w:val="1F4E79"/>
          </w:rPr>
          <w:t>关联入口</w:t>
        </w:r>
      </w:hyperlink>
    </w:p>
    <w:p>
      <w:pPr>
        <w:keepLines/>
        <w:spacing w:after="80"/>
      </w:pPr>
      <w:r>
        <w:rPr>
          <w:rFonts w:ascii="Noto Sans CJK SC" w:hAnsi="Noto Sans CJK SC" w:eastAsia="Noto Sans CJK SC"/>
          <w:color w:val="000000"/>
          <w:sz w:val="19"/>
        </w:rPr>
        <w:t>[R05] Jiang, Kwok and Zhang. Subspace Learning for Effective Meta-Learning. ICML 2022, PMLR 162:10177–10194。</w:t>
      </w:r>
      <w:r>
        <w:rPr>
          <w:rFonts w:ascii="Noto Sans CJK SC" w:hAnsi="Noto Sans CJK SC" w:eastAsia="Noto Sans CJK SC"/>
          <w:color w:val="000000"/>
          <w:sz w:val="18"/>
        </w:rPr>
        <w:t xml:space="preserve">  </w:t>
      </w:r>
      <w:hyperlink r:id="rId33">
        <w:r>
          <w:rPr>
            <w:rFonts w:ascii="Noto Sans CJK SC" w:hAnsi="Noto Sans CJK SC" w:eastAsia="Noto Sans CJK SC"/>
            <w:color w:val="1F4E79"/>
          </w:rPr>
          <w:t>原文</w:t>
        </w:r>
      </w:hyperlink>
      <w:r>
        <w:rPr>
          <w:rFonts w:ascii="Noto Sans CJK SC" w:hAnsi="Noto Sans CJK SC" w:eastAsia="Noto Sans CJK SC"/>
          <w:color w:val="000000"/>
          <w:sz w:val="18"/>
        </w:rPr>
        <w:t xml:space="preserve">  ·  </w:t>
      </w:r>
      <w:hyperlink r:id="rId34">
        <w:r>
          <w:rPr>
            <w:rFonts w:ascii="Noto Sans CJK SC" w:hAnsi="Noto Sans CJK SC" w:eastAsia="Noto Sans CJK SC"/>
            <w:color w:val="1F4E79"/>
          </w:rPr>
          <w:t>关联入口</w:t>
        </w:r>
      </w:hyperlink>
    </w:p>
    <w:p>
      <w:pPr>
        <w:keepLines/>
        <w:spacing w:after="80"/>
      </w:pPr>
      <w:r>
        <w:rPr>
          <w:rFonts w:ascii="Noto Sans CJK SC" w:hAnsi="Noto Sans CJK SC" w:eastAsia="Noto Sans CJK SC"/>
          <w:color w:val="000000"/>
          <w:sz w:val="19"/>
        </w:rPr>
        <w:t>[R06] Nguyen, Sun and Johnson. Lightweight Adaptation of EEG Foundation Models for Stroke Motor Imagery Decoding: Domain Shift and Subject-Level Robustness. arXiv:2609.00282v1, 2026-08-31。</w:t>
      </w:r>
      <w:r>
        <w:rPr>
          <w:rFonts w:ascii="Noto Sans CJK SC" w:hAnsi="Noto Sans CJK SC" w:eastAsia="Noto Sans CJK SC"/>
          <w:color w:val="000000"/>
          <w:sz w:val="18"/>
        </w:rPr>
        <w:t xml:space="preserve">  </w:t>
      </w:r>
      <w:hyperlink r:id="rId35">
        <w:r>
          <w:rPr>
            <w:rFonts w:ascii="Noto Sans CJK SC" w:hAnsi="Noto Sans CJK SC" w:eastAsia="Noto Sans CJK SC"/>
            <w:color w:val="1F4E79"/>
          </w:rPr>
          <w:t>作者版本</w:t>
        </w:r>
      </w:hyperlink>
    </w:p>
    <w:p>
      <w:pPr>
        <w:keepLines/>
        <w:spacing w:after="80"/>
      </w:pPr>
      <w:r>
        <w:rPr>
          <w:rFonts w:ascii="Noto Sans CJK SC" w:hAnsi="Noto Sans CJK SC" w:eastAsia="Noto Sans CJK SC"/>
          <w:color w:val="000000"/>
          <w:sz w:val="19"/>
        </w:rPr>
        <w:t>[R07] Liu et al. MIRepNet: A pipeline and pre-trained model for EEG-based motor imagery classification. Knowledge-Based Systems 343, 115966, 2026. DOI: 10.1016/j.knosys.2026.115966。</w:t>
      </w:r>
      <w:r>
        <w:rPr>
          <w:rFonts w:ascii="Noto Sans CJK SC" w:hAnsi="Noto Sans CJK SC" w:eastAsia="Noto Sans CJK SC"/>
          <w:color w:val="000000"/>
          <w:sz w:val="18"/>
        </w:rPr>
        <w:t xml:space="preserve">  </w:t>
      </w:r>
      <w:hyperlink r:id="rId36">
        <w:r>
          <w:rPr>
            <w:rFonts w:ascii="Noto Sans CJK SC" w:hAnsi="Noto Sans CJK SC" w:eastAsia="Noto Sans CJK SC"/>
            <w:color w:val="1F4E79"/>
          </w:rPr>
          <w:t>原文</w:t>
        </w:r>
      </w:hyperlink>
      <w:r>
        <w:rPr>
          <w:rFonts w:ascii="Noto Sans CJK SC" w:hAnsi="Noto Sans CJK SC" w:eastAsia="Noto Sans CJK SC"/>
          <w:color w:val="000000"/>
          <w:sz w:val="18"/>
        </w:rPr>
        <w:t xml:space="preserve">  ·  </w:t>
      </w:r>
      <w:hyperlink r:id="rId37">
        <w:r>
          <w:rPr>
            <w:rFonts w:ascii="Noto Sans CJK SC" w:hAnsi="Noto Sans CJK SC" w:eastAsia="Noto Sans CJK SC"/>
            <w:color w:val="1F4E79"/>
          </w:rPr>
          <w:t>作者版本</w:t>
        </w:r>
      </w:hyperlink>
      <w:r>
        <w:rPr>
          <w:rFonts w:ascii="Noto Sans CJK SC" w:hAnsi="Noto Sans CJK SC" w:eastAsia="Noto Sans CJK SC"/>
          <w:color w:val="000000"/>
          <w:sz w:val="18"/>
        </w:rPr>
        <w:t xml:space="preserve">  ·  </w:t>
      </w:r>
      <w:hyperlink r:id="rId38">
        <w:r>
          <w:rPr>
            <w:rFonts w:ascii="Noto Sans CJK SC" w:hAnsi="Noto Sans CJK SC" w:eastAsia="Noto Sans CJK SC"/>
            <w:color w:val="1F4E79"/>
          </w:rPr>
          <w:t>代码/审计</w:t>
        </w:r>
      </w:hyperlink>
      <w:r>
        <w:rPr>
          <w:rFonts w:ascii="Noto Sans CJK SC" w:hAnsi="Noto Sans CJK SC" w:eastAsia="Noto Sans CJK SC"/>
          <w:color w:val="000000"/>
          <w:sz w:val="18"/>
        </w:rPr>
        <w:t xml:space="preserve">  ·  </w:t>
      </w:r>
      <w:hyperlink r:id="rId39">
        <w:r>
          <w:rPr>
            <w:rFonts w:ascii="Noto Sans CJK SC" w:hAnsi="Noto Sans CJK SC" w:eastAsia="Noto Sans CJK SC"/>
            <w:color w:val="1F4E79"/>
          </w:rPr>
          <w:t>模型权重</w:t>
        </w:r>
      </w:hyperlink>
    </w:p>
    <w:p>
      <w:pPr>
        <w:keepLines/>
        <w:spacing w:after="80"/>
      </w:pPr>
      <w:r>
        <w:rPr>
          <w:rFonts w:ascii="Noto Sans CJK SC" w:hAnsi="Noto Sans CJK SC" w:eastAsia="Noto Sans CJK SC"/>
          <w:color w:val="000000"/>
          <w:sz w:val="19"/>
        </w:rPr>
        <w:t>[R08] Luo et al. Bayesian Test-Time Adaptation via Dirichlet feature projection and GMM-Driven Inference for Motor Imagery EEG Decoding. ICLR 2026。</w:t>
      </w:r>
      <w:r>
        <w:rPr>
          <w:rFonts w:ascii="Noto Sans CJK SC" w:hAnsi="Noto Sans CJK SC" w:eastAsia="Noto Sans CJK SC"/>
          <w:color w:val="000000"/>
          <w:sz w:val="18"/>
        </w:rPr>
        <w:t xml:space="preserve">  </w:t>
      </w:r>
      <w:hyperlink r:id="rId40">
        <w:r>
          <w:rPr>
            <w:rFonts w:ascii="Noto Sans CJK SC" w:hAnsi="Noto Sans CJK SC" w:eastAsia="Noto Sans CJK SC"/>
            <w:color w:val="1F4E79"/>
          </w:rPr>
          <w:t>原文</w:t>
        </w:r>
      </w:hyperlink>
      <w:r>
        <w:rPr>
          <w:rFonts w:ascii="Noto Sans CJK SC" w:hAnsi="Noto Sans CJK SC" w:eastAsia="Noto Sans CJK SC"/>
          <w:color w:val="000000"/>
          <w:sz w:val="18"/>
        </w:rPr>
        <w:t xml:space="preserve">  ·  </w:t>
      </w:r>
      <w:hyperlink r:id="rId41">
        <w:r>
          <w:rPr>
            <w:rFonts w:ascii="Noto Sans CJK SC" w:hAnsi="Noto Sans CJK SC" w:eastAsia="Noto Sans CJK SC"/>
            <w:color w:val="1F4E79"/>
          </w:rPr>
          <w:t>代码/审计</w:t>
        </w:r>
      </w:hyperlink>
    </w:p>
    <w:p>
      <w:pPr>
        <w:keepLines/>
        <w:spacing w:after="80"/>
      </w:pPr>
      <w:r>
        <w:rPr>
          <w:rFonts w:ascii="Noto Sans CJK SC" w:hAnsi="Noto Sans CJK SC" w:eastAsia="Noto Sans CJK SC"/>
          <w:color w:val="000000"/>
          <w:sz w:val="19"/>
        </w:rPr>
        <w:t>[R09] Liu et al. EEG-FM-Compass: progress, benchmarking and future directions for EEG foundation models. National Science Review, nwag466, 2026-08-03，排版版本2026-10-12. DOI: 10.1093/nsr/nwag466。</w:t>
      </w:r>
      <w:r>
        <w:rPr>
          <w:rFonts w:ascii="Noto Sans CJK SC" w:hAnsi="Noto Sans CJK SC" w:eastAsia="Noto Sans CJK SC"/>
          <w:color w:val="000000"/>
          <w:sz w:val="18"/>
        </w:rPr>
        <w:t xml:space="preserve">  </w:t>
      </w:r>
      <w:hyperlink r:id="rId42">
        <w:r>
          <w:rPr>
            <w:rFonts w:ascii="Noto Sans CJK SC" w:hAnsi="Noto Sans CJK SC" w:eastAsia="Noto Sans CJK SC"/>
            <w:color w:val="1F4E79"/>
          </w:rPr>
          <w:t>原文</w:t>
        </w:r>
      </w:hyperlink>
      <w:r>
        <w:rPr>
          <w:rFonts w:ascii="Noto Sans CJK SC" w:hAnsi="Noto Sans CJK SC" w:eastAsia="Noto Sans CJK SC"/>
          <w:color w:val="000000"/>
          <w:sz w:val="18"/>
        </w:rPr>
        <w:t xml:space="preserve">  ·  </w:t>
      </w:r>
      <w:hyperlink r:id="rId43">
        <w:r>
          <w:rPr>
            <w:rFonts w:ascii="Noto Sans CJK SC" w:hAnsi="Noto Sans CJK SC" w:eastAsia="Noto Sans CJK SC"/>
            <w:color w:val="1F4E79"/>
          </w:rPr>
          <w:t>代码/审计</w:t>
        </w:r>
      </w:hyperlink>
    </w:p>
    <w:p>
      <w:pPr>
        <w:keepLines/>
        <w:spacing w:after="80"/>
      </w:pPr>
      <w:r>
        <w:rPr>
          <w:rFonts w:ascii="Noto Sans CJK SC" w:hAnsi="Noto Sans CJK SC" w:eastAsia="Noto Sans CJK SC"/>
          <w:color w:val="000000"/>
          <w:sz w:val="19"/>
        </w:rPr>
        <w:t>[R10] Stieger, Engel and He. Continuous sensorimotor rhythm based brain computer interface learning in a large population. Scientific Data 8, 98, 2021-04-01. DOI: 10.1038/s41597-021-00883-1。</w:t>
      </w:r>
      <w:r>
        <w:rPr>
          <w:rFonts w:ascii="Noto Sans CJK SC" w:hAnsi="Noto Sans CJK SC" w:eastAsia="Noto Sans CJK SC"/>
          <w:color w:val="000000"/>
          <w:sz w:val="18"/>
        </w:rPr>
        <w:t xml:space="preserve">  </w:t>
      </w:r>
      <w:hyperlink r:id="rId44">
        <w:r>
          <w:rPr>
            <w:rFonts w:ascii="Noto Sans CJK SC" w:hAnsi="Noto Sans CJK SC" w:eastAsia="Noto Sans CJK SC"/>
            <w:color w:val="1F4E79"/>
          </w:rPr>
          <w:t>原文</w:t>
        </w:r>
      </w:hyperlink>
    </w:p>
    <w:p>
      <w:pPr>
        <w:keepLines/>
        <w:spacing w:after="80"/>
      </w:pPr>
      <w:r>
        <w:rPr>
          <w:rFonts w:ascii="Noto Sans CJK SC" w:hAnsi="Noto Sans CJK SC" w:eastAsia="Noto Sans CJK SC"/>
          <w:color w:val="000000"/>
          <w:sz w:val="19"/>
        </w:rPr>
        <w:t>[R11] Stieger. Human EEG Dataset for Brain-Computer Interface and Meditation. DOI: 10.6084/m9.figshare.13123148。官方归档及版本清单。</w:t>
      </w:r>
      <w:r>
        <w:rPr>
          <w:rFonts w:ascii="Noto Sans CJK SC" w:hAnsi="Noto Sans CJK SC" w:eastAsia="Noto Sans CJK SC"/>
          <w:color w:val="000000"/>
          <w:sz w:val="18"/>
        </w:rPr>
        <w:t xml:space="preserve">  </w:t>
      </w:r>
      <w:hyperlink r:id="rId45">
        <w:r>
          <w:rPr>
            <w:rFonts w:ascii="Noto Sans CJK SC" w:hAnsi="Noto Sans CJK SC" w:eastAsia="Noto Sans CJK SC"/>
            <w:color w:val="1F4E79"/>
          </w:rPr>
          <w:t>数据归档</w:t>
        </w:r>
      </w:hyperlink>
    </w:p>
    <w:p>
      <w:pPr>
        <w:keepLines/>
        <w:spacing w:after="80"/>
      </w:pPr>
      <w:r>
        <w:rPr>
          <w:rFonts w:ascii="Noto Sans CJK SC" w:hAnsi="Noto Sans CJK SC" w:eastAsia="Noto Sans CJK SC"/>
          <w:color w:val="000000"/>
          <w:sz w:val="19"/>
        </w:rPr>
        <w:t>[R12] HS-Stroke原论文. Scientific Data, 2026. DOI: 10.1038/s41597-026-07742-x。固定数据版本：10.6084/m9.figshare.30747806.v6；2026年7月24日修订，含重复试次清理说明。</w:t>
      </w:r>
      <w:r>
        <w:rPr>
          <w:rFonts w:ascii="Noto Sans CJK SC" w:hAnsi="Noto Sans CJK SC" w:eastAsia="Noto Sans CJK SC"/>
          <w:color w:val="000000"/>
          <w:sz w:val="18"/>
        </w:rPr>
        <w:t xml:space="preserve">  </w:t>
      </w:r>
      <w:hyperlink r:id="rId46">
        <w:r>
          <w:rPr>
            <w:rFonts w:ascii="Noto Sans CJK SC" w:hAnsi="Noto Sans CJK SC" w:eastAsia="Noto Sans CJK SC"/>
            <w:color w:val="1F4E79"/>
          </w:rPr>
          <w:t>数据归档</w:t>
        </w:r>
      </w:hyperlink>
      <w:r>
        <w:rPr>
          <w:rFonts w:ascii="Noto Sans CJK SC" w:hAnsi="Noto Sans CJK SC" w:eastAsia="Noto Sans CJK SC"/>
          <w:color w:val="000000"/>
          <w:sz w:val="18"/>
        </w:rPr>
        <w:t xml:space="preserve">  ·  </w:t>
      </w:r>
      <w:hyperlink r:id="rId47">
        <w:r>
          <w:rPr>
            <w:rFonts w:ascii="Noto Sans CJK SC" w:hAnsi="Noto Sans CJK SC" w:eastAsia="Noto Sans CJK SC"/>
            <w:color w:val="1F4E79"/>
          </w:rPr>
          <w:t>版本API</w:t>
        </w:r>
      </w:hyperlink>
      <w:r>
        <w:rPr>
          <w:rFonts w:ascii="Noto Sans CJK SC" w:hAnsi="Noto Sans CJK SC" w:eastAsia="Noto Sans CJK SC"/>
          <w:color w:val="000000"/>
          <w:sz w:val="18"/>
        </w:rPr>
        <w:t xml:space="preserve">  ·  </w:t>
      </w:r>
      <w:hyperlink r:id="rId48">
        <w:r>
          <w:rPr>
            <w:rFonts w:ascii="Noto Sans CJK SC" w:hAnsi="Noto Sans CJK SC" w:eastAsia="Noto Sans CJK SC"/>
            <w:color w:val="1F4E79"/>
          </w:rPr>
          <w:t>代码/审计</w:t>
        </w:r>
      </w:hyperlink>
    </w:p>
    <w:p>
      <w:pPr>
        <w:keepLines/>
        <w:spacing w:after="80"/>
      </w:pPr>
      <w:r>
        <w:rPr>
          <w:rFonts w:ascii="Noto Sans CJK SC" w:hAnsi="Noto Sans CJK SC" w:eastAsia="Noto Sans CJK SC"/>
          <w:color w:val="000000"/>
          <w:sz w:val="19"/>
        </w:rPr>
        <w:t>[R13] Wang et al. Sensory-guided joint-learning数据归档. DOI: 10.1184/R1/32293995。研究方法和数据说明参见[R01]。</w:t>
      </w:r>
      <w:r>
        <w:rPr>
          <w:rFonts w:ascii="Noto Sans CJK SC" w:hAnsi="Noto Sans CJK SC" w:eastAsia="Noto Sans CJK SC"/>
          <w:color w:val="000000"/>
          <w:sz w:val="18"/>
        </w:rPr>
        <w:t xml:space="preserve">  </w:t>
      </w:r>
      <w:hyperlink r:id="rId24">
        <w:r>
          <w:rPr>
            <w:rFonts w:ascii="Noto Sans CJK SC" w:hAnsi="Noto Sans CJK SC" w:eastAsia="Noto Sans CJK SC"/>
            <w:color w:val="1F4E79"/>
          </w:rPr>
          <w:t>数据归档</w:t>
        </w:r>
      </w:hyperlink>
    </w:p>
    <w:p>
      <w:pPr>
        <w:keepLines/>
        <w:spacing w:after="80"/>
      </w:pPr>
      <w:r>
        <w:rPr>
          <w:rFonts w:ascii="Noto Sans CJK SC" w:hAnsi="Noto Sans CJK SC" w:eastAsia="Noto Sans CJK SC"/>
          <w:color w:val="000000"/>
          <w:sz w:val="19"/>
        </w:rPr>
        <w:t>[R14] 论文1固定研究快照0539379578818b3d71f995192e5e8a81cf4d5aef。Yang标签资格审计与时钟审计。原始数据论文DOI: 10.1038/s41597-025-04826-y。</w:t>
      </w:r>
      <w:r>
        <w:rPr>
          <w:rFonts w:ascii="Noto Sans CJK SC" w:hAnsi="Noto Sans CJK SC" w:eastAsia="Noto Sans CJK SC"/>
          <w:color w:val="000000"/>
          <w:sz w:val="18"/>
        </w:rPr>
        <w:t xml:space="preserve">  </w:t>
      </w:r>
      <w:hyperlink r:id="rId49">
        <w:r>
          <w:rPr>
            <w:rFonts w:ascii="Noto Sans CJK SC" w:hAnsi="Noto Sans CJK SC" w:eastAsia="Noto Sans CJK SC"/>
            <w:color w:val="1F4E79"/>
          </w:rPr>
          <w:t>代码/审计1</w:t>
        </w:r>
      </w:hyperlink>
      <w:r>
        <w:rPr>
          <w:rFonts w:ascii="Noto Sans CJK SC" w:hAnsi="Noto Sans CJK SC" w:eastAsia="Noto Sans CJK SC"/>
          <w:color w:val="000000"/>
          <w:sz w:val="18"/>
        </w:rPr>
        <w:t xml:space="preserve">  ·  </w:t>
      </w:r>
      <w:hyperlink r:id="rId50">
        <w:r>
          <w:rPr>
            <w:rFonts w:ascii="Noto Sans CJK SC" w:hAnsi="Noto Sans CJK SC" w:eastAsia="Noto Sans CJK SC"/>
            <w:color w:val="1F4E79"/>
          </w:rPr>
          <w:t>代码/审计2</w:t>
        </w:r>
      </w:hyperlink>
    </w:p>
    <w:p>
      <w:pPr>
        <w:keepLines/>
        <w:spacing w:after="80"/>
      </w:pPr>
      <w:r>
        <w:rPr>
          <w:rFonts w:ascii="Noto Sans CJK SC" w:hAnsi="Noto Sans CJK SC" w:eastAsia="Noto Sans CJK SC"/>
          <w:color w:val="000000"/>
          <w:sz w:val="19"/>
        </w:rPr>
        <w:t>[R15] 论文2固定科学快照19a5909fd76d96be9316559602010932ccec81a8。创新修订记录与组分探索协议。Kumar NEMAR v1.0.5 DOI: 10.82901/nemar.nm000177.v1.0.5。</w:t>
      </w:r>
      <w:r>
        <w:rPr>
          <w:rFonts w:ascii="Noto Sans CJK SC" w:hAnsi="Noto Sans CJK SC" w:eastAsia="Noto Sans CJK SC"/>
          <w:color w:val="000000"/>
          <w:sz w:val="18"/>
        </w:rPr>
        <w:t xml:space="preserve">  </w:t>
      </w:r>
      <w:hyperlink r:id="rId51">
        <w:r>
          <w:rPr>
            <w:rFonts w:ascii="Noto Sans CJK SC" w:hAnsi="Noto Sans CJK SC" w:eastAsia="Noto Sans CJK SC"/>
            <w:color w:val="1F4E79"/>
          </w:rPr>
          <w:t>代码/审计1</w:t>
        </w:r>
      </w:hyperlink>
      <w:r>
        <w:rPr>
          <w:rFonts w:ascii="Noto Sans CJK SC" w:hAnsi="Noto Sans CJK SC" w:eastAsia="Noto Sans CJK SC"/>
          <w:color w:val="000000"/>
          <w:sz w:val="18"/>
        </w:rPr>
        <w:t xml:space="preserve">  ·  </w:t>
      </w:r>
      <w:hyperlink r:id="rId52">
        <w:r>
          <w:rPr>
            <w:rFonts w:ascii="Noto Sans CJK SC" w:hAnsi="Noto Sans CJK SC" w:eastAsia="Noto Sans CJK SC"/>
            <w:color w:val="1F4E79"/>
          </w:rPr>
          <w:t>代码/审计2</w:t>
        </w:r>
      </w:hyperlink>
    </w:p>
    <w:p>
      <w:pPr>
        <w:keepLines/>
        <w:spacing w:after="80"/>
      </w:pPr>
      <w:r>
        <w:rPr>
          <w:rFonts w:ascii="Noto Sans CJK SC" w:hAnsi="Noto Sans CJK SC" w:eastAsia="Noto Sans CJK SC"/>
          <w:color w:val="000000"/>
          <w:sz w:val="19"/>
        </w:rPr>
        <w:t>[R16] Trocellier et al. Visual cues in MI-BCI induce biases in EEG classification models with deep learning but not with standard machine learning. Frontiers in Neuroergonomics, 2026-09-28. DOI: 10.3389/fnrgo.2026.1804143。</w:t>
      </w:r>
      <w:r>
        <w:rPr>
          <w:rFonts w:ascii="Noto Sans CJK SC" w:hAnsi="Noto Sans CJK SC" w:eastAsia="Noto Sans CJK SC"/>
          <w:color w:val="000000"/>
          <w:sz w:val="18"/>
        </w:rPr>
        <w:t xml:space="preserve">  </w:t>
      </w:r>
      <w:hyperlink r:id="rId53">
        <w:r>
          <w:rPr>
            <w:rFonts w:ascii="Noto Sans CJK SC" w:hAnsi="Noto Sans CJK SC" w:eastAsia="Noto Sans CJK SC"/>
            <w:color w:val="1F4E79"/>
          </w:rPr>
          <w:t>原文</w:t>
        </w:r>
      </w:hyperlink>
    </w:p>
    <w:p>
      <w:pPr>
        <w:keepLines/>
        <w:spacing w:after="80"/>
      </w:pPr>
      <w:r>
        <w:rPr>
          <w:rFonts w:ascii="Noto Sans CJK SC" w:hAnsi="Noto Sans CJK SC" w:eastAsia="Noto Sans CJK SC"/>
          <w:color w:val="000000"/>
          <w:sz w:val="19"/>
        </w:rPr>
        <w:t>[R17] PyTorch2.8. Reproducibility。</w:t>
      </w:r>
      <w:r>
        <w:rPr>
          <w:rFonts w:ascii="Noto Sans CJK SC" w:hAnsi="Noto Sans CJK SC" w:eastAsia="Noto Sans CJK SC"/>
          <w:color w:val="000000"/>
          <w:sz w:val="18"/>
        </w:rPr>
        <w:t xml:space="preserve">  </w:t>
      </w:r>
      <w:hyperlink r:id="rId54">
        <w:r>
          <w:rPr>
            <w:rFonts w:ascii="Noto Sans CJK SC" w:hAnsi="Noto Sans CJK SC" w:eastAsia="Noto Sans CJK SC"/>
            <w:color w:val="1F4E79"/>
          </w:rPr>
          <w:t>原文</w:t>
        </w:r>
      </w:hyperlink>
    </w:p>
    <w:p>
      <w:pPr>
        <w:keepLines/>
        <w:spacing w:after="80"/>
      </w:pPr>
      <w:r>
        <w:rPr>
          <w:rFonts w:ascii="Noto Sans CJK SC" w:hAnsi="Noto Sans CJK SC" w:eastAsia="Noto Sans CJK SC"/>
          <w:color w:val="000000"/>
          <w:sz w:val="19"/>
        </w:rPr>
        <w:t>[R18] PyTorch2.8. CUDA semantics。</w:t>
      </w:r>
      <w:r>
        <w:rPr>
          <w:rFonts w:ascii="Noto Sans CJK SC" w:hAnsi="Noto Sans CJK SC" w:eastAsia="Noto Sans CJK SC"/>
          <w:color w:val="000000"/>
          <w:sz w:val="18"/>
        </w:rPr>
        <w:t xml:space="preserve">  </w:t>
      </w:r>
      <w:hyperlink r:id="rId55">
        <w:r>
          <w:rPr>
            <w:rFonts w:ascii="Noto Sans CJK SC" w:hAnsi="Noto Sans CJK SC" w:eastAsia="Noto Sans CJK SC"/>
            <w:color w:val="1F4E79"/>
          </w:rPr>
          <w:t>原文</w:t>
        </w:r>
      </w:hyperlink>
    </w:p>
    <w:p>
      <w:pPr>
        <w:pStyle w:val="Heading2"/>
      </w:pPr>
      <w:r>
        <w:t>补充直接先例</w:t>
      </w:r>
    </w:p>
    <w:p>
      <w:r>
        <w:rPr>
          <w:rFonts w:ascii="Noto Sans CJK SC" w:hAnsi="Noto Sans CJK SC" w:eastAsia="Noto Sans CJK SC"/>
          <w:color w:val="000000"/>
          <w:sz w:val="19"/>
        </w:rPr>
        <w:t>He and Wu. Transfer Learning for Brain-Computer Interfaces: A Euclidean Space Data Alignment Approach. IEEE TBME. DOI: 10.1109/TBME.2019.2913914.</w:t>
      </w:r>
      <w:r>
        <w:rPr>
          <w:rFonts w:ascii="Noto Sans CJK SC" w:hAnsi="Noto Sans CJK SC" w:eastAsia="Noto Sans CJK SC"/>
          <w:color w:val="000000"/>
          <w:sz w:val="19"/>
        </w:rPr>
        <w:t xml:space="preserve">  </w:t>
      </w:r>
      <w:hyperlink r:id="rId56">
        <w:r>
          <w:rPr>
            <w:rFonts w:ascii="Noto Sans CJK SC" w:hAnsi="Noto Sans CJK SC" w:eastAsia="Noto Sans CJK SC"/>
            <w:color w:val="1F4E79"/>
          </w:rPr>
          <w:t>原文</w:t>
        </w:r>
      </w:hyperlink>
    </w:p>
    <w:p>
      <w:r>
        <w:rPr>
          <w:rFonts w:ascii="Noto Sans CJK SC" w:hAnsi="Noto Sans CJK SC" w:eastAsia="Noto Sans CJK SC"/>
          <w:color w:val="000000"/>
          <w:sz w:val="19"/>
        </w:rPr>
        <w:t>Sun, Feng and Saenko. Correlation Alignment for Unsupervised Domain Adaptation.</w:t>
      </w:r>
      <w:r>
        <w:rPr>
          <w:rFonts w:ascii="Noto Sans CJK SC" w:hAnsi="Noto Sans CJK SC" w:eastAsia="Noto Sans CJK SC"/>
          <w:color w:val="000000"/>
          <w:sz w:val="19"/>
        </w:rPr>
        <w:t xml:space="preserve">  </w:t>
      </w:r>
      <w:hyperlink r:id="rId57">
        <w:r>
          <w:rPr>
            <w:rFonts w:ascii="Noto Sans CJK SC" w:hAnsi="Noto Sans CJK SC" w:eastAsia="Noto Sans CJK SC"/>
            <w:color w:val="1F4E79"/>
          </w:rPr>
          <w:t>原文</w:t>
        </w:r>
      </w:hyperlink>
    </w:p>
    <w:p>
      <w:r>
        <w:rPr>
          <w:rFonts w:ascii="Noto Sans CJK SC" w:hAnsi="Noto Sans CJK SC" w:eastAsia="Noto Sans CJK SC"/>
          <w:color w:val="000000"/>
          <w:sz w:val="19"/>
        </w:rPr>
        <w:t>Sun et al. Meta-Transfer Learning for Few-Shot Learning. CVPR 2019.</w:t>
      </w:r>
      <w:r>
        <w:rPr>
          <w:rFonts w:ascii="Noto Sans CJK SC" w:hAnsi="Noto Sans CJK SC" w:eastAsia="Noto Sans CJK SC"/>
          <w:color w:val="000000"/>
          <w:sz w:val="19"/>
        </w:rPr>
        <w:t xml:space="preserve">  </w:t>
      </w:r>
      <w:hyperlink r:id="rId58">
        <w:r>
          <w:rPr>
            <w:rFonts w:ascii="Noto Sans CJK SC" w:hAnsi="Noto Sans CJK SC" w:eastAsia="Noto Sans CJK SC"/>
            <w:color w:val="1F4E79"/>
          </w:rPr>
          <w:t>原文</w:t>
        </w:r>
      </w:hyperlink>
    </w:p>
    <w:p>
      <w:r>
        <w:rPr>
          <w:rFonts w:ascii="Noto Sans CJK SC" w:hAnsi="Noto Sans CJK SC" w:eastAsia="Noto Sans CJK SC"/>
          <w:color w:val="000000"/>
          <w:sz w:val="19"/>
        </w:rPr>
        <w:t>Willett et al. A high-performance speech neuroprosthesis. Nature 2023. DOI: 10.1038/s41586-023-06377-x。侵入式言语解码，仅借鉴验证组织，不并入头皮左右手MI。</w:t>
      </w:r>
      <w:r>
        <w:rPr>
          <w:rFonts w:ascii="Noto Sans CJK SC" w:hAnsi="Noto Sans CJK SC" w:eastAsia="Noto Sans CJK SC"/>
          <w:color w:val="000000"/>
          <w:sz w:val="19"/>
        </w:rPr>
        <w:t xml:space="preserve">  </w:t>
      </w:r>
      <w:hyperlink r:id="rId59">
        <w:r>
          <w:rPr>
            <w:rFonts w:ascii="Noto Sans CJK SC" w:hAnsi="Noto Sans CJK SC" w:eastAsia="Noto Sans CJK SC"/>
            <w:color w:val="1F4E79"/>
          </w:rPr>
          <w:t>原文</w:t>
        </w:r>
      </w:hyperlink>
    </w:p>
    <w:p>
      <w:r>
        <w:rPr>
          <w:rFonts w:ascii="Noto Sans CJK SC" w:hAnsi="Noto Sans CJK SC" w:eastAsia="Noto Sans CJK SC"/>
          <w:color w:val="000000"/>
          <w:sz w:val="19"/>
        </w:rPr>
        <w:t>Flesher et al. A brain-computer interface that evokes tactile sensations improves robotic arm control. Science 2021. DOI: 10.1126/science.abd0380。侵入式刺激与闭环任务，不能继承其干预效应。</w:t>
      </w:r>
      <w:r>
        <w:rPr>
          <w:rFonts w:ascii="Noto Sans CJK SC" w:hAnsi="Noto Sans CJK SC" w:eastAsia="Noto Sans CJK SC"/>
          <w:color w:val="000000"/>
          <w:sz w:val="19"/>
        </w:rPr>
        <w:t xml:space="preserve">  </w:t>
      </w:r>
      <w:hyperlink r:id="rId60">
        <w:r>
          <w:rPr>
            <w:rFonts w:ascii="Noto Sans CJK SC" w:hAnsi="Noto Sans CJK SC" w:eastAsia="Noto Sans CJK SC"/>
            <w:color w:val="1F4E79"/>
          </w:rPr>
          <w:t>原文</w:t>
        </w:r>
      </w:hyperlink>
    </w:p>
    <w:sectPr w:rsidR="00FC693F" w:rsidRPr="0006063C" w:rsidSect="00034616">
      <w:footerReference w:type="default" r:id="rId9"/>
      <w:pgSz w:w="12240" w:h="15840"/>
      <w:pgMar w:top="936" w:right="1224" w:bottom="936" w:left="122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000000"/>
        <w:sz w:val="17"/>
      </w:rPr>
      <w:t xml:space="preserve">第三篇实验协议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20"/>
    </w:pPr>
    <w:rPr>
      <w:rFonts w:ascii="Noto Sans CJK SC" w:hAnsi="Noto Sans CJK SC"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3" w:lineRule="auto"/>
      <w:outlineLvl w:val="0"/>
    </w:pPr>
    <w:rPr>
      <w:rFonts w:asciiTheme="majorHAnsi" w:eastAsiaTheme="majorEastAsia" w:hAnsiTheme="majorHAnsi" w:cstheme="majorBidi" w:ascii="Noto Sans CJK SC" w:hAnsi="Noto Sans CJK SC"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line="283" w:lineRule="auto"/>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line="283" w:lineRule="auto"/>
      <w:outlineLvl w:val="2"/>
    </w:pPr>
    <w:rPr>
      <w:rFonts w:asciiTheme="majorHAnsi" w:eastAsiaTheme="majorEastAsia" w:hAnsiTheme="majorHAnsi" w:cstheme="majorBidi" w:ascii="Noto Sans CJK SC" w:hAnsi="Noto Sans CJK SC" w:eastAsia="Noto Sans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83" w:lineRule="auto"/>
      <w:contextualSpacing/>
    </w:pPr>
    <w:rPr>
      <w:rFonts w:asciiTheme="majorHAnsi" w:eastAsiaTheme="majorEastAsia" w:hAnsiTheme="majorHAnsi" w:cstheme="majorBidi" w:ascii="Noto Sans CJK SC" w:hAnsi="Noto Sans CJK SC" w:eastAsia="Noto Sans CJK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83" w:lineRule="auto" w:after="260"/>
    </w:pPr>
    <w:rPr>
      <w:rFonts w:asciiTheme="majorHAnsi" w:eastAsiaTheme="majorEastAsia" w:hAnsiTheme="majorHAnsi" w:cstheme="majorBidi" w:ascii="Noto Sans CJK SC" w:hAnsi="Noto Sans CJK SC" w:eastAsia="Noto Sans CJK S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yperlink" Target="https://www.nature.com/articles/s41467-026-75435-5" TargetMode="External"/><Relationship Id="rId23" Type="http://schemas.openxmlformats.org/officeDocument/2006/relationships/hyperlink" Target="https://github.com/bfinl/SensoryGuidedJointLearning" TargetMode="External"/><Relationship Id="rId24" Type="http://schemas.openxmlformats.org/officeDocument/2006/relationships/hyperlink" Target="https://doi.org/10.1184/R1/32293995" TargetMode="External"/><Relationship Id="rId25" Type="http://schemas.openxmlformats.org/officeDocument/2006/relationships/hyperlink" Target="https://www.nature.com/articles/s41467-025-61064-x" TargetMode="External"/><Relationship Id="rId26" Type="http://schemas.openxmlformats.org/officeDocument/2006/relationships/hyperlink" Target="https://github.com/bfinl/Finger-BCI-Decoding" TargetMode="External"/><Relationship Id="rId27" Type="http://schemas.openxmlformats.org/officeDocument/2006/relationships/hyperlink" Target="https://doi.org/10.1184/R1/29104040" TargetMode="External"/><Relationship Id="rId28" Type="http://schemas.openxmlformats.org/officeDocument/2006/relationships/hyperlink" Target="https://www.nature.com/articles/s42256-025-01090-y" TargetMode="External"/><Relationship Id="rId29" Type="http://schemas.openxmlformats.org/officeDocument/2006/relationships/hyperlink" Target="https://github.com/kaolab-research/bci_raspy" TargetMode="External"/><Relationship Id="rId30" Type="http://schemas.openxmlformats.org/officeDocument/2006/relationships/hyperlink" Target="https://zenodo.org/records/15165133" TargetMode="External"/><Relationship Id="rId31" Type="http://schemas.openxmlformats.org/officeDocument/2006/relationships/hyperlink" Target="https://arxiv.org/abs/2011.09161v3" TargetMode="External"/><Relationship Id="rId32" Type="http://schemas.openxmlformats.org/officeDocument/2006/relationships/hyperlink" Target="https://openaccess.thecvf.com/content/CVPR2021/html/Yan_Positive-Congruent_Training_Towards_Regression-Free_Model_Updates_CVPR_2021_paper.html" TargetMode="External"/><Relationship Id="rId33" Type="http://schemas.openxmlformats.org/officeDocument/2006/relationships/hyperlink" Target="https://proceedings.mlr.press/v162/jiang22b.html" TargetMode="External"/><Relationship Id="rId34" Type="http://schemas.openxmlformats.org/officeDocument/2006/relationships/hyperlink" Target="https://proceedings.mlr.press/v162/jiang22b/jiang22b.pdf" TargetMode="External"/><Relationship Id="rId35" Type="http://schemas.openxmlformats.org/officeDocument/2006/relationships/hyperlink" Target="https://arxiv.org/abs/2609.00282v1" TargetMode="External"/><Relationship Id="rId36" Type="http://schemas.openxmlformats.org/officeDocument/2006/relationships/hyperlink" Target="https://www.sciencedirect.com/science/article/pii/S0950705126006921" TargetMode="External"/><Relationship Id="rId37" Type="http://schemas.openxmlformats.org/officeDocument/2006/relationships/hyperlink" Target="https://arxiv.org/abs/2507.20254" TargetMode="External"/><Relationship Id="rId38" Type="http://schemas.openxmlformats.org/officeDocument/2006/relationships/hyperlink" Target="https://github.com/staraink/MIRepNet" TargetMode="External"/><Relationship Id="rId39" Type="http://schemas.openxmlformats.org/officeDocument/2006/relationships/hyperlink" Target="https://huggingface.co/starself/MIRepNet" TargetMode="External"/><Relationship Id="rId40" Type="http://schemas.openxmlformats.org/officeDocument/2006/relationships/hyperlink" Target="https://proceedings.iclr.cc/paper_files/paper/2026/hash/36eeec256f89eba9ed60cbca73ea92ed-Abstract-Conference.html" TargetMode="External"/><Relationship Id="rId41" Type="http://schemas.openxmlformats.org/officeDocument/2006/relationships/hyperlink" Target="https://github.com/luo-huan-123/BTTA-DG" TargetMode="External"/><Relationship Id="rId42" Type="http://schemas.openxmlformats.org/officeDocument/2006/relationships/hyperlink" Target="https://doi.org/10.1093/nsr/nwag466" TargetMode="External"/><Relationship Id="rId43" Type="http://schemas.openxmlformats.org/officeDocument/2006/relationships/hyperlink" Target="https://github.com/Dingkun0817/EEG-FM-Benchmark" TargetMode="External"/><Relationship Id="rId44" Type="http://schemas.openxmlformats.org/officeDocument/2006/relationships/hyperlink" Target="https://link.springer.com/article/10.1038/s41597-021-00883-1" TargetMode="External"/><Relationship Id="rId45" Type="http://schemas.openxmlformats.org/officeDocument/2006/relationships/hyperlink" Target="https://figshare.com/articles/dataset/Human_EEG_Dataset_for_Brain-Computer_Interface_and_Meditation/13123148" TargetMode="External"/><Relationship Id="rId46" Type="http://schemas.openxmlformats.org/officeDocument/2006/relationships/hyperlink" Target="https://doi.org/10.6084/m9.figshare.30747806.v6" TargetMode="External"/><Relationship Id="rId47" Type="http://schemas.openxmlformats.org/officeDocument/2006/relationships/hyperlink" Target="https://api.figshare.com/v2/articles/30747806/versions/6" TargetMode="External"/><Relationship Id="rId48" Type="http://schemas.openxmlformats.org/officeDocument/2006/relationships/hyperlink" Target="https://github.com/KINLAWWW/HS-Stroke" TargetMode="External"/><Relationship Id="rId49" Type="http://schemas.openxmlformats.org/officeDocument/2006/relationships/hyperlink" Target="https://github.com/jackzhu119/cross-subject-mi-eeg/blob/0539379578818b3d71f995192e5e8a81cf4d5aef/research_runs/YANG_LABEL_ELIGIBILITY_20261018/README_zh.md" TargetMode="External"/><Relationship Id="rId50" Type="http://schemas.openxmlformats.org/officeDocument/2006/relationships/hyperlink" Target="https://github.com/jackzhu119/cross-subject-mi-eeg/blob/0539379578818b3d71f995192e5e8a81cf4d5aef/research_runs/YANG_MARKER_AUDIT_20261018/README_zh.md" TargetMode="External"/><Relationship Id="rId51" Type="http://schemas.openxmlformats.org/officeDocument/2006/relationships/hyperlink" Target="https://github.com/jackzhu119/few-shot-mi-eeg/blob/19a5909fd76d96be9316559602010932ccec81a8/docs/kumar_innovation_revision_20261017.md" TargetMode="External"/><Relationship Id="rId52" Type="http://schemas.openxmlformats.org/officeDocument/2006/relationships/hyperlink" Target="https://github.com/jackzhu119/few-shot-mi-eeg/blob/19a5909fd76d96be9316559602010932ccec81a8/docs/kumar_component_exploratory_protocol_20261016.md" TargetMode="External"/><Relationship Id="rId53" Type="http://schemas.openxmlformats.org/officeDocument/2006/relationships/hyperlink" Target="https://www.frontiersin.org/journals/neuroergonomics/articles/10.3389/fnrgo.2026.1804143/full" TargetMode="External"/><Relationship Id="rId54" Type="http://schemas.openxmlformats.org/officeDocument/2006/relationships/hyperlink" Target="https://docs.pytorch.org/docs/2.8/notes/randomness.html" TargetMode="External"/><Relationship Id="rId55" Type="http://schemas.openxmlformats.org/officeDocument/2006/relationships/hyperlink" Target="https://docs.pytorch.org/docs/2.8/notes/cuda.html" TargetMode="External"/><Relationship Id="rId56" Type="http://schemas.openxmlformats.org/officeDocument/2006/relationships/hyperlink" Target="https://arxiv.org/abs/1808.05464" TargetMode="External"/><Relationship Id="rId57" Type="http://schemas.openxmlformats.org/officeDocument/2006/relationships/hyperlink" Target="https://arxiv.org/abs/1612.01939" TargetMode="External"/><Relationship Id="rId58" Type="http://schemas.openxmlformats.org/officeDocument/2006/relationships/hyperlink" Target="https://openaccess.thecvf.com/content_CVPR_2019/html/Sun_Meta-Transfer_Learning_for_Few-Shot_Learning_CVPR_2019_paper.html" TargetMode="External"/><Relationship Id="rId59" Type="http://schemas.openxmlformats.org/officeDocument/2006/relationships/hyperlink" Target="https://www.nature.com/articles/s41586-023-06377-x" TargetMode="External"/><Relationship Id="rId60" Type="http://schemas.openxmlformats.org/officeDocument/2006/relationships/hyperlink" Target="https://www.science.org/doi/10.1126/science.abd03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第三篇论文完整实验协议</dc:title>
  <dc:subject>受限空间更新与纵向运动想象脑电的Work实施方案</dc:subject>
  <dc:creator>Benjamin Zhu</dc:creator>
  <cp:keywords>MI-EEG; longitudinal; low calibration; spatial adaptation; experimental protocol</cp:keywords>
  <dc:description>generated by python-docx</dc:description>
  <cp:lastModifiedBy/>
  <cp:revision>1</cp:revision>
  <dcterms:created xsi:type="dcterms:W3CDTF">2013-12-23T23:15:00Z</dcterms:created>
  <dcterms:modified xsi:type="dcterms:W3CDTF">2013-12-23T23:15:00Z</dcterms:modified>
  <cp:category/>
</cp:coreProperties>
</file>