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over-letter-author-review-draft"/>
    <w:p>
      <w:pPr>
        <w:pStyle w:val="Heading1"/>
      </w:pPr>
      <w:r>
        <w:t xml:space="preserve">Cover Letter — Author Review Draft</w:t>
      </w:r>
    </w:p>
    <w:p>
      <w:pPr>
        <w:pStyle w:val="FirstParagraph"/>
      </w:pPr>
      <w:r>
        <w:t xml:space="preserve">29 October 2026</w:t>
      </w:r>
    </w:p>
    <w:p>
      <w:pPr>
        <w:pStyle w:val="BodyText"/>
      </w:pPr>
      <w:r>
        <w:t xml:space="preserve">Dear Editors of</w:t>
      </w:r>
      <w:r>
        <w:t xml:space="preserve"> </w:t>
      </w:r>
      <w:r>
        <w:rPr>
          <w:i/>
          <w:iCs/>
        </w:rPr>
        <w:t xml:space="preserve">Brain Sciences</w:t>
      </w:r>
      <w:r>
        <w:t xml:space="preserve">,</w:t>
      </w:r>
    </w:p>
    <w:p>
      <w:pPr>
        <w:pStyle w:val="BodyText"/>
      </w:pPr>
      <w:r>
        <w:t xml:space="preserve">Please consider our Research Article,</w:t>
      </w:r>
      <w:r>
        <w:t xml:space="preserve"> </w:t>
      </w:r>
      <w:r>
        <w:rPr>
          <w:b/>
          <w:bCs/>
        </w:rPr>
        <w:t xml:space="preserve">“</w:t>
      </w:r>
      <w:r>
        <w:rPr>
          <w:b/>
          <w:bCs/>
        </w:rPr>
        <w:t xml:space="preserve">Evidence-Retaining Functional Calibration for Few-Trial Motor Imagery EEG Decoding,</w:t>
      </w:r>
      <w:r>
        <w:rPr>
          <w:b/>
          <w:bCs/>
        </w:rPr>
        <w:t xml:space="preserve">”</w:t>
      </w:r>
      <w:r>
        <w:t xml:space="preserve"> </w:t>
      </w:r>
      <w:r>
        <w:t xml:space="preserve">by Ziyuan Zhu, Sihao Liu and Haoyang Yu.</w:t>
      </w:r>
    </w:p>
    <w:p>
      <w:pPr>
        <w:pStyle w:val="BodyText"/>
      </w:pPr>
      <w:r>
        <w:t xml:space="preserve">A small EEG calibration recording can support a fitted correction without determining where that correction should change subsequent predictions. Our study addresses this distinction through Evidence-Retaining Functional Calibration (ERFC). The method retains functions that preserve a defined fraction of the regularized support gain, includes query directions invisible to the support observations, and makes a minimum-change decision around an established decoder. Its contribution is this query-functional calibration rule; the frozen EEGNet architecture, alignment and kernel foundations retain their established attribution.</w:t>
      </w:r>
    </w:p>
    <w:p>
      <w:pPr>
        <w:pStyle w:val="BodyText"/>
      </w:pPr>
      <w:r>
        <w:t xml:space="preserve">We evaluate the rule through retrospective paired analyses of 35 participants across three public motor imagery EEG cohorts. In a separately labeled exploratory comparison, ERFC reduced newly introduced errors relative to its matched point-fit control while also correcting fewer anchor errors. The manuscript reports both sides of this trade-off, the complete primary accuracy comparisons, participant-level uncertainty and the computational cost of query profiling.</w:t>
      </w:r>
    </w:p>
    <w:p>
      <w:pPr>
        <w:pStyle w:val="BodyText"/>
      </w:pPr>
      <w:r>
        <w:t xml:space="preserve">We believe the work fits the journal’s coverage of computational neuroscience and brain–computer interfaces by providing an inspectable connection between limited calibration evidence and prediction-level intervention. The submission package includes editable tables and equations, original data-derived figures, supplementary comparison tables, and reproducible analysis and plotting code. Public-data ethics, funding and generative-AI assistance are addressed in the manuscript declarations.</w:t>
      </w:r>
    </w:p>
    <w:p>
      <w:pPr>
        <w:pStyle w:val="BodyText"/>
      </w:pPr>
      <w:r>
        <w:rPr>
          <w:b/>
          <w:bCs/>
        </w:rPr>
        <w:t xml:space="preserve">Required author confirmations before this letter is submitted:</w:t>
      </w:r>
      <w:r>
        <w:t xml:space="preserve"> </w:t>
      </w:r>
      <w:r>
        <w:t xml:space="preserve">Confirm that this manuscript has not been published and is not under consideration by another journal; confirm that all authors have approved the final manuscript and agree to its submission; disclose any previous MDPI submission of this manuscript and any related submissions or overlapping reports, if applicable. Replace this paragraph with the confirmed declarations before submission. Potential reviewer details should be entered in the journal’s submission system rather than this letter.</w:t>
      </w:r>
    </w:p>
    <w:p>
      <w:pPr>
        <w:pStyle w:val="BodyText"/>
      </w:pPr>
      <w:r>
        <w:t xml:space="preserve">Sincerely,</w:t>
      </w:r>
    </w:p>
    <w:p>
      <w:pPr>
        <w:pStyle w:val="BodyText"/>
      </w:pPr>
      <w:r>
        <w:rPr>
          <w:b/>
          <w:bCs/>
        </w:rPr>
        <w:t xml:space="preserve">Ziyuan Zhu</w:t>
      </w:r>
      <w:r>
        <w:br/>
      </w:r>
      <w:r>
        <w:t xml:space="preserve">Corresponding author</w:t>
      </w:r>
      <w:r>
        <w:br/>
      </w:r>
      <w:r>
        <w:t xml:space="preserve">College of Artificial Intelligence Medicine</w:t>
      </w:r>
      <w:r>
        <w:br/>
      </w:r>
      <w:r>
        <w:t xml:space="preserve">Chongqing Medical University</w:t>
      </w:r>
      <w:r>
        <w:br/>
      </w:r>
      <w:r>
        <w:t xml:space="preserve">Chongqing 400016, China</w:t>
      </w:r>
      <w:r>
        <w:br/>
      </w:r>
      <w:r>
        <w:t xml:space="preserve">Email: zzy2630816871@gmail.com</w:t>
      </w:r>
    </w:p>
    <w:p>
      <w:pPr>
        <w:pStyle w:val="BodyText"/>
      </w:pPr>
      <w:r>
        <w:t xml:space="preserve">ORCID:</w:t>
      </w:r>
      <w:r>
        <w:t xml:space="preserve"> </w:t>
      </w:r>
      <w:hyperlink r:id="rId20">
        <w:r>
          <w:rPr>
            <w:rStyle w:val="Hyperlink"/>
          </w:rPr>
          <w:t xml:space="preserve">https://orcid.org/0009-0005-1153-4926</w:t>
        </w:r>
      </w:hyperlink>
    </w:p>
    <w:bookmarkEnd w:id="21"/>
    <w:sectPr w:rsidR="00FC693F" w:rsidRPr="0006063C" w:rsidSect="00034616">
      <w:headerReference r:id="rId9" w:type="default"/>
      <w:footerReference r:id="rId10" w:type="default"/>
      <w:pgSz w:h="16838" w:w="11906"/>
      <w:pgMar w:bottom="1247" w:footer="720" w:gutter="0" w:header="720" w:left="1247" w:right="1247"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Zhu et al. — Evidence-Retaining Functional Calibration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360" w:lineRule="auto"/>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00"/>
      <w:outlineLvl w:val="0"/>
    </w:pPr>
    <w:rPr>
      <w:rFonts w:ascii="Times New Roman" w:asciiTheme="majorHAnsi" w:cstheme="majorBidi" w:eastAsiaTheme="majorEastAsia" w:hAnsi="Times New Roman" w:hAnsiTheme="majorHAnsi"/>
      <w:b/>
      <w:bCs/>
      <w:sz w:val="28"/>
      <w:szCs w:val="28"/>
    </w:rPr>
  </w:style>
  <w:style w:styleId="Heading2" w:type="paragraph">
    <w:name w:val="heading 2"/>
    <w:basedOn w:val="Normal"/>
    <w:next w:val="Normal"/>
    <w:link w:val="Heading2Char"/>
    <w:uiPriority w:val="9"/>
    <w:unhideWhenUsed/>
    <w:qFormat/>
    <w:rsid w:val="00FC693F"/>
    <w:pPr>
      <w:keepNext/>
      <w:keepLines/>
      <w:spacing w:after="100" w:before="200"/>
      <w:outlineLvl w:val="1"/>
    </w:pPr>
    <w:rPr>
      <w:rFonts w:ascii="Times New Roman" w:asciiTheme="majorHAnsi" w:cstheme="majorBidi" w:eastAsiaTheme="majorEastAsia" w:hAnsi="Times New Roman" w:hAnsiTheme="majorHAnsi"/>
      <w:b/>
      <w:bCs/>
      <w:sz w:val="24"/>
      <w:szCs w:val="26"/>
    </w:rPr>
  </w:style>
  <w:style w:styleId="Heading3" w:type="paragraph">
    <w:name w:val="heading 3"/>
    <w:basedOn w:val="Normal"/>
    <w:next w:val="Normal"/>
    <w:link w:val="Heading3Char"/>
    <w:uiPriority w:val="9"/>
    <w:unhideWhenUsed/>
    <w:qFormat/>
    <w:rsid w:val="00FC693F"/>
    <w:pPr>
      <w:keepNext/>
      <w:keepLines/>
      <w:spacing w:after="100" w:before="200"/>
      <w:outlineLvl w:val="2"/>
    </w:pPr>
    <w:rPr>
      <w:rFonts w:ascii="Times New Roman" w:asciiTheme="majorHAnsi" w:cstheme="majorBidi" w:eastAsiaTheme="majorEastAsia" w:hAnsi="Times New Roman" w:hAnsiTheme="majorHAnsi"/>
      <w:b/>
      <w:bCs/>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00" w:before="200" w:line="240" w:lineRule="auto"/>
      <w:contextualSpacing/>
    </w:pPr>
    <w:rPr>
      <w:rFonts w:ascii="Times New Roman" w:asciiTheme="majorHAnsi" w:cstheme="majorBidi" w:eastAsiaTheme="majorEastAsia" w:hAnsi="Times New Roman" w:hAnsiTheme="majorHAnsi"/>
      <w:b/>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20" Target="https://orcid.org/0009-0005-1153-4926" TargetMode="External" /></Relationships>
</file>

<file path=word/_rels/footnotes.xml.rels><?xml version="1.0" encoding="UTF-8"?><Relationships xmlns="http://schemas.openxmlformats.org/package/2006/relationships"><Relationship Type="http://schemas.openxmlformats.org/officeDocument/2006/relationships/hyperlink" Id="rId20" Target="https://orcid.org/0009-0005-1153-49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2026-10-29T07:15:44Z</dcterms:created>
  <dcterms:modified xsi:type="dcterms:W3CDTF">2026-10-29T07:15:44Z</dcterms:modified>
</cp:coreProperties>
</file>

<file path=docProps/custom.xml><?xml version="1.0" encoding="utf-8"?>
<Properties xmlns="http://schemas.openxmlformats.org/officeDocument/2006/custom-properties" xmlns:vt="http://schemas.openxmlformats.org/officeDocument/2006/docPropsVTypes"/>
</file>