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highlights"/>
    <w:p>
      <w:pPr>
        <w:pStyle w:val="Heading1"/>
      </w:pPr>
      <w:r>
        <w:t xml:space="preserve">Highlights</w:t>
      </w:r>
    </w:p>
    <w:bookmarkStart w:id="20" w:name="what-are-the-main-findings"/>
    <w:p>
      <w:pPr>
        <w:pStyle w:val="Heading2"/>
      </w:pPr>
      <w:r>
        <w:t xml:space="preserve">What are the main findings?</w:t>
      </w:r>
    </w:p>
    <w:p>
      <w:pPr>
        <w:pStyle w:val="Compact"/>
        <w:numPr>
          <w:ilvl w:val="0"/>
          <w:numId w:val="1001"/>
        </w:numPr>
      </w:pPr>
      <w:r>
        <w:t xml:space="preserve">ERFC uses a support-gain-retaining function set and query-specific completion bounds to decide whether to modify an EEG prediction.</w:t>
      </w:r>
    </w:p>
    <w:p>
      <w:pPr>
        <w:pStyle w:val="Compact"/>
        <w:numPr>
          <w:ilvl w:val="0"/>
          <w:numId w:val="1001"/>
        </w:numPr>
      </w:pPr>
      <w:r>
        <w:t xml:space="preserve">Paired exploratory analyses show fewer newly introduced errors and fewer repaired anchor errors than a matched point-fit correction.</w:t>
      </w:r>
    </w:p>
    <w:bookmarkEnd w:id="20"/>
    <w:bookmarkStart w:id="21" w:name="Xf1e447a54a7dae746f07dac065927967462e56e"/>
    <w:p>
      <w:pPr>
        <w:pStyle w:val="Heading2"/>
      </w:pPr>
      <w:r>
        <w:t xml:space="preserve">What are the implications of the main findings?</w:t>
      </w:r>
    </w:p>
    <w:p>
      <w:pPr>
        <w:pStyle w:val="Compact"/>
        <w:numPr>
          <w:ilvl w:val="0"/>
          <w:numId w:val="1002"/>
        </w:numPr>
      </w:pPr>
      <w:r>
        <w:t xml:space="preserve">Calibration can be evaluated as a selective intervention, with its correction and preservation effects reported separately.</w:t>
      </w:r>
    </w:p>
    <w:p>
      <w:pPr>
        <w:pStyle w:val="Compact"/>
        <w:numPr>
          <w:ilvl w:val="0"/>
          <w:numId w:val="1002"/>
        </w:numPr>
      </w:pPr>
      <w:r>
        <w:t xml:space="preserve">Scarce-label adaptation benefits from an explicit definition of when retaining an established prediction is the prescribed decision.</w:t>
      </w:r>
    </w:p>
    <w:bookmarkEnd w:id="21"/>
    <w:bookmarkEnd w:id="22"/>
    <w:sectPr w:rsidR="00FC693F" w:rsidRPr="0006063C" w:rsidSect="00034616">
      <w:headerReference r:id="rId9" w:type="default"/>
      <w:footerReference r:id="rId10" w:type="default"/>
      <w:pgSz w:h="16838" w:w="11906"/>
      <w:pgMar w:bottom="1247" w:footer="720" w:gutter="0" w:header="720" w:left="1247" w:right="1247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Zhu et al. — Evidence-Retaining Functional Calibration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360" w:lineRule="auto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imes New Roman" w:asciiTheme="majorHAnsi" w:cstheme="majorBidi" w:eastAsiaTheme="majorEastAsia" w:hAnsi="Times New Roman" w:hAnsiTheme="majorHAnsi"/>
      <w:b/>
      <w:bCs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00" w:before="200" w:line="240" w:lineRule="auto"/>
      <w:contextualSpacing/>
    </w:pPr>
    <w:rPr>
      <w:rFonts w:ascii="Times New Roman" w:asciiTheme="majorHAnsi" w:cstheme="majorBidi" w:eastAsiaTheme="majorEastAsia" w:hAnsi="Times New Roman" w:hAnsiTheme="majorHAnsi"/>
      <w:b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2026-10-29T07:14:27Z</dcterms:created>
  <dcterms:modified xsi:type="dcterms:W3CDTF">2026-10-29T07:14:27Z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