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80EA" w14:textId="77777777" w:rsidR="0020210A" w:rsidRPr="00012DDE" w:rsidRDefault="0020210A" w:rsidP="0020210A">
      <w:pPr>
        <w:spacing w:line="480" w:lineRule="auto"/>
        <w:rPr>
          <w:rFonts w:ascii="Times New Roman" w:hAnsi="Times New Roman" w:cs="Times New Roman"/>
          <w:b/>
          <w:bCs/>
          <w:sz w:val="22"/>
          <w:szCs w:val="22"/>
        </w:rPr>
      </w:pPr>
      <w:r>
        <w:rPr>
          <w:rFonts w:ascii="Times New Roman" w:hAnsi="Times New Roman" w:cs="Times New Roman"/>
          <w:b/>
          <w:bCs/>
          <w:sz w:val="22"/>
          <w:szCs w:val="22"/>
        </w:rPr>
        <w:t>Statistical Analysis for The Getting Out the Gunk</w:t>
      </w:r>
    </w:p>
    <w:p w14:paraId="2A5E4AC7" w14:textId="77777777" w:rsidR="0020210A" w:rsidRPr="00012DDE" w:rsidRDefault="0020210A" w:rsidP="0020210A">
      <w:pPr>
        <w:spacing w:line="480" w:lineRule="auto"/>
        <w:rPr>
          <w:rFonts w:ascii="Times New Roman" w:hAnsi="Times New Roman" w:cs="Times New Roman"/>
          <w:b/>
          <w:bCs/>
          <w:sz w:val="22"/>
          <w:szCs w:val="22"/>
        </w:rPr>
      </w:pPr>
      <w:r w:rsidRPr="00012DDE">
        <w:rPr>
          <w:rFonts w:ascii="Times New Roman" w:hAnsi="Times New Roman" w:cs="Times New Roman"/>
          <w:b/>
          <w:bCs/>
          <w:sz w:val="22"/>
          <w:szCs w:val="22"/>
        </w:rPr>
        <w:t xml:space="preserve">To: </w:t>
      </w:r>
      <w:proofErr w:type="spellStart"/>
      <w:r w:rsidRPr="00012DDE">
        <w:rPr>
          <w:rFonts w:ascii="Times New Roman" w:hAnsi="Times New Roman" w:cs="Times New Roman"/>
          <w:b/>
          <w:bCs/>
          <w:sz w:val="22"/>
          <w:szCs w:val="22"/>
        </w:rPr>
        <w:t>Dr.Bingenheimer</w:t>
      </w:r>
      <w:proofErr w:type="spellEnd"/>
      <w:r w:rsidRPr="00012DDE">
        <w:rPr>
          <w:rFonts w:ascii="Times New Roman" w:hAnsi="Times New Roman" w:cs="Times New Roman"/>
          <w:b/>
          <w:bCs/>
          <w:sz w:val="22"/>
          <w:szCs w:val="22"/>
        </w:rPr>
        <w:t xml:space="preserve"> </w:t>
      </w:r>
    </w:p>
    <w:p w14:paraId="7E678FDA" w14:textId="77777777" w:rsidR="0020210A" w:rsidRPr="00012DDE" w:rsidRDefault="0020210A" w:rsidP="0020210A">
      <w:pPr>
        <w:spacing w:line="480" w:lineRule="auto"/>
        <w:rPr>
          <w:rFonts w:ascii="Times New Roman" w:hAnsi="Times New Roman" w:cs="Times New Roman"/>
          <w:b/>
          <w:bCs/>
          <w:sz w:val="22"/>
          <w:szCs w:val="22"/>
        </w:rPr>
      </w:pPr>
      <w:r w:rsidRPr="00012DDE">
        <w:rPr>
          <w:rFonts w:ascii="Times New Roman" w:hAnsi="Times New Roman" w:cs="Times New Roman"/>
          <w:b/>
          <w:bCs/>
          <w:sz w:val="22"/>
          <w:szCs w:val="22"/>
        </w:rPr>
        <w:t xml:space="preserve">From: Jaclyn Batts </w:t>
      </w:r>
    </w:p>
    <w:p w14:paraId="66069D0C" w14:textId="4D24319B" w:rsidR="0020210A" w:rsidRPr="00012DDE" w:rsidRDefault="0020210A" w:rsidP="0020210A">
      <w:pPr>
        <w:spacing w:line="480" w:lineRule="auto"/>
        <w:rPr>
          <w:rFonts w:ascii="Times New Roman" w:hAnsi="Times New Roman" w:cs="Times New Roman"/>
          <w:b/>
          <w:bCs/>
          <w:sz w:val="22"/>
          <w:szCs w:val="22"/>
        </w:rPr>
      </w:pPr>
      <w:r w:rsidRPr="00012DDE">
        <w:rPr>
          <w:rFonts w:ascii="Times New Roman" w:hAnsi="Times New Roman" w:cs="Times New Roman"/>
          <w:b/>
          <w:bCs/>
          <w:sz w:val="22"/>
          <w:szCs w:val="22"/>
        </w:rPr>
        <w:t xml:space="preserve">RE: </w:t>
      </w:r>
      <w:r>
        <w:rPr>
          <w:rFonts w:ascii="Times New Roman" w:hAnsi="Times New Roman" w:cs="Times New Roman"/>
          <w:b/>
          <w:bCs/>
          <w:sz w:val="22"/>
          <w:szCs w:val="22"/>
        </w:rPr>
        <w:t>Analysis of LDL Intervention</w:t>
      </w:r>
    </w:p>
    <w:p w14:paraId="79863086" w14:textId="008FE114" w:rsidR="0020210A" w:rsidRPr="0020210A" w:rsidRDefault="0020210A" w:rsidP="0020210A">
      <w:pPr>
        <w:spacing w:line="480" w:lineRule="auto"/>
        <w:rPr>
          <w:rFonts w:ascii="Times New Roman" w:hAnsi="Times New Roman" w:cs="Times New Roman"/>
          <w:b/>
          <w:bCs/>
          <w:sz w:val="22"/>
          <w:szCs w:val="22"/>
        </w:rPr>
      </w:pPr>
      <w:r w:rsidRPr="00012DDE">
        <w:rPr>
          <w:rFonts w:ascii="Times New Roman" w:hAnsi="Times New Roman" w:cs="Times New Roman"/>
          <w:b/>
          <w:bCs/>
          <w:sz w:val="22"/>
          <w:szCs w:val="22"/>
        </w:rPr>
        <w:t>Date: 02/1</w:t>
      </w:r>
      <w:r>
        <w:rPr>
          <w:rFonts w:ascii="Times New Roman" w:hAnsi="Times New Roman" w:cs="Times New Roman"/>
          <w:b/>
          <w:bCs/>
          <w:sz w:val="22"/>
          <w:szCs w:val="22"/>
        </w:rPr>
        <w:t>9</w:t>
      </w:r>
      <w:r w:rsidRPr="00012DDE">
        <w:rPr>
          <w:rFonts w:ascii="Times New Roman" w:hAnsi="Times New Roman" w:cs="Times New Roman"/>
          <w:b/>
          <w:bCs/>
          <w:sz w:val="22"/>
          <w:szCs w:val="22"/>
        </w:rPr>
        <w:t>/2025</w:t>
      </w:r>
    </w:p>
    <w:p w14:paraId="4B93B488" w14:textId="1BD29AB7" w:rsidR="00DB1D72" w:rsidRPr="0020210A" w:rsidRDefault="00A26640">
      <w:pPr>
        <w:rPr>
          <w:b/>
          <w:bCs/>
          <w:sz w:val="28"/>
          <w:szCs w:val="28"/>
        </w:rPr>
      </w:pPr>
      <w:r w:rsidRPr="0020210A">
        <w:rPr>
          <w:b/>
          <w:bCs/>
          <w:sz w:val="28"/>
          <w:szCs w:val="28"/>
        </w:rPr>
        <w:t>Section 1:Analysis 1 and 2</w:t>
      </w:r>
    </w:p>
    <w:p w14:paraId="3C86321F" w14:textId="1B87FD3E" w:rsidR="00CF4BCF" w:rsidRDefault="00CF4BCF">
      <w:r w:rsidRPr="0020210A">
        <w:t xml:space="preserve">Figure 1 demonstrates that the prevalence of high LDL decreased from 78.9% at baseline to 68.4% at follow-up. However, according to the </w:t>
      </w:r>
      <w:proofErr w:type="spellStart"/>
      <w:r w:rsidRPr="0020210A">
        <w:t>McNemar</w:t>
      </w:r>
      <w:proofErr w:type="spellEnd"/>
      <w:r w:rsidRPr="0020210A">
        <w:t xml:space="preserve"> Test, this change was not statistically significant. In Figure 2, you can observe shifts in the LDL categories, such as more individuals in the “Near Optimal” and “Borderline High" categories post-intervention, with fewer individuals in the "High” and “Very High" categories High”.</w:t>
      </w:r>
    </w:p>
    <w:p w14:paraId="4B0B0160" w14:textId="77777777" w:rsidR="0020210A" w:rsidRPr="0020210A" w:rsidRDefault="0020210A"/>
    <w:p w14:paraId="3EBD7B17" w14:textId="2103917B" w:rsidR="00A26640" w:rsidRPr="0020210A" w:rsidRDefault="00A26640">
      <w:pPr>
        <w:rPr>
          <w:b/>
          <w:bCs/>
          <w:sz w:val="28"/>
          <w:szCs w:val="28"/>
        </w:rPr>
      </w:pPr>
      <w:r w:rsidRPr="0020210A">
        <w:rPr>
          <w:b/>
          <w:bCs/>
          <w:sz w:val="28"/>
          <w:szCs w:val="28"/>
        </w:rPr>
        <w:t>Figure 1:</w:t>
      </w:r>
      <w:r w:rsidR="0010192B" w:rsidRPr="0020210A">
        <w:rPr>
          <w:b/>
          <w:bCs/>
          <w:sz w:val="28"/>
          <w:szCs w:val="28"/>
        </w:rPr>
        <w:t xml:space="preserve"> Dichotomous Pre-Post Intervention</w:t>
      </w:r>
    </w:p>
    <w:tbl>
      <w:tblPr>
        <w:tblStyle w:val="TableGrid"/>
        <w:tblW w:w="0" w:type="auto"/>
        <w:tblLook w:val="04A0" w:firstRow="1" w:lastRow="0" w:firstColumn="1" w:lastColumn="0" w:noHBand="0" w:noVBand="1"/>
      </w:tblPr>
      <w:tblGrid>
        <w:gridCol w:w="2376"/>
        <w:gridCol w:w="2465"/>
        <w:gridCol w:w="2465"/>
        <w:gridCol w:w="2044"/>
      </w:tblGrid>
      <w:tr w:rsidR="00F9206A" w14:paraId="5D68AB00" w14:textId="51F36F0C" w:rsidTr="00F9206A">
        <w:tc>
          <w:tcPr>
            <w:tcW w:w="2376" w:type="dxa"/>
            <w:tcBorders>
              <w:top w:val="nil"/>
              <w:left w:val="nil"/>
              <w:bottom w:val="nil"/>
              <w:right w:val="nil"/>
            </w:tcBorders>
            <w:shd w:val="clear" w:color="auto" w:fill="F2DBDB"/>
          </w:tcPr>
          <w:p w14:paraId="507EE854" w14:textId="34EC4421" w:rsidR="00F9206A" w:rsidRDefault="00F9206A">
            <w:pPr>
              <w:rPr>
                <w:b/>
                <w:bCs/>
                <w:sz w:val="22"/>
                <w:szCs w:val="22"/>
              </w:rPr>
            </w:pPr>
            <w:r>
              <w:rPr>
                <w:b/>
                <w:bCs/>
                <w:sz w:val="22"/>
                <w:szCs w:val="22"/>
              </w:rPr>
              <w:t>Variable</w:t>
            </w:r>
          </w:p>
        </w:tc>
        <w:tc>
          <w:tcPr>
            <w:tcW w:w="2465" w:type="dxa"/>
            <w:tcBorders>
              <w:top w:val="nil"/>
              <w:left w:val="nil"/>
              <w:bottom w:val="nil"/>
              <w:right w:val="nil"/>
            </w:tcBorders>
            <w:shd w:val="clear" w:color="auto" w:fill="F2DBDB"/>
          </w:tcPr>
          <w:p w14:paraId="2FA3C22C" w14:textId="2873E4C9" w:rsidR="00F9206A" w:rsidRDefault="00F9206A">
            <w:pPr>
              <w:rPr>
                <w:b/>
                <w:bCs/>
                <w:sz w:val="22"/>
                <w:szCs w:val="22"/>
              </w:rPr>
            </w:pPr>
            <w:r>
              <w:rPr>
                <w:b/>
                <w:bCs/>
                <w:sz w:val="22"/>
                <w:szCs w:val="22"/>
              </w:rPr>
              <w:t>Pre-Intervention %</w:t>
            </w:r>
          </w:p>
        </w:tc>
        <w:tc>
          <w:tcPr>
            <w:tcW w:w="2465" w:type="dxa"/>
            <w:tcBorders>
              <w:top w:val="nil"/>
              <w:left w:val="nil"/>
              <w:bottom w:val="nil"/>
              <w:right w:val="nil"/>
            </w:tcBorders>
            <w:shd w:val="clear" w:color="auto" w:fill="F2DBDB"/>
          </w:tcPr>
          <w:p w14:paraId="385CDBCA" w14:textId="45DB28E6" w:rsidR="00F9206A" w:rsidRDefault="00F9206A">
            <w:pPr>
              <w:rPr>
                <w:b/>
                <w:bCs/>
                <w:sz w:val="22"/>
                <w:szCs w:val="22"/>
              </w:rPr>
            </w:pPr>
            <w:r>
              <w:rPr>
                <w:b/>
                <w:bCs/>
                <w:sz w:val="22"/>
                <w:szCs w:val="22"/>
              </w:rPr>
              <w:t>Post Intervention %</w:t>
            </w:r>
          </w:p>
        </w:tc>
        <w:tc>
          <w:tcPr>
            <w:tcW w:w="2044" w:type="dxa"/>
            <w:tcBorders>
              <w:top w:val="nil"/>
              <w:left w:val="nil"/>
              <w:bottom w:val="nil"/>
              <w:right w:val="nil"/>
            </w:tcBorders>
            <w:shd w:val="clear" w:color="auto" w:fill="F2DBDB"/>
          </w:tcPr>
          <w:p w14:paraId="02F7F47B" w14:textId="431A64D4" w:rsidR="00F9206A" w:rsidRDefault="00F9206A">
            <w:pPr>
              <w:rPr>
                <w:b/>
                <w:bCs/>
                <w:sz w:val="22"/>
                <w:szCs w:val="22"/>
              </w:rPr>
            </w:pPr>
            <w:r>
              <w:rPr>
                <w:b/>
                <w:bCs/>
                <w:sz w:val="22"/>
                <w:szCs w:val="22"/>
              </w:rPr>
              <w:t>Significance Level</w:t>
            </w:r>
          </w:p>
        </w:tc>
      </w:tr>
      <w:tr w:rsidR="00F9206A" w14:paraId="1F7F4D5E" w14:textId="7D6AD358" w:rsidTr="00F9206A">
        <w:tc>
          <w:tcPr>
            <w:tcW w:w="2376" w:type="dxa"/>
            <w:tcBorders>
              <w:top w:val="nil"/>
              <w:left w:val="nil"/>
              <w:bottom w:val="nil"/>
              <w:right w:val="nil"/>
            </w:tcBorders>
          </w:tcPr>
          <w:p w14:paraId="1374F7F1" w14:textId="3EF79B31" w:rsidR="00F9206A" w:rsidRDefault="00F9206A">
            <w:pPr>
              <w:rPr>
                <w:b/>
                <w:bCs/>
                <w:sz w:val="22"/>
                <w:szCs w:val="22"/>
              </w:rPr>
            </w:pPr>
            <w:r>
              <w:rPr>
                <w:b/>
                <w:bCs/>
                <w:sz w:val="22"/>
                <w:szCs w:val="22"/>
              </w:rPr>
              <w:t>Not High</w:t>
            </w:r>
          </w:p>
        </w:tc>
        <w:tc>
          <w:tcPr>
            <w:tcW w:w="2465" w:type="dxa"/>
            <w:tcBorders>
              <w:top w:val="nil"/>
              <w:left w:val="nil"/>
              <w:bottom w:val="nil"/>
              <w:right w:val="nil"/>
            </w:tcBorders>
          </w:tcPr>
          <w:p w14:paraId="0958A355" w14:textId="412224A1" w:rsidR="00F9206A" w:rsidRDefault="00F9206A">
            <w:pPr>
              <w:rPr>
                <w:b/>
                <w:bCs/>
                <w:sz w:val="22"/>
                <w:szCs w:val="22"/>
              </w:rPr>
            </w:pPr>
            <w:r>
              <w:rPr>
                <w:b/>
                <w:bCs/>
                <w:sz w:val="22"/>
                <w:szCs w:val="22"/>
              </w:rPr>
              <w:t>21.1</w:t>
            </w:r>
          </w:p>
        </w:tc>
        <w:tc>
          <w:tcPr>
            <w:tcW w:w="2465" w:type="dxa"/>
            <w:tcBorders>
              <w:top w:val="nil"/>
              <w:left w:val="nil"/>
              <w:bottom w:val="nil"/>
              <w:right w:val="nil"/>
            </w:tcBorders>
          </w:tcPr>
          <w:p w14:paraId="287EB1FF" w14:textId="58071C7D" w:rsidR="00F9206A" w:rsidRDefault="00F9206A">
            <w:pPr>
              <w:rPr>
                <w:b/>
                <w:bCs/>
                <w:sz w:val="22"/>
                <w:szCs w:val="22"/>
              </w:rPr>
            </w:pPr>
            <w:r>
              <w:rPr>
                <w:b/>
                <w:bCs/>
                <w:sz w:val="22"/>
                <w:szCs w:val="22"/>
              </w:rPr>
              <w:t>31.6</w:t>
            </w:r>
          </w:p>
        </w:tc>
        <w:tc>
          <w:tcPr>
            <w:tcW w:w="2044" w:type="dxa"/>
            <w:tcBorders>
              <w:top w:val="nil"/>
              <w:left w:val="nil"/>
              <w:bottom w:val="nil"/>
              <w:right w:val="nil"/>
            </w:tcBorders>
            <w:shd w:val="clear" w:color="auto" w:fill="F2DBDB"/>
          </w:tcPr>
          <w:p w14:paraId="063ACDD0" w14:textId="77777777" w:rsidR="00F9206A" w:rsidRDefault="00F9206A">
            <w:pPr>
              <w:rPr>
                <w:b/>
                <w:bCs/>
                <w:sz w:val="22"/>
                <w:szCs w:val="22"/>
              </w:rPr>
            </w:pPr>
          </w:p>
        </w:tc>
      </w:tr>
      <w:tr w:rsidR="00F9206A" w14:paraId="6FD9FD3B" w14:textId="18F64BE7" w:rsidTr="00F9206A">
        <w:tc>
          <w:tcPr>
            <w:tcW w:w="2376" w:type="dxa"/>
            <w:tcBorders>
              <w:top w:val="nil"/>
              <w:left w:val="nil"/>
              <w:bottom w:val="nil"/>
              <w:right w:val="nil"/>
            </w:tcBorders>
          </w:tcPr>
          <w:p w14:paraId="63964C70" w14:textId="30B93FFC" w:rsidR="00F9206A" w:rsidRDefault="00F9206A">
            <w:pPr>
              <w:rPr>
                <w:b/>
                <w:bCs/>
                <w:sz w:val="22"/>
                <w:szCs w:val="22"/>
              </w:rPr>
            </w:pPr>
            <w:r>
              <w:rPr>
                <w:b/>
                <w:bCs/>
                <w:sz w:val="22"/>
                <w:szCs w:val="22"/>
              </w:rPr>
              <w:t>High</w:t>
            </w:r>
          </w:p>
        </w:tc>
        <w:tc>
          <w:tcPr>
            <w:tcW w:w="2465" w:type="dxa"/>
            <w:tcBorders>
              <w:top w:val="nil"/>
              <w:left w:val="nil"/>
              <w:bottom w:val="nil"/>
              <w:right w:val="nil"/>
            </w:tcBorders>
          </w:tcPr>
          <w:p w14:paraId="17FF4473" w14:textId="66E948F2" w:rsidR="00F9206A" w:rsidRDefault="00F9206A">
            <w:pPr>
              <w:rPr>
                <w:b/>
                <w:bCs/>
                <w:sz w:val="22"/>
                <w:szCs w:val="22"/>
              </w:rPr>
            </w:pPr>
            <w:r>
              <w:rPr>
                <w:b/>
                <w:bCs/>
                <w:sz w:val="22"/>
                <w:szCs w:val="22"/>
              </w:rPr>
              <w:t>78.9</w:t>
            </w:r>
          </w:p>
        </w:tc>
        <w:tc>
          <w:tcPr>
            <w:tcW w:w="2465" w:type="dxa"/>
            <w:tcBorders>
              <w:top w:val="nil"/>
              <w:left w:val="nil"/>
              <w:bottom w:val="nil"/>
              <w:right w:val="nil"/>
            </w:tcBorders>
          </w:tcPr>
          <w:p w14:paraId="36F1A880" w14:textId="23241ECE" w:rsidR="00F9206A" w:rsidRDefault="00F9206A">
            <w:pPr>
              <w:rPr>
                <w:b/>
                <w:bCs/>
                <w:sz w:val="22"/>
                <w:szCs w:val="22"/>
              </w:rPr>
            </w:pPr>
            <w:r>
              <w:rPr>
                <w:b/>
                <w:bCs/>
                <w:sz w:val="22"/>
                <w:szCs w:val="22"/>
              </w:rPr>
              <w:t>68.4</w:t>
            </w:r>
          </w:p>
        </w:tc>
        <w:tc>
          <w:tcPr>
            <w:tcW w:w="2044" w:type="dxa"/>
            <w:tcBorders>
              <w:top w:val="nil"/>
              <w:left w:val="nil"/>
              <w:bottom w:val="nil"/>
              <w:right w:val="nil"/>
            </w:tcBorders>
            <w:shd w:val="clear" w:color="auto" w:fill="F2DBDB"/>
          </w:tcPr>
          <w:p w14:paraId="3BCA9E42" w14:textId="77777777" w:rsidR="00F9206A" w:rsidRDefault="00F9206A">
            <w:pPr>
              <w:rPr>
                <w:b/>
                <w:bCs/>
                <w:sz w:val="22"/>
                <w:szCs w:val="22"/>
              </w:rPr>
            </w:pPr>
          </w:p>
        </w:tc>
      </w:tr>
      <w:tr w:rsidR="00F9206A" w14:paraId="64711B7B" w14:textId="67260C70" w:rsidTr="00F9206A">
        <w:tc>
          <w:tcPr>
            <w:tcW w:w="2376" w:type="dxa"/>
            <w:tcBorders>
              <w:top w:val="nil"/>
              <w:left w:val="nil"/>
              <w:bottom w:val="nil"/>
              <w:right w:val="nil"/>
            </w:tcBorders>
          </w:tcPr>
          <w:p w14:paraId="18A5459E" w14:textId="372A912A" w:rsidR="00F9206A" w:rsidRDefault="00F9206A">
            <w:pPr>
              <w:rPr>
                <w:b/>
                <w:bCs/>
                <w:sz w:val="22"/>
                <w:szCs w:val="22"/>
              </w:rPr>
            </w:pPr>
            <w:proofErr w:type="spellStart"/>
            <w:r>
              <w:rPr>
                <w:b/>
                <w:bCs/>
                <w:sz w:val="22"/>
                <w:szCs w:val="22"/>
              </w:rPr>
              <w:t>McNemar</w:t>
            </w:r>
            <w:proofErr w:type="spellEnd"/>
            <w:r>
              <w:rPr>
                <w:b/>
                <w:bCs/>
                <w:sz w:val="22"/>
                <w:szCs w:val="22"/>
              </w:rPr>
              <w:t xml:space="preserve"> Test</w:t>
            </w:r>
          </w:p>
        </w:tc>
        <w:tc>
          <w:tcPr>
            <w:tcW w:w="2465" w:type="dxa"/>
            <w:tcBorders>
              <w:top w:val="nil"/>
              <w:left w:val="nil"/>
              <w:bottom w:val="nil"/>
              <w:right w:val="nil"/>
            </w:tcBorders>
            <w:shd w:val="clear" w:color="auto" w:fill="F2DBDB"/>
          </w:tcPr>
          <w:p w14:paraId="176C8C1A" w14:textId="77777777" w:rsidR="00F9206A" w:rsidRDefault="00F9206A">
            <w:pPr>
              <w:rPr>
                <w:b/>
                <w:bCs/>
                <w:sz w:val="22"/>
                <w:szCs w:val="22"/>
              </w:rPr>
            </w:pPr>
          </w:p>
        </w:tc>
        <w:tc>
          <w:tcPr>
            <w:tcW w:w="2465" w:type="dxa"/>
            <w:tcBorders>
              <w:top w:val="nil"/>
              <w:left w:val="nil"/>
              <w:bottom w:val="nil"/>
              <w:right w:val="nil"/>
            </w:tcBorders>
            <w:shd w:val="clear" w:color="auto" w:fill="F2DBDB"/>
          </w:tcPr>
          <w:p w14:paraId="3A4782C9" w14:textId="77777777" w:rsidR="00F9206A" w:rsidRDefault="00F9206A">
            <w:pPr>
              <w:rPr>
                <w:b/>
                <w:bCs/>
                <w:sz w:val="22"/>
                <w:szCs w:val="22"/>
              </w:rPr>
            </w:pPr>
          </w:p>
        </w:tc>
        <w:tc>
          <w:tcPr>
            <w:tcW w:w="2044" w:type="dxa"/>
            <w:tcBorders>
              <w:top w:val="nil"/>
              <w:left w:val="nil"/>
              <w:bottom w:val="nil"/>
              <w:right w:val="nil"/>
            </w:tcBorders>
          </w:tcPr>
          <w:p w14:paraId="39B802F3" w14:textId="037D1C72" w:rsidR="00F9206A" w:rsidRDefault="00F9206A">
            <w:pPr>
              <w:rPr>
                <w:b/>
                <w:bCs/>
                <w:sz w:val="22"/>
                <w:szCs w:val="22"/>
              </w:rPr>
            </w:pPr>
            <w:r>
              <w:rPr>
                <w:b/>
                <w:bCs/>
                <w:sz w:val="22"/>
                <w:szCs w:val="22"/>
              </w:rPr>
              <w:t>.052</w:t>
            </w:r>
          </w:p>
        </w:tc>
      </w:tr>
    </w:tbl>
    <w:p w14:paraId="0F4664EE" w14:textId="77777777" w:rsidR="00A26640" w:rsidRDefault="00A26640">
      <w:pPr>
        <w:rPr>
          <w:b/>
          <w:bCs/>
          <w:sz w:val="22"/>
          <w:szCs w:val="22"/>
        </w:rPr>
      </w:pPr>
    </w:p>
    <w:p w14:paraId="5D813643" w14:textId="410B9DFA" w:rsidR="00A26640" w:rsidRDefault="00A26640">
      <w:pPr>
        <w:rPr>
          <w:b/>
          <w:bCs/>
          <w:sz w:val="22"/>
          <w:szCs w:val="22"/>
        </w:rPr>
      </w:pPr>
    </w:p>
    <w:p w14:paraId="549CF1B9" w14:textId="6C61317E" w:rsidR="00A26640" w:rsidRPr="0020210A" w:rsidRDefault="00A26640">
      <w:pPr>
        <w:rPr>
          <w:b/>
          <w:bCs/>
          <w:sz w:val="28"/>
          <w:szCs w:val="28"/>
        </w:rPr>
      </w:pPr>
      <w:r w:rsidRPr="0020210A">
        <w:rPr>
          <w:b/>
          <w:bCs/>
          <w:sz w:val="28"/>
          <w:szCs w:val="28"/>
        </w:rPr>
        <w:t>Figure 2:</w:t>
      </w:r>
      <w:r w:rsidR="0010192B" w:rsidRPr="0020210A">
        <w:rPr>
          <w:b/>
          <w:bCs/>
          <w:sz w:val="28"/>
          <w:szCs w:val="28"/>
        </w:rPr>
        <w:t xml:space="preserve"> Ordinal Pre-Post Intervention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9206A" w14:paraId="1EB78A8D" w14:textId="77777777" w:rsidTr="004566D8">
        <w:tc>
          <w:tcPr>
            <w:tcW w:w="3116" w:type="dxa"/>
            <w:shd w:val="clear" w:color="auto" w:fill="F2DBDB"/>
          </w:tcPr>
          <w:p w14:paraId="7B67E42A" w14:textId="07921DBD" w:rsidR="00F9206A" w:rsidRDefault="00F9206A">
            <w:pPr>
              <w:rPr>
                <w:b/>
                <w:bCs/>
                <w:sz w:val="22"/>
                <w:szCs w:val="22"/>
              </w:rPr>
            </w:pPr>
            <w:bookmarkStart w:id="0" w:name="OLE_LINK1"/>
            <w:r>
              <w:rPr>
                <w:b/>
                <w:bCs/>
                <w:sz w:val="22"/>
                <w:szCs w:val="22"/>
              </w:rPr>
              <w:t>Variable</w:t>
            </w:r>
          </w:p>
        </w:tc>
        <w:tc>
          <w:tcPr>
            <w:tcW w:w="3117" w:type="dxa"/>
            <w:shd w:val="clear" w:color="auto" w:fill="F2DBDB"/>
          </w:tcPr>
          <w:p w14:paraId="5BA90AB4" w14:textId="1B71BFBA" w:rsidR="00F9206A" w:rsidRDefault="00F9206A">
            <w:pPr>
              <w:rPr>
                <w:b/>
                <w:bCs/>
                <w:sz w:val="22"/>
                <w:szCs w:val="22"/>
              </w:rPr>
            </w:pPr>
            <w:r>
              <w:rPr>
                <w:b/>
                <w:bCs/>
                <w:sz w:val="22"/>
                <w:szCs w:val="22"/>
              </w:rPr>
              <w:t>LDL Pre %</w:t>
            </w:r>
          </w:p>
        </w:tc>
        <w:tc>
          <w:tcPr>
            <w:tcW w:w="3117" w:type="dxa"/>
            <w:shd w:val="clear" w:color="auto" w:fill="F2DBDB"/>
          </w:tcPr>
          <w:p w14:paraId="7F0C8782" w14:textId="755B4776" w:rsidR="00F9206A" w:rsidRDefault="00F9206A">
            <w:pPr>
              <w:rPr>
                <w:b/>
                <w:bCs/>
                <w:sz w:val="22"/>
                <w:szCs w:val="22"/>
              </w:rPr>
            </w:pPr>
            <w:r>
              <w:rPr>
                <w:b/>
                <w:bCs/>
                <w:sz w:val="22"/>
                <w:szCs w:val="22"/>
              </w:rPr>
              <w:t>LDL Post %</w:t>
            </w:r>
          </w:p>
        </w:tc>
      </w:tr>
      <w:tr w:rsidR="004566D8" w14:paraId="53264D34" w14:textId="77777777" w:rsidTr="004566D8">
        <w:tc>
          <w:tcPr>
            <w:tcW w:w="3116" w:type="dxa"/>
          </w:tcPr>
          <w:p w14:paraId="024B14AC" w14:textId="71374188" w:rsidR="004566D8" w:rsidRDefault="004566D8" w:rsidP="004566D8">
            <w:pPr>
              <w:rPr>
                <w:b/>
                <w:bCs/>
                <w:sz w:val="22"/>
                <w:szCs w:val="22"/>
              </w:rPr>
            </w:pPr>
            <w:r>
              <w:rPr>
                <w:b/>
                <w:bCs/>
                <w:sz w:val="22"/>
                <w:szCs w:val="22"/>
              </w:rPr>
              <w:t>Near Optimal</w:t>
            </w:r>
          </w:p>
        </w:tc>
        <w:tc>
          <w:tcPr>
            <w:tcW w:w="3117" w:type="dxa"/>
            <w:shd w:val="clear" w:color="auto" w:fill="F2DBDB"/>
          </w:tcPr>
          <w:p w14:paraId="1564CEF9" w14:textId="77777777" w:rsidR="004566D8" w:rsidRDefault="004566D8" w:rsidP="004566D8">
            <w:pPr>
              <w:rPr>
                <w:b/>
                <w:bCs/>
                <w:sz w:val="22"/>
                <w:szCs w:val="22"/>
              </w:rPr>
            </w:pPr>
          </w:p>
        </w:tc>
        <w:tc>
          <w:tcPr>
            <w:tcW w:w="3117" w:type="dxa"/>
          </w:tcPr>
          <w:p w14:paraId="5764DAAF" w14:textId="2FA90824" w:rsidR="004566D8" w:rsidRDefault="004566D8" w:rsidP="004566D8">
            <w:pPr>
              <w:rPr>
                <w:b/>
                <w:bCs/>
                <w:sz w:val="22"/>
                <w:szCs w:val="22"/>
              </w:rPr>
            </w:pPr>
            <w:r>
              <w:rPr>
                <w:rFonts w:ascii="Arial" w:hAnsi="Arial" w:cs="Arial"/>
                <w:color w:val="010205"/>
              </w:rPr>
              <w:t>4.2</w:t>
            </w:r>
          </w:p>
        </w:tc>
      </w:tr>
      <w:tr w:rsidR="004566D8" w14:paraId="6C1AFE7B" w14:textId="77777777" w:rsidTr="004566D8">
        <w:tc>
          <w:tcPr>
            <w:tcW w:w="3116" w:type="dxa"/>
          </w:tcPr>
          <w:p w14:paraId="7F6CB7BA" w14:textId="3732B407" w:rsidR="004566D8" w:rsidRDefault="004566D8" w:rsidP="004566D8">
            <w:pPr>
              <w:rPr>
                <w:b/>
                <w:bCs/>
                <w:sz w:val="22"/>
                <w:szCs w:val="22"/>
              </w:rPr>
            </w:pPr>
            <w:r>
              <w:rPr>
                <w:b/>
                <w:bCs/>
                <w:sz w:val="22"/>
                <w:szCs w:val="22"/>
              </w:rPr>
              <w:t>Borderline High</w:t>
            </w:r>
          </w:p>
        </w:tc>
        <w:tc>
          <w:tcPr>
            <w:tcW w:w="3117" w:type="dxa"/>
          </w:tcPr>
          <w:p w14:paraId="08D153BC" w14:textId="252DE798" w:rsidR="004566D8" w:rsidRDefault="004566D8" w:rsidP="004566D8">
            <w:pPr>
              <w:rPr>
                <w:b/>
                <w:bCs/>
                <w:sz w:val="22"/>
                <w:szCs w:val="22"/>
              </w:rPr>
            </w:pPr>
            <w:r>
              <w:rPr>
                <w:rFonts w:ascii="Arial" w:hAnsi="Arial" w:cs="Arial"/>
                <w:color w:val="010205"/>
              </w:rPr>
              <w:t>21.1</w:t>
            </w:r>
          </w:p>
        </w:tc>
        <w:tc>
          <w:tcPr>
            <w:tcW w:w="3117" w:type="dxa"/>
          </w:tcPr>
          <w:p w14:paraId="6185FBD5" w14:textId="02AA0F05" w:rsidR="004566D8" w:rsidRDefault="004566D8" w:rsidP="004566D8">
            <w:pPr>
              <w:rPr>
                <w:b/>
                <w:bCs/>
                <w:sz w:val="22"/>
                <w:szCs w:val="22"/>
              </w:rPr>
            </w:pPr>
            <w:r>
              <w:rPr>
                <w:rFonts w:ascii="Arial" w:hAnsi="Arial" w:cs="Arial"/>
                <w:color w:val="010205"/>
              </w:rPr>
              <w:t>27.4</w:t>
            </w:r>
          </w:p>
        </w:tc>
      </w:tr>
      <w:tr w:rsidR="004566D8" w14:paraId="17F1E403" w14:textId="77777777" w:rsidTr="004566D8">
        <w:tc>
          <w:tcPr>
            <w:tcW w:w="3116" w:type="dxa"/>
          </w:tcPr>
          <w:p w14:paraId="62A1A84C" w14:textId="1C1F8FA5" w:rsidR="004566D8" w:rsidRDefault="004566D8" w:rsidP="004566D8">
            <w:pPr>
              <w:rPr>
                <w:b/>
                <w:bCs/>
                <w:sz w:val="22"/>
                <w:szCs w:val="22"/>
              </w:rPr>
            </w:pPr>
            <w:r>
              <w:rPr>
                <w:b/>
                <w:bCs/>
                <w:sz w:val="22"/>
                <w:szCs w:val="22"/>
              </w:rPr>
              <w:t>High</w:t>
            </w:r>
          </w:p>
        </w:tc>
        <w:tc>
          <w:tcPr>
            <w:tcW w:w="3117" w:type="dxa"/>
          </w:tcPr>
          <w:p w14:paraId="6EC24FF0" w14:textId="6D1A66F7" w:rsidR="004566D8" w:rsidRDefault="004566D8" w:rsidP="004566D8">
            <w:pPr>
              <w:rPr>
                <w:b/>
                <w:bCs/>
                <w:sz w:val="22"/>
                <w:szCs w:val="22"/>
              </w:rPr>
            </w:pPr>
            <w:r>
              <w:rPr>
                <w:rFonts w:ascii="Arial" w:hAnsi="Arial" w:cs="Arial"/>
                <w:color w:val="010205"/>
              </w:rPr>
              <w:t>50.5</w:t>
            </w:r>
          </w:p>
        </w:tc>
        <w:tc>
          <w:tcPr>
            <w:tcW w:w="3117" w:type="dxa"/>
          </w:tcPr>
          <w:p w14:paraId="2F818C58" w14:textId="510EE04C" w:rsidR="004566D8" w:rsidRDefault="004566D8" w:rsidP="004566D8">
            <w:pPr>
              <w:rPr>
                <w:b/>
                <w:bCs/>
                <w:sz w:val="22"/>
                <w:szCs w:val="22"/>
              </w:rPr>
            </w:pPr>
            <w:r>
              <w:rPr>
                <w:rFonts w:ascii="Arial" w:hAnsi="Arial" w:cs="Arial"/>
                <w:color w:val="010205"/>
              </w:rPr>
              <w:t>42.1</w:t>
            </w:r>
          </w:p>
        </w:tc>
      </w:tr>
      <w:tr w:rsidR="004566D8" w14:paraId="6A9304D6" w14:textId="77777777" w:rsidTr="004566D8">
        <w:tc>
          <w:tcPr>
            <w:tcW w:w="3116" w:type="dxa"/>
          </w:tcPr>
          <w:p w14:paraId="35C50AFA" w14:textId="4237AE5A" w:rsidR="004566D8" w:rsidRDefault="004566D8" w:rsidP="004566D8">
            <w:pPr>
              <w:rPr>
                <w:b/>
                <w:bCs/>
                <w:sz w:val="22"/>
                <w:szCs w:val="22"/>
              </w:rPr>
            </w:pPr>
            <w:r>
              <w:rPr>
                <w:b/>
                <w:bCs/>
                <w:sz w:val="22"/>
                <w:szCs w:val="22"/>
              </w:rPr>
              <w:t xml:space="preserve">Very High </w:t>
            </w:r>
          </w:p>
        </w:tc>
        <w:tc>
          <w:tcPr>
            <w:tcW w:w="3117" w:type="dxa"/>
          </w:tcPr>
          <w:p w14:paraId="6342E206" w14:textId="28ED0D24" w:rsidR="004566D8" w:rsidRDefault="004566D8" w:rsidP="004566D8">
            <w:pPr>
              <w:rPr>
                <w:b/>
                <w:bCs/>
                <w:sz w:val="22"/>
                <w:szCs w:val="22"/>
              </w:rPr>
            </w:pPr>
            <w:r>
              <w:rPr>
                <w:rFonts w:ascii="Arial" w:hAnsi="Arial" w:cs="Arial"/>
                <w:color w:val="010205"/>
              </w:rPr>
              <w:t>28.4</w:t>
            </w:r>
          </w:p>
        </w:tc>
        <w:tc>
          <w:tcPr>
            <w:tcW w:w="3117" w:type="dxa"/>
          </w:tcPr>
          <w:p w14:paraId="17E5EBC8" w14:textId="42BFA744" w:rsidR="004566D8" w:rsidRDefault="004566D8" w:rsidP="004566D8">
            <w:pPr>
              <w:rPr>
                <w:b/>
                <w:bCs/>
                <w:sz w:val="22"/>
                <w:szCs w:val="22"/>
              </w:rPr>
            </w:pPr>
            <w:r>
              <w:rPr>
                <w:rFonts w:ascii="Arial" w:hAnsi="Arial" w:cs="Arial"/>
                <w:color w:val="010205"/>
              </w:rPr>
              <w:t>26.3</w:t>
            </w:r>
          </w:p>
        </w:tc>
      </w:tr>
      <w:bookmarkEnd w:id="0"/>
    </w:tbl>
    <w:p w14:paraId="5D55DA7E" w14:textId="77777777" w:rsidR="00F9206A" w:rsidRDefault="00F9206A">
      <w:pPr>
        <w:rPr>
          <w:b/>
          <w:bCs/>
          <w:sz w:val="22"/>
          <w:szCs w:val="22"/>
        </w:rPr>
      </w:pPr>
    </w:p>
    <w:p w14:paraId="50D0B291" w14:textId="715F32AC" w:rsidR="00A26640" w:rsidRDefault="00A26640">
      <w:pPr>
        <w:rPr>
          <w:b/>
          <w:bCs/>
          <w:sz w:val="22"/>
          <w:szCs w:val="22"/>
        </w:rPr>
      </w:pPr>
    </w:p>
    <w:p w14:paraId="6C27F40E" w14:textId="4BB54096" w:rsidR="00A26640" w:rsidRPr="0020210A" w:rsidRDefault="00A26640">
      <w:pPr>
        <w:rPr>
          <w:b/>
          <w:bCs/>
          <w:sz w:val="28"/>
          <w:szCs w:val="28"/>
        </w:rPr>
      </w:pPr>
      <w:r w:rsidRPr="0020210A">
        <w:rPr>
          <w:b/>
          <w:bCs/>
          <w:sz w:val="28"/>
          <w:szCs w:val="28"/>
        </w:rPr>
        <w:t>Section 2: Analysis 3 and 4</w:t>
      </w:r>
    </w:p>
    <w:p w14:paraId="6AC1F752" w14:textId="77777777" w:rsidR="0020210A" w:rsidRPr="0020210A" w:rsidRDefault="0020210A">
      <w:r w:rsidRPr="0020210A">
        <w:t xml:space="preserve">In Figure 3, both the Pearson Chi-square test and Fisher’s Exact test indicate a highly significant difference in LDL levels between the control and treatment groups. Based on Figure 4, we can conclude that the intervention significantly reduced the proportion of individuals with high LDL levels in the treatment group compared to the control group. The Mann-Whitney test also suggests a statistically significant difference in the distribution of LDL categories. Overall, these results strongly indicate that the intervention was effective in reducing high LDL levels </w:t>
      </w:r>
    </w:p>
    <w:p w14:paraId="7E40EB18" w14:textId="77777777" w:rsidR="0020210A" w:rsidRDefault="0020210A">
      <w:pPr>
        <w:rPr>
          <w:b/>
          <w:bCs/>
          <w:sz w:val="22"/>
          <w:szCs w:val="22"/>
        </w:rPr>
      </w:pPr>
    </w:p>
    <w:p w14:paraId="2E13FFE4" w14:textId="2E39E632" w:rsidR="00A26640" w:rsidRPr="0020210A" w:rsidRDefault="00A26640">
      <w:pPr>
        <w:rPr>
          <w:b/>
          <w:bCs/>
          <w:sz w:val="28"/>
          <w:szCs w:val="28"/>
        </w:rPr>
      </w:pPr>
      <w:r w:rsidRPr="0020210A">
        <w:rPr>
          <w:b/>
          <w:bCs/>
          <w:sz w:val="28"/>
          <w:szCs w:val="28"/>
        </w:rPr>
        <w:t>Figure 3:</w:t>
      </w:r>
      <w:r w:rsidR="00533411" w:rsidRPr="0020210A">
        <w:rPr>
          <w:b/>
          <w:bCs/>
          <w:sz w:val="28"/>
          <w:szCs w:val="28"/>
        </w:rPr>
        <w:t xml:space="preserve"> High LDL Post Crosstabulation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4566D8" w14:paraId="3304C793" w14:textId="77777777" w:rsidTr="00533411">
        <w:tc>
          <w:tcPr>
            <w:tcW w:w="2337" w:type="dxa"/>
            <w:shd w:val="clear" w:color="auto" w:fill="F2DBDB"/>
          </w:tcPr>
          <w:p w14:paraId="0AECEB14" w14:textId="67CBCFCD" w:rsidR="004566D8" w:rsidRDefault="004566D8">
            <w:pPr>
              <w:rPr>
                <w:b/>
                <w:bCs/>
                <w:sz w:val="22"/>
                <w:szCs w:val="22"/>
              </w:rPr>
            </w:pPr>
            <w:r>
              <w:rPr>
                <w:b/>
                <w:bCs/>
                <w:sz w:val="22"/>
                <w:szCs w:val="22"/>
              </w:rPr>
              <w:t>Variable</w:t>
            </w:r>
          </w:p>
        </w:tc>
        <w:tc>
          <w:tcPr>
            <w:tcW w:w="2337" w:type="dxa"/>
            <w:shd w:val="clear" w:color="auto" w:fill="F2DBDB"/>
          </w:tcPr>
          <w:p w14:paraId="3E0318DC" w14:textId="0CABDCEE" w:rsidR="004566D8" w:rsidRDefault="004566D8">
            <w:pPr>
              <w:rPr>
                <w:b/>
                <w:bCs/>
                <w:sz w:val="22"/>
                <w:szCs w:val="22"/>
              </w:rPr>
            </w:pPr>
            <w:r>
              <w:rPr>
                <w:b/>
                <w:bCs/>
                <w:sz w:val="22"/>
                <w:szCs w:val="22"/>
              </w:rPr>
              <w:t xml:space="preserve"> Control %</w:t>
            </w:r>
          </w:p>
        </w:tc>
        <w:tc>
          <w:tcPr>
            <w:tcW w:w="2338" w:type="dxa"/>
            <w:shd w:val="clear" w:color="auto" w:fill="F2DBDB"/>
          </w:tcPr>
          <w:p w14:paraId="17DD8B69" w14:textId="335F995C" w:rsidR="004566D8" w:rsidRDefault="004566D8">
            <w:pPr>
              <w:rPr>
                <w:b/>
                <w:bCs/>
                <w:sz w:val="22"/>
                <w:szCs w:val="22"/>
              </w:rPr>
            </w:pPr>
            <w:r>
              <w:rPr>
                <w:b/>
                <w:bCs/>
                <w:sz w:val="22"/>
                <w:szCs w:val="22"/>
              </w:rPr>
              <w:t>Treatment %</w:t>
            </w:r>
          </w:p>
        </w:tc>
        <w:tc>
          <w:tcPr>
            <w:tcW w:w="2338" w:type="dxa"/>
            <w:shd w:val="clear" w:color="auto" w:fill="F2DBDB"/>
          </w:tcPr>
          <w:p w14:paraId="293A0CAB" w14:textId="2B6116FE" w:rsidR="004566D8" w:rsidRDefault="004566D8">
            <w:pPr>
              <w:rPr>
                <w:b/>
                <w:bCs/>
                <w:sz w:val="22"/>
                <w:szCs w:val="22"/>
              </w:rPr>
            </w:pPr>
            <w:r>
              <w:rPr>
                <w:b/>
                <w:bCs/>
                <w:sz w:val="22"/>
                <w:szCs w:val="22"/>
              </w:rPr>
              <w:t>Significance Level</w:t>
            </w:r>
          </w:p>
        </w:tc>
      </w:tr>
      <w:tr w:rsidR="004566D8" w14:paraId="3C7883B6" w14:textId="77777777" w:rsidTr="00533411">
        <w:tc>
          <w:tcPr>
            <w:tcW w:w="2337" w:type="dxa"/>
          </w:tcPr>
          <w:p w14:paraId="596928DE" w14:textId="5131E22B" w:rsidR="004566D8" w:rsidRDefault="004566D8">
            <w:pPr>
              <w:rPr>
                <w:b/>
                <w:bCs/>
                <w:sz w:val="22"/>
                <w:szCs w:val="22"/>
              </w:rPr>
            </w:pPr>
            <w:r>
              <w:rPr>
                <w:b/>
                <w:bCs/>
                <w:sz w:val="22"/>
                <w:szCs w:val="22"/>
              </w:rPr>
              <w:t>Not High</w:t>
            </w:r>
          </w:p>
        </w:tc>
        <w:tc>
          <w:tcPr>
            <w:tcW w:w="2337" w:type="dxa"/>
          </w:tcPr>
          <w:p w14:paraId="3251BE04" w14:textId="276B594A" w:rsidR="004566D8" w:rsidRDefault="00533411">
            <w:pPr>
              <w:rPr>
                <w:b/>
                <w:bCs/>
                <w:sz w:val="22"/>
                <w:szCs w:val="22"/>
              </w:rPr>
            </w:pPr>
            <w:r>
              <w:rPr>
                <w:b/>
                <w:bCs/>
                <w:sz w:val="22"/>
                <w:szCs w:val="22"/>
              </w:rPr>
              <w:t>9.5</w:t>
            </w:r>
          </w:p>
        </w:tc>
        <w:tc>
          <w:tcPr>
            <w:tcW w:w="2338" w:type="dxa"/>
          </w:tcPr>
          <w:p w14:paraId="04F3727A" w14:textId="73153604" w:rsidR="004566D8" w:rsidRDefault="00533411">
            <w:pPr>
              <w:rPr>
                <w:b/>
                <w:bCs/>
                <w:sz w:val="22"/>
                <w:szCs w:val="22"/>
              </w:rPr>
            </w:pPr>
            <w:r>
              <w:rPr>
                <w:b/>
                <w:bCs/>
                <w:sz w:val="22"/>
                <w:szCs w:val="22"/>
              </w:rPr>
              <w:t>31.6</w:t>
            </w:r>
          </w:p>
        </w:tc>
        <w:tc>
          <w:tcPr>
            <w:tcW w:w="2338" w:type="dxa"/>
            <w:shd w:val="clear" w:color="auto" w:fill="F2DBDB"/>
          </w:tcPr>
          <w:p w14:paraId="0A7B6FB1" w14:textId="77777777" w:rsidR="004566D8" w:rsidRDefault="004566D8">
            <w:pPr>
              <w:rPr>
                <w:b/>
                <w:bCs/>
                <w:sz w:val="22"/>
                <w:szCs w:val="22"/>
              </w:rPr>
            </w:pPr>
          </w:p>
        </w:tc>
      </w:tr>
      <w:tr w:rsidR="004566D8" w14:paraId="5E44CDB4" w14:textId="77777777" w:rsidTr="00533411">
        <w:tc>
          <w:tcPr>
            <w:tcW w:w="2337" w:type="dxa"/>
          </w:tcPr>
          <w:p w14:paraId="7661AF9C" w14:textId="79F01155" w:rsidR="004566D8" w:rsidRDefault="004566D8">
            <w:pPr>
              <w:rPr>
                <w:b/>
                <w:bCs/>
                <w:sz w:val="22"/>
                <w:szCs w:val="22"/>
              </w:rPr>
            </w:pPr>
            <w:r>
              <w:rPr>
                <w:b/>
                <w:bCs/>
                <w:sz w:val="22"/>
                <w:szCs w:val="22"/>
              </w:rPr>
              <w:t>High</w:t>
            </w:r>
          </w:p>
        </w:tc>
        <w:tc>
          <w:tcPr>
            <w:tcW w:w="2337" w:type="dxa"/>
          </w:tcPr>
          <w:p w14:paraId="1C9AF35A" w14:textId="1BB81FA7" w:rsidR="004566D8" w:rsidRDefault="00533411">
            <w:pPr>
              <w:rPr>
                <w:b/>
                <w:bCs/>
                <w:sz w:val="22"/>
                <w:szCs w:val="22"/>
              </w:rPr>
            </w:pPr>
            <w:r>
              <w:rPr>
                <w:b/>
                <w:bCs/>
                <w:sz w:val="22"/>
                <w:szCs w:val="22"/>
              </w:rPr>
              <w:t>90.5</w:t>
            </w:r>
          </w:p>
        </w:tc>
        <w:tc>
          <w:tcPr>
            <w:tcW w:w="2338" w:type="dxa"/>
          </w:tcPr>
          <w:p w14:paraId="7F768AF3" w14:textId="52B3337F" w:rsidR="004566D8" w:rsidRDefault="00533411">
            <w:pPr>
              <w:rPr>
                <w:b/>
                <w:bCs/>
                <w:sz w:val="22"/>
                <w:szCs w:val="22"/>
              </w:rPr>
            </w:pPr>
            <w:r>
              <w:rPr>
                <w:b/>
                <w:bCs/>
                <w:sz w:val="22"/>
                <w:szCs w:val="22"/>
              </w:rPr>
              <w:t>68.4</w:t>
            </w:r>
          </w:p>
        </w:tc>
        <w:tc>
          <w:tcPr>
            <w:tcW w:w="2338" w:type="dxa"/>
            <w:shd w:val="clear" w:color="auto" w:fill="F2DBDB"/>
          </w:tcPr>
          <w:p w14:paraId="01BD8285" w14:textId="77777777" w:rsidR="004566D8" w:rsidRDefault="004566D8">
            <w:pPr>
              <w:rPr>
                <w:b/>
                <w:bCs/>
                <w:sz w:val="22"/>
                <w:szCs w:val="22"/>
              </w:rPr>
            </w:pPr>
          </w:p>
        </w:tc>
      </w:tr>
      <w:tr w:rsidR="004566D8" w14:paraId="6CE98FC6" w14:textId="77777777" w:rsidTr="00533411">
        <w:tc>
          <w:tcPr>
            <w:tcW w:w="2337" w:type="dxa"/>
          </w:tcPr>
          <w:p w14:paraId="109464BD" w14:textId="249CC39F" w:rsidR="004566D8" w:rsidRDefault="004566D8">
            <w:pPr>
              <w:rPr>
                <w:b/>
                <w:bCs/>
                <w:sz w:val="22"/>
                <w:szCs w:val="22"/>
              </w:rPr>
            </w:pPr>
            <w:r>
              <w:rPr>
                <w:b/>
                <w:bCs/>
                <w:sz w:val="22"/>
                <w:szCs w:val="22"/>
              </w:rPr>
              <w:t>Pearson Chi-Square</w:t>
            </w:r>
          </w:p>
        </w:tc>
        <w:tc>
          <w:tcPr>
            <w:tcW w:w="2337" w:type="dxa"/>
            <w:shd w:val="clear" w:color="auto" w:fill="F2DBDB"/>
          </w:tcPr>
          <w:p w14:paraId="27E951D2" w14:textId="77777777" w:rsidR="004566D8" w:rsidRDefault="004566D8">
            <w:pPr>
              <w:rPr>
                <w:b/>
                <w:bCs/>
                <w:sz w:val="22"/>
                <w:szCs w:val="22"/>
              </w:rPr>
            </w:pPr>
          </w:p>
        </w:tc>
        <w:tc>
          <w:tcPr>
            <w:tcW w:w="2338" w:type="dxa"/>
            <w:shd w:val="clear" w:color="auto" w:fill="F2DBDB"/>
          </w:tcPr>
          <w:p w14:paraId="3CF4B0BE" w14:textId="77777777" w:rsidR="004566D8" w:rsidRDefault="004566D8">
            <w:pPr>
              <w:rPr>
                <w:b/>
                <w:bCs/>
                <w:sz w:val="22"/>
                <w:szCs w:val="22"/>
              </w:rPr>
            </w:pPr>
          </w:p>
        </w:tc>
        <w:tc>
          <w:tcPr>
            <w:tcW w:w="2338" w:type="dxa"/>
          </w:tcPr>
          <w:p w14:paraId="122D3F7E" w14:textId="55A0C884" w:rsidR="004566D8" w:rsidRDefault="00533411">
            <w:pPr>
              <w:rPr>
                <w:b/>
                <w:bCs/>
                <w:sz w:val="22"/>
                <w:szCs w:val="22"/>
              </w:rPr>
            </w:pPr>
            <w:r>
              <w:rPr>
                <w:b/>
                <w:bCs/>
                <w:sz w:val="22"/>
                <w:szCs w:val="22"/>
              </w:rPr>
              <w:t>&lt;0.001</w:t>
            </w:r>
          </w:p>
        </w:tc>
      </w:tr>
      <w:tr w:rsidR="004566D8" w14:paraId="3FC66E34" w14:textId="77777777" w:rsidTr="00533411">
        <w:tc>
          <w:tcPr>
            <w:tcW w:w="2337" w:type="dxa"/>
          </w:tcPr>
          <w:p w14:paraId="203FBD49" w14:textId="09BD0063" w:rsidR="004566D8" w:rsidRDefault="004566D8">
            <w:pPr>
              <w:rPr>
                <w:b/>
                <w:bCs/>
                <w:sz w:val="22"/>
                <w:szCs w:val="22"/>
              </w:rPr>
            </w:pPr>
            <w:r>
              <w:rPr>
                <w:b/>
                <w:bCs/>
                <w:sz w:val="22"/>
                <w:szCs w:val="22"/>
              </w:rPr>
              <w:t>Fisher’s Exact Test</w:t>
            </w:r>
          </w:p>
        </w:tc>
        <w:tc>
          <w:tcPr>
            <w:tcW w:w="2337" w:type="dxa"/>
            <w:shd w:val="clear" w:color="auto" w:fill="F2DBDB"/>
          </w:tcPr>
          <w:p w14:paraId="484D6E1D" w14:textId="77777777" w:rsidR="004566D8" w:rsidRDefault="004566D8">
            <w:pPr>
              <w:rPr>
                <w:b/>
                <w:bCs/>
                <w:sz w:val="22"/>
                <w:szCs w:val="22"/>
              </w:rPr>
            </w:pPr>
          </w:p>
        </w:tc>
        <w:tc>
          <w:tcPr>
            <w:tcW w:w="2338" w:type="dxa"/>
            <w:shd w:val="clear" w:color="auto" w:fill="F2DBDB"/>
          </w:tcPr>
          <w:p w14:paraId="5D862B25" w14:textId="77777777" w:rsidR="004566D8" w:rsidRDefault="004566D8">
            <w:pPr>
              <w:rPr>
                <w:b/>
                <w:bCs/>
                <w:sz w:val="22"/>
                <w:szCs w:val="22"/>
              </w:rPr>
            </w:pPr>
          </w:p>
        </w:tc>
        <w:tc>
          <w:tcPr>
            <w:tcW w:w="2338" w:type="dxa"/>
          </w:tcPr>
          <w:p w14:paraId="7F3217C2" w14:textId="7CB5454C" w:rsidR="004566D8" w:rsidRDefault="00533411">
            <w:pPr>
              <w:rPr>
                <w:b/>
                <w:bCs/>
                <w:sz w:val="22"/>
                <w:szCs w:val="22"/>
              </w:rPr>
            </w:pPr>
            <w:r>
              <w:rPr>
                <w:b/>
                <w:bCs/>
                <w:sz w:val="22"/>
                <w:szCs w:val="22"/>
              </w:rPr>
              <w:t>&lt;0.001</w:t>
            </w:r>
          </w:p>
        </w:tc>
      </w:tr>
    </w:tbl>
    <w:p w14:paraId="17B00C27" w14:textId="57CEF9B3" w:rsidR="00A26640" w:rsidRDefault="00A26640">
      <w:pPr>
        <w:rPr>
          <w:b/>
          <w:bCs/>
          <w:sz w:val="22"/>
          <w:szCs w:val="22"/>
        </w:rPr>
      </w:pPr>
    </w:p>
    <w:p w14:paraId="3A4E3772" w14:textId="664C8CC7" w:rsidR="00A26640" w:rsidRPr="0020210A" w:rsidRDefault="00A26640">
      <w:pPr>
        <w:rPr>
          <w:b/>
          <w:bCs/>
          <w:sz w:val="28"/>
          <w:szCs w:val="28"/>
        </w:rPr>
      </w:pPr>
      <w:r w:rsidRPr="0020210A">
        <w:rPr>
          <w:b/>
          <w:bCs/>
          <w:sz w:val="28"/>
          <w:szCs w:val="28"/>
        </w:rPr>
        <w:t xml:space="preserve">Figure 4: </w:t>
      </w:r>
      <w:r w:rsidR="0010192B" w:rsidRPr="0020210A">
        <w:rPr>
          <w:b/>
          <w:bCs/>
          <w:sz w:val="28"/>
          <w:szCs w:val="28"/>
        </w:rPr>
        <w:t xml:space="preserve"> LDL Categorical Post Crosstabulation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1603"/>
        <w:gridCol w:w="1669"/>
        <w:gridCol w:w="1509"/>
        <w:gridCol w:w="1511"/>
        <w:gridCol w:w="1389"/>
      </w:tblGrid>
      <w:tr w:rsidR="0010192B" w14:paraId="0A0030C2" w14:textId="119619BA" w:rsidTr="0010192B">
        <w:tc>
          <w:tcPr>
            <w:tcW w:w="1669" w:type="dxa"/>
            <w:shd w:val="clear" w:color="auto" w:fill="F2DBDB"/>
          </w:tcPr>
          <w:p w14:paraId="2C9DDB5F" w14:textId="56FAC526" w:rsidR="0010192B" w:rsidRDefault="0010192B">
            <w:pPr>
              <w:rPr>
                <w:b/>
                <w:bCs/>
                <w:sz w:val="22"/>
                <w:szCs w:val="22"/>
              </w:rPr>
            </w:pPr>
            <w:r>
              <w:rPr>
                <w:b/>
                <w:bCs/>
                <w:sz w:val="22"/>
                <w:szCs w:val="22"/>
              </w:rPr>
              <w:t>Group</w:t>
            </w:r>
          </w:p>
        </w:tc>
        <w:tc>
          <w:tcPr>
            <w:tcW w:w="1603" w:type="dxa"/>
            <w:shd w:val="clear" w:color="auto" w:fill="F2DBDB"/>
          </w:tcPr>
          <w:p w14:paraId="3EF58DE6" w14:textId="335BDD8D" w:rsidR="0010192B" w:rsidRDefault="0010192B">
            <w:pPr>
              <w:rPr>
                <w:b/>
                <w:bCs/>
                <w:sz w:val="22"/>
                <w:szCs w:val="22"/>
              </w:rPr>
            </w:pPr>
            <w:r>
              <w:rPr>
                <w:b/>
                <w:bCs/>
                <w:sz w:val="22"/>
                <w:szCs w:val="22"/>
              </w:rPr>
              <w:t>Near Optimal %</w:t>
            </w:r>
          </w:p>
        </w:tc>
        <w:tc>
          <w:tcPr>
            <w:tcW w:w="1669" w:type="dxa"/>
            <w:shd w:val="clear" w:color="auto" w:fill="F2DBDB"/>
          </w:tcPr>
          <w:p w14:paraId="6D5187D8" w14:textId="748D704B" w:rsidR="0010192B" w:rsidRDefault="0010192B">
            <w:pPr>
              <w:rPr>
                <w:b/>
                <w:bCs/>
                <w:sz w:val="22"/>
                <w:szCs w:val="22"/>
              </w:rPr>
            </w:pPr>
            <w:r>
              <w:rPr>
                <w:b/>
                <w:bCs/>
                <w:sz w:val="22"/>
                <w:szCs w:val="22"/>
              </w:rPr>
              <w:t>Borderline High %</w:t>
            </w:r>
          </w:p>
        </w:tc>
        <w:tc>
          <w:tcPr>
            <w:tcW w:w="1509" w:type="dxa"/>
            <w:shd w:val="clear" w:color="auto" w:fill="F2DBDB"/>
          </w:tcPr>
          <w:p w14:paraId="6BD55AC2" w14:textId="0CB70AD7" w:rsidR="0010192B" w:rsidRDefault="0010192B">
            <w:pPr>
              <w:rPr>
                <w:b/>
                <w:bCs/>
                <w:sz w:val="22"/>
                <w:szCs w:val="22"/>
              </w:rPr>
            </w:pPr>
            <w:r>
              <w:rPr>
                <w:b/>
                <w:bCs/>
                <w:sz w:val="22"/>
                <w:szCs w:val="22"/>
              </w:rPr>
              <w:t xml:space="preserve">High % </w:t>
            </w:r>
          </w:p>
        </w:tc>
        <w:tc>
          <w:tcPr>
            <w:tcW w:w="1511" w:type="dxa"/>
            <w:shd w:val="clear" w:color="auto" w:fill="F2DBDB"/>
          </w:tcPr>
          <w:p w14:paraId="7307B6E4" w14:textId="29AD529B" w:rsidR="0010192B" w:rsidRDefault="0010192B">
            <w:pPr>
              <w:rPr>
                <w:b/>
                <w:bCs/>
                <w:sz w:val="22"/>
                <w:szCs w:val="22"/>
              </w:rPr>
            </w:pPr>
            <w:r>
              <w:rPr>
                <w:b/>
                <w:bCs/>
                <w:sz w:val="22"/>
                <w:szCs w:val="22"/>
              </w:rPr>
              <w:t>Very High %</w:t>
            </w:r>
          </w:p>
        </w:tc>
        <w:tc>
          <w:tcPr>
            <w:tcW w:w="1389" w:type="dxa"/>
            <w:shd w:val="clear" w:color="auto" w:fill="F2DBDB"/>
          </w:tcPr>
          <w:p w14:paraId="4665AFB0" w14:textId="0C5E3E95" w:rsidR="0010192B" w:rsidRDefault="0010192B">
            <w:pPr>
              <w:rPr>
                <w:b/>
                <w:bCs/>
                <w:sz w:val="22"/>
                <w:szCs w:val="22"/>
              </w:rPr>
            </w:pPr>
            <w:r>
              <w:rPr>
                <w:b/>
                <w:bCs/>
                <w:sz w:val="22"/>
                <w:szCs w:val="22"/>
              </w:rPr>
              <w:t>Significance Level</w:t>
            </w:r>
          </w:p>
        </w:tc>
      </w:tr>
      <w:tr w:rsidR="0010192B" w14:paraId="22C224C8" w14:textId="4611D8D7" w:rsidTr="0010192B">
        <w:tc>
          <w:tcPr>
            <w:tcW w:w="1669" w:type="dxa"/>
          </w:tcPr>
          <w:p w14:paraId="445B338E" w14:textId="4C457B47" w:rsidR="0010192B" w:rsidRDefault="0010192B">
            <w:pPr>
              <w:rPr>
                <w:b/>
                <w:bCs/>
                <w:sz w:val="22"/>
                <w:szCs w:val="22"/>
              </w:rPr>
            </w:pPr>
            <w:r>
              <w:rPr>
                <w:b/>
                <w:bCs/>
                <w:sz w:val="22"/>
                <w:szCs w:val="22"/>
              </w:rPr>
              <w:t>Control</w:t>
            </w:r>
          </w:p>
        </w:tc>
        <w:tc>
          <w:tcPr>
            <w:tcW w:w="1603" w:type="dxa"/>
          </w:tcPr>
          <w:p w14:paraId="79D5A773" w14:textId="664F446F" w:rsidR="0010192B" w:rsidRDefault="0010192B">
            <w:pPr>
              <w:rPr>
                <w:b/>
                <w:bCs/>
                <w:sz w:val="22"/>
                <w:szCs w:val="22"/>
              </w:rPr>
            </w:pPr>
            <w:r>
              <w:rPr>
                <w:b/>
                <w:bCs/>
                <w:sz w:val="22"/>
                <w:szCs w:val="22"/>
              </w:rPr>
              <w:t>0</w:t>
            </w:r>
          </w:p>
        </w:tc>
        <w:tc>
          <w:tcPr>
            <w:tcW w:w="1669" w:type="dxa"/>
          </w:tcPr>
          <w:p w14:paraId="1485D0F4" w14:textId="02DBD87A" w:rsidR="0010192B" w:rsidRDefault="0010192B">
            <w:pPr>
              <w:rPr>
                <w:b/>
                <w:bCs/>
                <w:sz w:val="22"/>
                <w:szCs w:val="22"/>
              </w:rPr>
            </w:pPr>
            <w:r>
              <w:rPr>
                <w:b/>
                <w:bCs/>
                <w:sz w:val="22"/>
                <w:szCs w:val="22"/>
              </w:rPr>
              <w:t>9.5</w:t>
            </w:r>
          </w:p>
        </w:tc>
        <w:tc>
          <w:tcPr>
            <w:tcW w:w="1509" w:type="dxa"/>
          </w:tcPr>
          <w:p w14:paraId="6CADE2F3" w14:textId="4A0A491B" w:rsidR="0010192B" w:rsidRDefault="0010192B">
            <w:pPr>
              <w:rPr>
                <w:b/>
                <w:bCs/>
                <w:sz w:val="22"/>
                <w:szCs w:val="22"/>
              </w:rPr>
            </w:pPr>
            <w:r>
              <w:rPr>
                <w:b/>
                <w:bCs/>
                <w:sz w:val="22"/>
                <w:szCs w:val="22"/>
              </w:rPr>
              <w:t>57.1</w:t>
            </w:r>
          </w:p>
        </w:tc>
        <w:tc>
          <w:tcPr>
            <w:tcW w:w="1511" w:type="dxa"/>
          </w:tcPr>
          <w:p w14:paraId="65E87AF6" w14:textId="6262A0E8" w:rsidR="0010192B" w:rsidRDefault="0010192B">
            <w:pPr>
              <w:rPr>
                <w:b/>
                <w:bCs/>
                <w:sz w:val="22"/>
                <w:szCs w:val="22"/>
              </w:rPr>
            </w:pPr>
            <w:r>
              <w:rPr>
                <w:b/>
                <w:bCs/>
                <w:sz w:val="22"/>
                <w:szCs w:val="22"/>
              </w:rPr>
              <w:t>33.3</w:t>
            </w:r>
          </w:p>
        </w:tc>
        <w:tc>
          <w:tcPr>
            <w:tcW w:w="1389" w:type="dxa"/>
            <w:shd w:val="clear" w:color="auto" w:fill="F2DBDB"/>
          </w:tcPr>
          <w:p w14:paraId="35B88B25" w14:textId="77777777" w:rsidR="0010192B" w:rsidRDefault="0010192B">
            <w:pPr>
              <w:rPr>
                <w:b/>
                <w:bCs/>
                <w:sz w:val="22"/>
                <w:szCs w:val="22"/>
              </w:rPr>
            </w:pPr>
          </w:p>
        </w:tc>
      </w:tr>
      <w:tr w:rsidR="0010192B" w14:paraId="2AA11722" w14:textId="03BED885" w:rsidTr="0010192B">
        <w:tc>
          <w:tcPr>
            <w:tcW w:w="1669" w:type="dxa"/>
          </w:tcPr>
          <w:p w14:paraId="0D09D856" w14:textId="12CF0508" w:rsidR="0010192B" w:rsidRDefault="0010192B">
            <w:pPr>
              <w:rPr>
                <w:b/>
                <w:bCs/>
                <w:sz w:val="22"/>
                <w:szCs w:val="22"/>
              </w:rPr>
            </w:pPr>
            <w:r>
              <w:rPr>
                <w:b/>
                <w:bCs/>
                <w:sz w:val="22"/>
                <w:szCs w:val="22"/>
              </w:rPr>
              <w:t>Treatment</w:t>
            </w:r>
          </w:p>
        </w:tc>
        <w:tc>
          <w:tcPr>
            <w:tcW w:w="1603" w:type="dxa"/>
          </w:tcPr>
          <w:p w14:paraId="4DBD2040" w14:textId="2C93A0EE" w:rsidR="0010192B" w:rsidRDefault="0010192B">
            <w:pPr>
              <w:rPr>
                <w:b/>
                <w:bCs/>
                <w:sz w:val="22"/>
                <w:szCs w:val="22"/>
              </w:rPr>
            </w:pPr>
            <w:r>
              <w:rPr>
                <w:b/>
                <w:bCs/>
                <w:sz w:val="22"/>
                <w:szCs w:val="22"/>
              </w:rPr>
              <w:t>4.2</w:t>
            </w:r>
          </w:p>
        </w:tc>
        <w:tc>
          <w:tcPr>
            <w:tcW w:w="1669" w:type="dxa"/>
          </w:tcPr>
          <w:p w14:paraId="6B8B1C40" w14:textId="2CC95AE2" w:rsidR="0010192B" w:rsidRDefault="0010192B">
            <w:pPr>
              <w:rPr>
                <w:b/>
                <w:bCs/>
                <w:sz w:val="22"/>
                <w:szCs w:val="22"/>
              </w:rPr>
            </w:pPr>
            <w:r>
              <w:rPr>
                <w:b/>
                <w:bCs/>
                <w:sz w:val="22"/>
                <w:szCs w:val="22"/>
              </w:rPr>
              <w:t>27.4</w:t>
            </w:r>
          </w:p>
        </w:tc>
        <w:tc>
          <w:tcPr>
            <w:tcW w:w="1509" w:type="dxa"/>
          </w:tcPr>
          <w:p w14:paraId="52C7BDC2" w14:textId="7E40FBEF" w:rsidR="0010192B" w:rsidRDefault="0010192B">
            <w:pPr>
              <w:rPr>
                <w:b/>
                <w:bCs/>
                <w:sz w:val="22"/>
                <w:szCs w:val="22"/>
              </w:rPr>
            </w:pPr>
            <w:r>
              <w:rPr>
                <w:b/>
                <w:bCs/>
                <w:sz w:val="22"/>
                <w:szCs w:val="22"/>
              </w:rPr>
              <w:t>42.1</w:t>
            </w:r>
          </w:p>
        </w:tc>
        <w:tc>
          <w:tcPr>
            <w:tcW w:w="1511" w:type="dxa"/>
          </w:tcPr>
          <w:p w14:paraId="53C794B7" w14:textId="45577FA0" w:rsidR="0010192B" w:rsidRDefault="0010192B">
            <w:pPr>
              <w:rPr>
                <w:b/>
                <w:bCs/>
                <w:sz w:val="22"/>
                <w:szCs w:val="22"/>
              </w:rPr>
            </w:pPr>
            <w:r>
              <w:rPr>
                <w:b/>
                <w:bCs/>
                <w:sz w:val="22"/>
                <w:szCs w:val="22"/>
              </w:rPr>
              <w:t>26.3</w:t>
            </w:r>
          </w:p>
        </w:tc>
        <w:tc>
          <w:tcPr>
            <w:tcW w:w="1389" w:type="dxa"/>
            <w:shd w:val="clear" w:color="auto" w:fill="F2DBDB"/>
          </w:tcPr>
          <w:p w14:paraId="4B852422" w14:textId="77777777" w:rsidR="0010192B" w:rsidRDefault="0010192B">
            <w:pPr>
              <w:rPr>
                <w:b/>
                <w:bCs/>
                <w:sz w:val="22"/>
                <w:szCs w:val="22"/>
              </w:rPr>
            </w:pPr>
          </w:p>
        </w:tc>
      </w:tr>
      <w:tr w:rsidR="0010192B" w14:paraId="63B18FFC" w14:textId="4DC80092" w:rsidTr="0010192B">
        <w:tc>
          <w:tcPr>
            <w:tcW w:w="1669" w:type="dxa"/>
          </w:tcPr>
          <w:p w14:paraId="08C9BBDD" w14:textId="0D6C2C9C" w:rsidR="0010192B" w:rsidRDefault="0010192B">
            <w:pPr>
              <w:rPr>
                <w:b/>
                <w:bCs/>
                <w:sz w:val="22"/>
                <w:szCs w:val="22"/>
              </w:rPr>
            </w:pPr>
            <w:r>
              <w:rPr>
                <w:b/>
                <w:bCs/>
                <w:sz w:val="22"/>
                <w:szCs w:val="22"/>
              </w:rPr>
              <w:t>Mann-Whitney Test</w:t>
            </w:r>
          </w:p>
        </w:tc>
        <w:tc>
          <w:tcPr>
            <w:tcW w:w="1603" w:type="dxa"/>
            <w:shd w:val="clear" w:color="auto" w:fill="F2DBDB"/>
          </w:tcPr>
          <w:p w14:paraId="3E38B1ED" w14:textId="77777777" w:rsidR="0010192B" w:rsidRDefault="0010192B">
            <w:pPr>
              <w:rPr>
                <w:b/>
                <w:bCs/>
                <w:sz w:val="22"/>
                <w:szCs w:val="22"/>
              </w:rPr>
            </w:pPr>
          </w:p>
        </w:tc>
        <w:tc>
          <w:tcPr>
            <w:tcW w:w="1669" w:type="dxa"/>
            <w:shd w:val="clear" w:color="auto" w:fill="F2DBDB"/>
          </w:tcPr>
          <w:p w14:paraId="200EA41F" w14:textId="77777777" w:rsidR="0010192B" w:rsidRDefault="0010192B">
            <w:pPr>
              <w:rPr>
                <w:b/>
                <w:bCs/>
                <w:sz w:val="22"/>
                <w:szCs w:val="22"/>
              </w:rPr>
            </w:pPr>
          </w:p>
        </w:tc>
        <w:tc>
          <w:tcPr>
            <w:tcW w:w="1509" w:type="dxa"/>
            <w:shd w:val="clear" w:color="auto" w:fill="F2DBDB"/>
          </w:tcPr>
          <w:p w14:paraId="6CBAF6A0" w14:textId="77777777" w:rsidR="0010192B" w:rsidRDefault="0010192B">
            <w:pPr>
              <w:rPr>
                <w:b/>
                <w:bCs/>
                <w:sz w:val="22"/>
                <w:szCs w:val="22"/>
              </w:rPr>
            </w:pPr>
          </w:p>
        </w:tc>
        <w:tc>
          <w:tcPr>
            <w:tcW w:w="1511" w:type="dxa"/>
            <w:shd w:val="clear" w:color="auto" w:fill="F2DBDB"/>
          </w:tcPr>
          <w:p w14:paraId="5B944F42" w14:textId="77777777" w:rsidR="0010192B" w:rsidRDefault="0010192B">
            <w:pPr>
              <w:rPr>
                <w:b/>
                <w:bCs/>
                <w:sz w:val="22"/>
                <w:szCs w:val="22"/>
              </w:rPr>
            </w:pPr>
          </w:p>
        </w:tc>
        <w:tc>
          <w:tcPr>
            <w:tcW w:w="1389" w:type="dxa"/>
          </w:tcPr>
          <w:p w14:paraId="0CCAC12D" w14:textId="47B7E45C" w:rsidR="0010192B" w:rsidRDefault="0010192B">
            <w:pPr>
              <w:rPr>
                <w:b/>
                <w:bCs/>
                <w:sz w:val="22"/>
                <w:szCs w:val="22"/>
              </w:rPr>
            </w:pPr>
            <w:r>
              <w:rPr>
                <w:b/>
                <w:bCs/>
                <w:sz w:val="22"/>
                <w:szCs w:val="22"/>
              </w:rPr>
              <w:t>0.004</w:t>
            </w:r>
          </w:p>
        </w:tc>
      </w:tr>
    </w:tbl>
    <w:p w14:paraId="55D15654" w14:textId="77777777" w:rsidR="00C70878" w:rsidRPr="00A26640" w:rsidRDefault="00C70878">
      <w:pPr>
        <w:rPr>
          <w:b/>
          <w:bCs/>
          <w:sz w:val="22"/>
          <w:szCs w:val="22"/>
        </w:rPr>
      </w:pPr>
    </w:p>
    <w:sectPr w:rsidR="00C70878" w:rsidRPr="00A26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40"/>
    <w:rsid w:val="0010192B"/>
    <w:rsid w:val="0020210A"/>
    <w:rsid w:val="003D1F84"/>
    <w:rsid w:val="004566D8"/>
    <w:rsid w:val="004D4B3F"/>
    <w:rsid w:val="00533411"/>
    <w:rsid w:val="00976AA8"/>
    <w:rsid w:val="009D1F25"/>
    <w:rsid w:val="00A26640"/>
    <w:rsid w:val="00C70878"/>
    <w:rsid w:val="00CF4BCF"/>
    <w:rsid w:val="00DB1D72"/>
    <w:rsid w:val="00F9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2AA67"/>
  <w15:chartTrackingRefBased/>
  <w15:docId w15:val="{792F5150-2E21-404B-A19D-F90BF40F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6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Lafayette Batts Ms.</dc:creator>
  <cp:keywords/>
  <dc:description/>
  <cp:lastModifiedBy>Lafayette Batts Ms.</cp:lastModifiedBy>
  <cp:revision>1</cp:revision>
  <dcterms:created xsi:type="dcterms:W3CDTF">2025-02-19T19:19:00Z</dcterms:created>
  <dcterms:modified xsi:type="dcterms:W3CDTF">2025-02-19T20:12:00Z</dcterms:modified>
</cp:coreProperties>
</file>