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3F5A" w14:textId="77777777" w:rsidR="00327285" w:rsidRPr="003C1362" w:rsidRDefault="00070E47" w:rsidP="00070E47">
      <w:pPr>
        <w:pStyle w:val="Titel"/>
        <w:rPr>
          <w:lang w:val="en-US"/>
        </w:rPr>
      </w:pPr>
      <w:r w:rsidRPr="003C1362">
        <w:rPr>
          <w:lang w:val="en-US"/>
        </w:rPr>
        <w:t>Variables and description</w:t>
      </w:r>
    </w:p>
    <w:p w14:paraId="59EB6870" w14:textId="77777777" w:rsidR="00070E47" w:rsidRPr="003C1362" w:rsidRDefault="00070E47" w:rsidP="00070E47">
      <w:pPr>
        <w:rPr>
          <w:lang w:val="en-US"/>
        </w:rPr>
      </w:pPr>
    </w:p>
    <w:p w14:paraId="37127D8F" w14:textId="77777777" w:rsidR="00070E47" w:rsidRPr="003C1362" w:rsidRDefault="00070E47" w:rsidP="00070E47">
      <w:pPr>
        <w:rPr>
          <w:rStyle w:val="Strk"/>
          <w:highlight w:val="yellow"/>
          <w:lang w:val="en-US"/>
        </w:rPr>
      </w:pPr>
      <w:r w:rsidRPr="003C1362">
        <w:rPr>
          <w:rStyle w:val="Strk"/>
          <w:highlight w:val="yellow"/>
          <w:lang w:val="en-US"/>
        </w:rPr>
        <w:t>Adjusted net national income per capita (constant 2015 US$)</w:t>
      </w:r>
    </w:p>
    <w:p w14:paraId="5B67ADDD" w14:textId="77777777" w:rsidR="00070E47" w:rsidRDefault="00070E47" w:rsidP="00070E47">
      <w:pPr>
        <w:rPr>
          <w:lang w:val="en-US"/>
        </w:rPr>
      </w:pPr>
      <w:r w:rsidRPr="003C1362">
        <w:rPr>
          <w:highlight w:val="yellow"/>
          <w:lang w:val="en-US"/>
        </w:rPr>
        <w:t>Adjusted net national income is GNI minus consumption of fixed capital and natural resources depletion. This accounts for the depreciation of value of the Fixed Assets used in production. The deduction for the depletion of natural resources, which covers net forest depletion, energy depletion, and mineral depletion, reflects the decline in asset values associated with the extraction and harvesting of natural resources.</w:t>
      </w:r>
    </w:p>
    <w:p w14:paraId="0ADAE234" w14:textId="77777777" w:rsidR="003C1362" w:rsidRPr="00B510AF" w:rsidRDefault="003C1362" w:rsidP="003C1362">
      <w:pPr>
        <w:rPr>
          <w:rStyle w:val="Strk"/>
          <w:highlight w:val="yellow"/>
          <w:lang w:val="en-US"/>
        </w:rPr>
      </w:pPr>
      <w:r w:rsidRPr="00B510AF">
        <w:rPr>
          <w:rStyle w:val="Strk"/>
          <w:highlight w:val="yellow"/>
          <w:lang w:val="en-US"/>
        </w:rPr>
        <w:t>GNI per capita (constant 2015 US$)</w:t>
      </w:r>
    </w:p>
    <w:p w14:paraId="36E5379E" w14:textId="68A7B98B" w:rsidR="003C1362" w:rsidRDefault="003C1362" w:rsidP="003C1362">
      <w:pPr>
        <w:rPr>
          <w:rStyle w:val="Strk"/>
          <w:b w:val="0"/>
          <w:bCs w:val="0"/>
          <w:lang w:val="en-US"/>
        </w:rPr>
      </w:pPr>
      <w:r w:rsidRPr="00B510AF">
        <w:rPr>
          <w:rStyle w:val="Strk"/>
          <w:b w:val="0"/>
          <w:bCs w:val="0"/>
          <w:highlight w:val="yellow"/>
          <w:lang w:val="en-US"/>
        </w:rPr>
        <w:t>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w:t>
      </w:r>
    </w:p>
    <w:p w14:paraId="129378CD" w14:textId="77777777" w:rsidR="003C1362" w:rsidRPr="003C1362" w:rsidRDefault="003C1362" w:rsidP="003C1362">
      <w:pPr>
        <w:rPr>
          <w:b/>
          <w:bCs/>
          <w:highlight w:val="yellow"/>
          <w:lang w:val="en-US"/>
        </w:rPr>
      </w:pPr>
      <w:r w:rsidRPr="003C1362">
        <w:rPr>
          <w:b/>
          <w:bCs/>
          <w:highlight w:val="yellow"/>
          <w:lang w:val="en-US"/>
        </w:rPr>
        <w:t>Gross fixed capital formation (constant 2015 US$)</w:t>
      </w:r>
    </w:p>
    <w:p w14:paraId="3E8E0021" w14:textId="77777777" w:rsidR="003C1362" w:rsidRDefault="003C1362" w:rsidP="003C1362">
      <w:pPr>
        <w:rPr>
          <w:rStyle w:val="Strk"/>
          <w:b w:val="0"/>
          <w:bCs w:val="0"/>
          <w:lang w:val="en-US"/>
        </w:rPr>
      </w:pPr>
      <w:r w:rsidRPr="003C1362">
        <w:rPr>
          <w:rStyle w:val="Strk"/>
          <w:b w:val="0"/>
          <w:bCs w:val="0"/>
          <w:highlight w:val="yellow"/>
          <w:lang w:val="en-US"/>
        </w:rPr>
        <w:t>Gross fixed capital formation (formerly gross domestic fixed investment) includes land improvements (fences, ditches, drains, and so on); plant, machinery, and equipment purchases; and the construction of roads, railways, and the like, including schools, offices, hospitals, private residential dwellings, and commercial and industrial buildings.</w:t>
      </w:r>
    </w:p>
    <w:p w14:paraId="3385EC19" w14:textId="77777777" w:rsidR="00070E47" w:rsidRDefault="00070E47" w:rsidP="00070E47">
      <w:pPr>
        <w:rPr>
          <w:lang w:val="en-US"/>
        </w:rPr>
      </w:pPr>
    </w:p>
    <w:p w14:paraId="33BF5BBE" w14:textId="77777777" w:rsidR="00070E47" w:rsidRDefault="00070E47" w:rsidP="00070E47">
      <w:pPr>
        <w:rPr>
          <w:rStyle w:val="Strk"/>
          <w:lang w:val="en-US"/>
        </w:rPr>
      </w:pPr>
      <w:r w:rsidRPr="00070E47">
        <w:rPr>
          <w:rStyle w:val="Strk"/>
          <w:lang w:val="en-US"/>
        </w:rPr>
        <w:t>GDP per capita (constant 2015 US$)</w:t>
      </w:r>
    </w:p>
    <w:p w14:paraId="63DC1A38" w14:textId="44DF4B4B" w:rsidR="00070E47" w:rsidRDefault="00070E47" w:rsidP="00070E47">
      <w:pPr>
        <w:rPr>
          <w:lang w:val="en-US"/>
        </w:rPr>
      </w:pPr>
      <w:r w:rsidRPr="00070E47">
        <w:rPr>
          <w:lang w:val="en-US"/>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p>
    <w:p w14:paraId="03278284" w14:textId="03F33EFB" w:rsidR="003A74D1" w:rsidRDefault="008A3BC5" w:rsidP="00070E47">
      <w:pPr>
        <w:rPr>
          <w:lang w:val="en-US"/>
        </w:rPr>
      </w:pPr>
      <w:r>
        <w:rPr>
          <w:lang w:val="en-US"/>
        </w:rPr>
        <w:t xml:space="preserve">Intuitively we thought that GDP was interesting to look at as we anecdotally agreed that the </w:t>
      </w:r>
      <w:r w:rsidR="0049611C">
        <w:rPr>
          <w:lang w:val="en-US"/>
        </w:rPr>
        <w:t>countries,</w:t>
      </w:r>
      <w:r>
        <w:rPr>
          <w:lang w:val="en-US"/>
        </w:rPr>
        <w:t xml:space="preserve"> we know with high GDP per capita were also good liberal democracies in general. The reason for choosing GDP per capita in favor of GDP PPP adjusted or just GDP, is that we thought it wouldn’t be reliable as large countries and populous countries would score better than less populous countries. The justification for choosing GDP in favor of GNI per capita, gross fixed capital formation and adjusted net national income is primarily that GDP gives information on everything produced within the </w:t>
      </w:r>
      <w:r w:rsidR="0049611C">
        <w:rPr>
          <w:lang w:val="en-US"/>
        </w:rPr>
        <w:t>country’s</w:t>
      </w:r>
      <w:r>
        <w:rPr>
          <w:lang w:val="en-US"/>
        </w:rPr>
        <w:t xml:space="preserve"> borders, whereas GNI is measured on everything that is produced by companies in the entire world that is registered in the country, making more confusing and “fluffy”. The secondary reason is that it is easier for the layman to understand and as they all intuitively seemed to be collinear, GDP was chosen. </w:t>
      </w:r>
      <w:r w:rsidR="003A74D1">
        <w:rPr>
          <w:lang w:val="en-US"/>
        </w:rPr>
        <w:t xml:space="preserve">GDP per capita is </w:t>
      </w:r>
      <w:r>
        <w:rPr>
          <w:lang w:val="en-US"/>
        </w:rPr>
        <w:t xml:space="preserve">also </w:t>
      </w:r>
      <w:r w:rsidR="003A74D1">
        <w:rPr>
          <w:lang w:val="en-US"/>
        </w:rPr>
        <w:t xml:space="preserve">interesting to look at theoretically, as previous studies have found a correlation between democracy and GDP per capita </w:t>
      </w:r>
      <w:r w:rsidR="003A74D1">
        <w:rPr>
          <w:lang w:val="en-US"/>
        </w:rPr>
        <w:fldChar w:fldCharType="begin"/>
      </w:r>
      <w:r w:rsidR="003A74D1">
        <w:rPr>
          <w:lang w:val="en-US"/>
        </w:rPr>
        <w:instrText xml:space="preserve"> ADDIN ZOTERO_ITEM CSL_CITATION {"citationID":"mM44A8IO","properties":{"formattedCitation":"({\\i{}Democracy and Economic Growth}, n.d.)","plainCitation":"(Democracy and Economic Growth, n.d.)","noteIndex":0},"citationItems":[{"id":102,"uris":["http://zotero.org/users/10748043/items/9GH7JLLC"],"itemData":{"id":102,"type":"webpage","abstract":"Democracy sees higher GDP due to greater civil liberties, economic reform, increased investment and government capacity, and reduced social conflict","language":"en","title":"Democracy and economic growth: New evidence","title-short":"Democracy and economic growth","URL":"https://voxdev.org/topic/institutions-political-economy/democracy-and-economic-growth-new-evidence","accessed":{"date-parts":[["2023",4,13]]}}}],"schema":"https://github.com/citation-style-language/schema/raw/master/csl-citation.json"} </w:instrText>
      </w:r>
      <w:r w:rsidR="003A74D1">
        <w:rPr>
          <w:lang w:val="en-US"/>
        </w:rPr>
        <w:fldChar w:fldCharType="separate"/>
      </w:r>
      <w:r w:rsidR="003A74D1" w:rsidRPr="003A74D1">
        <w:rPr>
          <w:rFonts w:ascii="Calibri" w:hAnsi="Calibri" w:cs="Calibri"/>
          <w:szCs w:val="24"/>
          <w:lang w:val="en-US"/>
        </w:rPr>
        <w:t>(</w:t>
      </w:r>
      <w:r w:rsidR="003A74D1" w:rsidRPr="003A74D1">
        <w:rPr>
          <w:rFonts w:ascii="Calibri" w:hAnsi="Calibri" w:cs="Calibri"/>
          <w:i/>
          <w:iCs/>
          <w:szCs w:val="24"/>
          <w:lang w:val="en-US"/>
        </w:rPr>
        <w:t>Democracy and Economic Growth</w:t>
      </w:r>
      <w:r w:rsidR="003A74D1" w:rsidRPr="003A74D1">
        <w:rPr>
          <w:rFonts w:ascii="Calibri" w:hAnsi="Calibri" w:cs="Calibri"/>
          <w:szCs w:val="24"/>
          <w:lang w:val="en-US"/>
        </w:rPr>
        <w:t>, n.d.)</w:t>
      </w:r>
      <w:r w:rsidR="003A74D1">
        <w:rPr>
          <w:lang w:val="en-US"/>
        </w:rPr>
        <w:fldChar w:fldCharType="end"/>
      </w:r>
      <w:r w:rsidR="003A74D1">
        <w:rPr>
          <w:lang w:val="en-US"/>
        </w:rPr>
        <w:t xml:space="preserve">.  </w:t>
      </w:r>
    </w:p>
    <w:p w14:paraId="19001FD9" w14:textId="77777777" w:rsidR="009E048D" w:rsidRPr="003C1362" w:rsidRDefault="009E048D" w:rsidP="00070E47">
      <w:pPr>
        <w:rPr>
          <w:lang w:val="en-US"/>
        </w:rPr>
      </w:pPr>
    </w:p>
    <w:p w14:paraId="0DE6C6AA" w14:textId="77777777" w:rsidR="00070E47" w:rsidRPr="00AF32EA" w:rsidRDefault="00070E47" w:rsidP="00070E47">
      <w:pPr>
        <w:rPr>
          <w:rStyle w:val="Strk"/>
          <w:lang w:val="en-US"/>
        </w:rPr>
      </w:pPr>
      <w:r w:rsidRPr="00AF32EA">
        <w:rPr>
          <w:rStyle w:val="Strk"/>
          <w:lang w:val="en-US"/>
        </w:rPr>
        <w:t>GDP per capita growth (annual %)</w:t>
      </w:r>
    </w:p>
    <w:p w14:paraId="289CABFA" w14:textId="66255B9B" w:rsidR="00070E47" w:rsidRDefault="00070E47" w:rsidP="00070E47">
      <w:pPr>
        <w:rPr>
          <w:lang w:val="en-US"/>
        </w:rPr>
      </w:pPr>
      <w:r w:rsidRPr="00AF32EA">
        <w:rPr>
          <w:lang w:val="en-US"/>
        </w:rPr>
        <w:t>Annual percentage growth</w:t>
      </w:r>
      <w:r w:rsidRPr="00070E47">
        <w:rPr>
          <w:lang w:val="en-US"/>
        </w:rPr>
        <w:t xml:space="preserve"> rate of GDP per capita based on constant local currency.</w:t>
      </w:r>
      <w:r>
        <w:rPr>
          <w:lang w:val="en-US"/>
        </w:rPr>
        <w:t xml:space="preserve"> </w:t>
      </w:r>
    </w:p>
    <w:p w14:paraId="1225076A" w14:textId="02477692" w:rsidR="003A74D1" w:rsidRDefault="003A74D1" w:rsidP="00070E47">
      <w:pPr>
        <w:rPr>
          <w:lang w:val="en-US"/>
        </w:rPr>
      </w:pPr>
      <w:r>
        <w:rPr>
          <w:lang w:val="en-US"/>
        </w:rPr>
        <w:lastRenderedPageBreak/>
        <w:t xml:space="preserve">This variable is chosen </w:t>
      </w:r>
      <w:r w:rsidR="009A3F2A">
        <w:rPr>
          <w:lang w:val="en-US"/>
        </w:rPr>
        <w:t>because we thought it would be interesting to look at how developing countries scored as</w:t>
      </w:r>
      <w:r w:rsidR="00BA44BF">
        <w:rPr>
          <w:lang w:val="en-US"/>
        </w:rPr>
        <w:t xml:space="preserve"> we hypothesize that</w:t>
      </w:r>
      <w:r w:rsidR="009A3F2A">
        <w:rPr>
          <w:lang w:val="en-US"/>
        </w:rPr>
        <w:t xml:space="preserve"> the biggest growth </w:t>
      </w:r>
      <w:r w:rsidR="00BA44BF">
        <w:rPr>
          <w:lang w:val="en-US"/>
        </w:rPr>
        <w:t>would happen in developing countries. We wanted to see how the development of democracy and growth of GDP would correlate. Interestingly p</w:t>
      </w:r>
      <w:r>
        <w:rPr>
          <w:lang w:val="en-US"/>
        </w:rPr>
        <w:t xml:space="preserve">revious studies have found a correlation between GDP growth and democracy </w:t>
      </w:r>
      <w:r>
        <w:rPr>
          <w:lang w:val="en-US"/>
        </w:rPr>
        <w:fldChar w:fldCharType="begin"/>
      </w:r>
      <w:r w:rsidR="002E0A43">
        <w:rPr>
          <w:lang w:val="en-US"/>
        </w:rPr>
        <w:instrText xml:space="preserve"> ADDIN ZOTERO_ITEM CSL_CITATION {"citationID":"VRZsPXCN","properties":{"formattedCitation":"(Acemoglu et al., 2014)","plainCitation":"(Acemoglu et al., 2014)","noteIndex":0},"citationItems":[{"id":100,"uris":["http://zotero.org/users/10748043/items/EZ4XU6PF"],"itemData":{"id":100,"type":"article","abstract":"We provide evidence that democracy has a significant and robust positive effect on GDP. Our empirical strategy relies on a dichotomous measure of democracy coded from several sources to reduce measurement error and controls for country fixed effects and the rich dynamics of GDP, which otherwise confound the effect of democracy on economic growth. Our baseline results use a linear model for GDP dynamics estimated using either a standard within estimator or various different Generalized Method of Moments estimators, and show that democratizations increase GDP per capita by about 20% in the long run. These results are confirmed when we use a semiparametric propensity score matching estimator to control for GDP dynamics. We also obtain similar results using regional waves of democratizations and reversals to instrument for country democracy. Our results suggest that democracy increases future GDP by encouraging investment, increasing schooling, inducing economic reforms, improving public good provision, and reducing social unrest. We find little support for the view that democracy is a constraint on economic growth for less developed economies.","collection-title":"Working Paper Series","DOI":"10.3386/w20004","genre":"Working Paper","note":"DOI: 10.3386/w20004","number":"20004","publisher":"National Bureau of Economic Research","source":"National Bureau of Economic Research","title":"Democracy Does Cause Growth","URL":"https://www.nber.org/papers/w20004","author":[{"family":"Acemoglu","given":"Daron"},{"family":"Naidu","given":"Suresh"},{"family":"Restrepo","given":"Pascual"},{"family":"Robinson","given":"James A."}],"accessed":{"date-parts":[["2023",4,13]]},"issued":{"date-parts":[["2014",3]]}}}],"schema":"https://github.com/citation-style-language/schema/raw/master/csl-citation.json"} </w:instrText>
      </w:r>
      <w:r>
        <w:rPr>
          <w:lang w:val="en-US"/>
        </w:rPr>
        <w:fldChar w:fldCharType="separate"/>
      </w:r>
      <w:r w:rsidR="002E0A43" w:rsidRPr="002E0A43">
        <w:rPr>
          <w:rFonts w:ascii="Calibri" w:hAnsi="Calibri" w:cs="Calibri"/>
          <w:lang w:val="en-US"/>
        </w:rPr>
        <w:t>(Acemoglu et al., 2014)</w:t>
      </w:r>
      <w:r>
        <w:rPr>
          <w:lang w:val="en-US"/>
        </w:rPr>
        <w:fldChar w:fldCharType="end"/>
      </w:r>
      <w:r>
        <w:rPr>
          <w:lang w:val="en-US"/>
        </w:rPr>
        <w:t>.</w:t>
      </w:r>
    </w:p>
    <w:p w14:paraId="1D7E615A" w14:textId="77777777" w:rsidR="00070E47" w:rsidRDefault="00070E47" w:rsidP="00070E47">
      <w:pPr>
        <w:rPr>
          <w:rStyle w:val="Strk"/>
          <w:lang w:val="en-US"/>
        </w:rPr>
      </w:pPr>
      <w:r w:rsidRPr="00070E47">
        <w:rPr>
          <w:rStyle w:val="Strk"/>
          <w:lang w:val="en-US"/>
        </w:rPr>
        <w:t>Gini index</w:t>
      </w:r>
    </w:p>
    <w:p w14:paraId="44372253" w14:textId="330DF06C" w:rsidR="00BB0E93" w:rsidRDefault="00BB0E93" w:rsidP="00BB0E93">
      <w:pPr>
        <w:rPr>
          <w:rStyle w:val="Strk"/>
          <w:b w:val="0"/>
          <w:bCs w:val="0"/>
          <w:lang w:val="en-US"/>
        </w:rPr>
      </w:pPr>
      <w:r w:rsidRPr="00BB0E93">
        <w:rPr>
          <w:rStyle w:val="Strk"/>
          <w:b w:val="0"/>
          <w:bCs w:val="0"/>
          <w:lang w:val="en-US"/>
        </w:rPr>
        <w:t>The Gini index measures the extent to which the distribution of income or consumption among individuals or households within an economy deviates from a perfectly equal distribution. A Gini index of 0 represents perfect equality, while an index of 100 implies perfect inequality.</w:t>
      </w:r>
      <w:r w:rsidR="00A437CD">
        <w:rPr>
          <w:rStyle w:val="Strk"/>
          <w:b w:val="0"/>
          <w:bCs w:val="0"/>
          <w:lang w:val="en-US"/>
        </w:rPr>
        <w:t xml:space="preserve"> If using OECD countries, we can count on that the method used to calculate was OECD modified scale. </w:t>
      </w:r>
      <w:r w:rsidR="00AC31F4">
        <w:rPr>
          <w:rStyle w:val="Strk"/>
          <w:b w:val="0"/>
          <w:bCs w:val="0"/>
          <w:lang w:val="en-US"/>
        </w:rPr>
        <w:t>Then we can use GINI index.</w:t>
      </w:r>
    </w:p>
    <w:p w14:paraId="6EFF8319" w14:textId="5F194233" w:rsidR="007C18AE" w:rsidRDefault="007C18AE" w:rsidP="00BB0E93">
      <w:pPr>
        <w:rPr>
          <w:rStyle w:val="Strk"/>
          <w:b w:val="0"/>
          <w:bCs w:val="0"/>
          <w:lang w:val="en-US"/>
        </w:rPr>
      </w:pPr>
      <w:r>
        <w:rPr>
          <w:rStyle w:val="Strk"/>
          <w:b w:val="0"/>
          <w:bCs w:val="0"/>
          <w:lang w:val="en-US"/>
        </w:rPr>
        <w:t xml:space="preserve">Gini Index could be interesting as there has been evidence to suggest that democracy can reduce the Gini score in countries </w:t>
      </w:r>
      <w:r>
        <w:rPr>
          <w:rStyle w:val="Strk"/>
          <w:b w:val="0"/>
          <w:bCs w:val="0"/>
          <w:lang w:val="en-US"/>
        </w:rPr>
        <w:fldChar w:fldCharType="begin"/>
      </w:r>
      <w:r>
        <w:rPr>
          <w:rStyle w:val="Strk"/>
          <w:b w:val="0"/>
          <w:bCs w:val="0"/>
          <w:lang w:val="en-US"/>
        </w:rPr>
        <w:instrText xml:space="preserve"> ADDIN ZOTERO_ITEM CSL_CITATION {"citationID":"64KgXDRy","properties":{"formattedCitation":"(Zang et al., 2020)","plainCitation":"(Zang et al., 2020)","noteIndex":0},"citationItems":[{"id":104,"uris":["http://zotero.org/users/10748043/items/KZUVN8SG"],"itemData":{"id":104,"type":"book","abstract":"The mechanism of the relationship between democratization and the inequality has been one of the main focuses of political and economic research, albeit with no consensus. The presence of missing values and the voluminous social, economic, environmental measures across countries and the discretion needed to select proxies/measures, lead to difficulties in conducting multinational panel data analysis. This study utilizes one of the machine learning techniques, the random forecast model, to interpolate missing values; and select candidates of control variables based on importance ranking, which greatly reduces the variable selection bias. We then constructed panel data analysis on data from 151 countries (1993 -2017). Results from different models come to a consensus that the promotion of democracy can significantly reduce Gini index, albeit the effect is marginally decreasing with respect to wealth and over long-run as well. However, such mechanism only exists only in non-colonial nations and presidential states.","note":"DOI: 10.13140/RG.2.2.23479.06564","source":"ResearchGate","title":"Democratization and the Gini index: Panel data analysis based on random forest method","title-short":"Democratization and the Gini index","author":[{"family":"Zang","given":"Leizhen"},{"family":"Xiong","given":"Feng"},{"family":"Sun","given":"Jiajing"},{"family":"Cole","given":"Michael"}],"issued":{"date-parts":[["2020",4,13]]}}}],"schema":"https://github.com/citation-style-language/schema/raw/master/csl-citation.json"} </w:instrText>
      </w:r>
      <w:r>
        <w:rPr>
          <w:rStyle w:val="Strk"/>
          <w:b w:val="0"/>
          <w:bCs w:val="0"/>
          <w:lang w:val="en-US"/>
        </w:rPr>
        <w:fldChar w:fldCharType="separate"/>
      </w:r>
      <w:r w:rsidRPr="007C18AE">
        <w:rPr>
          <w:rFonts w:ascii="Calibri" w:hAnsi="Calibri" w:cs="Calibri"/>
          <w:lang w:val="en-US"/>
        </w:rPr>
        <w:t>(Zang et al., 2020)</w:t>
      </w:r>
      <w:r>
        <w:rPr>
          <w:rStyle w:val="Strk"/>
          <w:b w:val="0"/>
          <w:bCs w:val="0"/>
          <w:lang w:val="en-US"/>
        </w:rPr>
        <w:fldChar w:fldCharType="end"/>
      </w:r>
      <w:r>
        <w:rPr>
          <w:rStyle w:val="Strk"/>
          <w:b w:val="0"/>
          <w:bCs w:val="0"/>
          <w:lang w:val="en-US"/>
        </w:rPr>
        <w:t>.</w:t>
      </w:r>
      <w:r w:rsidR="00AC380F">
        <w:rPr>
          <w:rStyle w:val="Strk"/>
          <w:b w:val="0"/>
          <w:bCs w:val="0"/>
          <w:lang w:val="en-US"/>
        </w:rPr>
        <w:t xml:space="preserve"> A possible catch could be the lack of standardization in measuring </w:t>
      </w:r>
      <w:r w:rsidR="00BA44BF">
        <w:rPr>
          <w:rStyle w:val="Strk"/>
          <w:b w:val="0"/>
          <w:bCs w:val="0"/>
          <w:lang w:val="en-US"/>
        </w:rPr>
        <w:t>Gini</w:t>
      </w:r>
      <w:r w:rsidR="00AC380F">
        <w:rPr>
          <w:rStyle w:val="Strk"/>
          <w:b w:val="0"/>
          <w:bCs w:val="0"/>
          <w:lang w:val="en-US"/>
        </w:rPr>
        <w:t xml:space="preserve"> scores across the world</w:t>
      </w:r>
      <w:r w:rsidR="00BA44BF">
        <w:rPr>
          <w:rStyle w:val="Strk"/>
          <w:b w:val="0"/>
          <w:bCs w:val="0"/>
          <w:lang w:val="en-US"/>
        </w:rPr>
        <w:t xml:space="preserve"> </w:t>
      </w:r>
      <w:r w:rsidR="00F95BED">
        <w:rPr>
          <w:rStyle w:val="Strk"/>
          <w:b w:val="0"/>
          <w:bCs w:val="0"/>
          <w:lang w:val="en-US"/>
        </w:rPr>
        <w:fldChar w:fldCharType="begin"/>
      </w:r>
      <w:r w:rsidR="00F95BED">
        <w:rPr>
          <w:rStyle w:val="Strk"/>
          <w:b w:val="0"/>
          <w:bCs w:val="0"/>
          <w:lang w:val="en-US"/>
        </w:rPr>
        <w:instrText xml:space="preserve"> ADDIN ZOTERO_ITEM CSL_CITATION {"citationID":"m38ZKCZI","properties":{"formattedCitation":"({\\i{}Understanding the Gini Coefficient}, n.d.)","plainCitation":"(Understanding the Gini Coefficient, n.d.)","noteIndex":0},"citationItems":[{"id":106,"uris":["http://zotero.org/users/10748043/items/CJNVBSTK"],"itemData":{"id":106,"type":"webpage","container-title":"Base","language":"en","title":"Understanding the Gini Coefficient","URL":"http://www.singstat.gov.sg/find-data/search-by-theme/households/household-income/visualising-data/understanding-the-gini-coefficient-video","accessed":{"date-parts":[["2023",4,19]]}}}],"schema":"https://github.com/citation-style-language/schema/raw/master/csl-citation.json"} </w:instrText>
      </w:r>
      <w:r w:rsidR="00F95BED">
        <w:rPr>
          <w:rStyle w:val="Strk"/>
          <w:b w:val="0"/>
          <w:bCs w:val="0"/>
          <w:lang w:val="en-US"/>
        </w:rPr>
        <w:fldChar w:fldCharType="separate"/>
      </w:r>
      <w:r w:rsidR="00F95BED" w:rsidRPr="00F95BED">
        <w:rPr>
          <w:rFonts w:ascii="Calibri" w:hAnsi="Calibri" w:cs="Calibri"/>
          <w:szCs w:val="24"/>
          <w:lang w:val="en-US"/>
        </w:rPr>
        <w:t>(</w:t>
      </w:r>
      <w:r w:rsidR="00F95BED" w:rsidRPr="00F95BED">
        <w:rPr>
          <w:rFonts w:ascii="Calibri" w:hAnsi="Calibri" w:cs="Calibri"/>
          <w:i/>
          <w:iCs/>
          <w:szCs w:val="24"/>
          <w:lang w:val="en-US"/>
        </w:rPr>
        <w:t>Understanding the Gini Coefficient</w:t>
      </w:r>
      <w:r w:rsidR="00F95BED" w:rsidRPr="00F95BED">
        <w:rPr>
          <w:rFonts w:ascii="Calibri" w:hAnsi="Calibri" w:cs="Calibri"/>
          <w:szCs w:val="24"/>
          <w:lang w:val="en-US"/>
        </w:rPr>
        <w:t>, n.d.)</w:t>
      </w:r>
      <w:r w:rsidR="00F95BED">
        <w:rPr>
          <w:rStyle w:val="Strk"/>
          <w:b w:val="0"/>
          <w:bCs w:val="0"/>
          <w:lang w:val="en-US"/>
        </w:rPr>
        <w:fldChar w:fldCharType="end"/>
      </w:r>
      <w:r w:rsidR="00AC380F">
        <w:rPr>
          <w:rStyle w:val="Strk"/>
          <w:b w:val="0"/>
          <w:bCs w:val="0"/>
          <w:lang w:val="en-US"/>
        </w:rPr>
        <w:t>.</w:t>
      </w:r>
      <w:r w:rsidR="004F0B62">
        <w:rPr>
          <w:rStyle w:val="Strk"/>
          <w:b w:val="0"/>
          <w:bCs w:val="0"/>
          <w:lang w:val="en-US"/>
        </w:rPr>
        <w:t xml:space="preserve"> </w:t>
      </w:r>
    </w:p>
    <w:p w14:paraId="4A36A217" w14:textId="111941BB" w:rsidR="009E048D" w:rsidRDefault="009E048D" w:rsidP="00BB0E93">
      <w:pPr>
        <w:rPr>
          <w:rStyle w:val="Strk"/>
          <w:b w:val="0"/>
          <w:bCs w:val="0"/>
          <w:lang w:val="en-US"/>
        </w:rPr>
      </w:pPr>
    </w:p>
    <w:p w14:paraId="122CA365" w14:textId="77777777" w:rsidR="00BB0E93" w:rsidRPr="00AC31F4" w:rsidRDefault="00BB0E93" w:rsidP="00BB0E93">
      <w:pPr>
        <w:rPr>
          <w:b/>
          <w:bCs/>
          <w:highlight w:val="magenta"/>
          <w:lang w:val="en-US"/>
        </w:rPr>
      </w:pPr>
      <w:r w:rsidRPr="00AC31F4">
        <w:rPr>
          <w:b/>
          <w:bCs/>
          <w:highlight w:val="magenta"/>
          <w:lang w:val="en-US"/>
        </w:rPr>
        <w:t>Imports of goods and services (constant 2015 US$)</w:t>
      </w:r>
    </w:p>
    <w:p w14:paraId="558519FB" w14:textId="77777777" w:rsidR="00BB0E93" w:rsidRDefault="00BB0E93" w:rsidP="00BB0E93">
      <w:pPr>
        <w:rPr>
          <w:rStyle w:val="Strk"/>
          <w:b w:val="0"/>
          <w:bCs w:val="0"/>
          <w:lang w:val="en-US"/>
        </w:rPr>
      </w:pPr>
      <w:r w:rsidRPr="00AC31F4">
        <w:rPr>
          <w:rStyle w:val="Strk"/>
          <w:b w:val="0"/>
          <w:bCs w:val="0"/>
          <w:highlight w:val="magenta"/>
          <w:lang w:val="en-US"/>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14:paraId="6E42862D" w14:textId="77777777" w:rsidR="00BB0E93" w:rsidRDefault="00BB0E93" w:rsidP="00BB0E93">
      <w:pPr>
        <w:rPr>
          <w:rStyle w:val="Strk"/>
          <w:b w:val="0"/>
          <w:bCs w:val="0"/>
          <w:lang w:val="en-US"/>
        </w:rPr>
      </w:pPr>
    </w:p>
    <w:p w14:paraId="09225DF1" w14:textId="77777777" w:rsidR="00BB0E93" w:rsidRPr="003C1362" w:rsidRDefault="00FA2202" w:rsidP="00BB0E93">
      <w:pPr>
        <w:rPr>
          <w:rStyle w:val="Strk"/>
          <w:highlight w:val="yellow"/>
          <w:lang w:val="en-US"/>
        </w:rPr>
      </w:pPr>
      <w:r w:rsidRPr="003C1362">
        <w:rPr>
          <w:rStyle w:val="Strk"/>
          <w:highlight w:val="yellow"/>
          <w:lang w:val="en-US"/>
        </w:rPr>
        <w:t>Income share held by highest 20%</w:t>
      </w:r>
    </w:p>
    <w:p w14:paraId="067AA81E" w14:textId="77777777" w:rsidR="00FA2202" w:rsidRPr="003C1362" w:rsidRDefault="00FA2202" w:rsidP="00BB0E93">
      <w:pPr>
        <w:rPr>
          <w:rStyle w:val="Strk"/>
          <w:b w:val="0"/>
          <w:bCs w:val="0"/>
          <w:highlight w:val="yellow"/>
          <w:lang w:val="en-US"/>
        </w:rPr>
      </w:pPr>
      <w:r w:rsidRPr="003C1362">
        <w:rPr>
          <w:rStyle w:val="Strk"/>
          <w:b w:val="0"/>
          <w:bCs w:val="0"/>
          <w:highlight w:val="yellow"/>
          <w:lang w:val="en-US"/>
        </w:rPr>
        <w:t>Percentage share of income or consumption that accrues to the fifth (wealthiest) quintile.</w:t>
      </w:r>
    </w:p>
    <w:p w14:paraId="2A9037E7" w14:textId="77777777" w:rsidR="00FA2202" w:rsidRPr="003C1362" w:rsidRDefault="00FA2202" w:rsidP="00BB0E93">
      <w:pPr>
        <w:rPr>
          <w:rStyle w:val="Strk"/>
          <w:b w:val="0"/>
          <w:bCs w:val="0"/>
          <w:highlight w:val="yellow"/>
          <w:lang w:val="en-US"/>
        </w:rPr>
      </w:pPr>
    </w:p>
    <w:p w14:paraId="79BD6AD0" w14:textId="77777777" w:rsidR="00FA2202" w:rsidRPr="003C1362" w:rsidRDefault="00FA2202" w:rsidP="00FA2202">
      <w:pPr>
        <w:rPr>
          <w:rStyle w:val="Strk"/>
          <w:highlight w:val="yellow"/>
          <w:lang w:val="en-US"/>
        </w:rPr>
      </w:pPr>
      <w:r w:rsidRPr="003C1362">
        <w:rPr>
          <w:rStyle w:val="Strk"/>
          <w:highlight w:val="yellow"/>
          <w:lang w:val="en-US"/>
        </w:rPr>
        <w:t>Income share held by lowest 20%</w:t>
      </w:r>
    </w:p>
    <w:p w14:paraId="72B79BDB" w14:textId="77777777" w:rsidR="00FA2202" w:rsidRDefault="00FA2202" w:rsidP="00FA2202">
      <w:pPr>
        <w:rPr>
          <w:rStyle w:val="Strk"/>
          <w:b w:val="0"/>
          <w:bCs w:val="0"/>
          <w:lang w:val="en-US"/>
        </w:rPr>
      </w:pPr>
      <w:r w:rsidRPr="003C1362">
        <w:rPr>
          <w:rStyle w:val="Strk"/>
          <w:b w:val="0"/>
          <w:bCs w:val="0"/>
          <w:highlight w:val="yellow"/>
          <w:lang w:val="en-US"/>
        </w:rPr>
        <w:t>Percentage share of income or consumption that accrues to the first (poorest) quintile.</w:t>
      </w:r>
    </w:p>
    <w:p w14:paraId="08E308CA" w14:textId="77777777" w:rsidR="00FA2202" w:rsidRDefault="00FA2202" w:rsidP="00FA2202">
      <w:pPr>
        <w:rPr>
          <w:rStyle w:val="Strk"/>
          <w:b w:val="0"/>
          <w:bCs w:val="0"/>
          <w:lang w:val="en-US"/>
        </w:rPr>
      </w:pPr>
    </w:p>
    <w:p w14:paraId="08D4D3F9" w14:textId="77777777" w:rsidR="00FA2202" w:rsidRDefault="00FA2202" w:rsidP="00FA2202">
      <w:pPr>
        <w:rPr>
          <w:rStyle w:val="Strk"/>
          <w:lang w:val="en-US"/>
        </w:rPr>
      </w:pPr>
      <w:r w:rsidRPr="006B0DC7">
        <w:rPr>
          <w:rStyle w:val="Strk"/>
          <w:lang w:val="en-US"/>
        </w:rPr>
        <w:t>Research and development expenditure (% of GDP)</w:t>
      </w:r>
    </w:p>
    <w:p w14:paraId="67D4BFD6" w14:textId="77777777" w:rsidR="006B0DC7" w:rsidRDefault="006B0DC7" w:rsidP="00FA2202">
      <w:pPr>
        <w:rPr>
          <w:lang w:val="en-US"/>
        </w:rPr>
      </w:pPr>
      <w:r w:rsidRPr="006B0DC7">
        <w:rPr>
          <w:lang w:val="en-US"/>
        </w:rPr>
        <w:t>Gross domestic expenditures on research and development (R&amp;D), expressed as a percent of GDP. They include both capital and current expenditures in the four main sectors: Business enterprise, Government, Higher education, and Private non-profit. R&amp;D covers basic research, applied research, and experimental development.</w:t>
      </w:r>
    </w:p>
    <w:p w14:paraId="7C912422" w14:textId="44496F07" w:rsidR="0046525D" w:rsidRDefault="009E048D" w:rsidP="00FA2202">
      <w:pPr>
        <w:rPr>
          <w:lang w:val="en-US"/>
        </w:rPr>
      </w:pPr>
      <w:r>
        <w:rPr>
          <w:lang w:val="en-US"/>
        </w:rPr>
        <w:t xml:space="preserve">R&amp;D could be interesting as it has been shown before to have an impact on democracy. </w:t>
      </w:r>
      <w:r w:rsidR="0046525D">
        <w:rPr>
          <w:lang w:val="en-US"/>
        </w:rPr>
        <w:t>We hypothesize that R&amp;D expenditure is a good indicator of democracy, as investment into research and development would</w:t>
      </w:r>
      <w:r w:rsidR="00800BC5">
        <w:rPr>
          <w:lang w:val="en-US"/>
        </w:rPr>
        <w:t xml:space="preserve"> encourage creative thought and free thought, there</w:t>
      </w:r>
      <w:r w:rsidR="0046525D">
        <w:rPr>
          <w:lang w:val="en-US"/>
        </w:rPr>
        <w:t xml:space="preserve"> further</w:t>
      </w:r>
      <w:r w:rsidR="00800BC5">
        <w:rPr>
          <w:lang w:val="en-US"/>
        </w:rPr>
        <w:t>ing</w:t>
      </w:r>
      <w:r w:rsidR="0046525D">
        <w:rPr>
          <w:lang w:val="en-US"/>
        </w:rPr>
        <w:t xml:space="preserve"> the democratic process</w:t>
      </w:r>
      <w:r w:rsidR="00800BC5">
        <w:rPr>
          <w:lang w:val="en-US"/>
        </w:rPr>
        <w:t xml:space="preserve">. </w:t>
      </w:r>
      <w:r w:rsidR="00A60F3D">
        <w:rPr>
          <w:lang w:val="en-US"/>
        </w:rPr>
        <w:t>Previous s</w:t>
      </w:r>
      <w:r w:rsidR="00800BC5">
        <w:rPr>
          <w:lang w:val="en-US"/>
        </w:rPr>
        <w:t>tudies have also shown a positive correlation between R&amp;D investment and democracy</w:t>
      </w:r>
      <w:r w:rsidR="008C13BD">
        <w:rPr>
          <w:lang w:val="en-US"/>
        </w:rPr>
        <w:t xml:space="preserve"> </w:t>
      </w:r>
      <w:r w:rsidR="00800BC5">
        <w:rPr>
          <w:lang w:val="en-US"/>
        </w:rPr>
        <w:fldChar w:fldCharType="begin"/>
      </w:r>
      <w:r w:rsidR="00800BC5">
        <w:rPr>
          <w:lang w:val="en-US"/>
        </w:rPr>
        <w:instrText xml:space="preserve"> ADDIN ZOTERO_ITEM CSL_CITATION {"citationID":"nzTq2Q7D","properties":{"formattedCitation":"(Tran, 2022)","plainCitation":"(Tran, 2022)","noteIndex":0},"citationItems":[{"id":108,"uris":["http://zotero.org/users/10748043/items/A4ILIA9Q"],"itemData":{"id":108,"type":"article-journal","abstract":"This paper investigates how a democratic environment affects corporate R&amp;D investment around the world. Using a sample of 114,318 observations from 34 countries over the period 2002–2016, we find that democracy is negatively related to R&amp;D expenditure and positively associated with R&amp;D investment efficiency. These findings imply that a democratic environment helps firms improve their corporate governance and thus reduces their overinvestment in R&amp;D projects. In addition, the effects of democracy on both corporate investment in R&amp;D and investment efficiency are stronger when shareholders have strong legal protections. These effects are also stronger at large and highly leveraged firms.","container-title":"Borsa Istanbul Review","DOI":"10.1016/j.bir.2021.06.013","ISSN":"2214-8450","issue":"3","journalAbbreviation":"Borsa Istanbul Review","language":"en","page":"465-476","source":"ScienceDirect","title":"Democracy and corporate R&amp;D investment","volume":"22","author":[{"family":"Tran","given":"Quoc Trung"}],"issued":{"date-parts":[["2022",5,1]]}}}],"schema":"https://github.com/citation-style-language/schema/raw/master/csl-citation.json"} </w:instrText>
      </w:r>
      <w:r w:rsidR="00800BC5">
        <w:rPr>
          <w:lang w:val="en-US"/>
        </w:rPr>
        <w:fldChar w:fldCharType="separate"/>
      </w:r>
      <w:r w:rsidR="00800BC5" w:rsidRPr="00800BC5">
        <w:rPr>
          <w:rFonts w:ascii="Calibri" w:hAnsi="Calibri" w:cs="Calibri"/>
          <w:lang w:val="en-US"/>
        </w:rPr>
        <w:t>(Tran, 2022)</w:t>
      </w:r>
      <w:r w:rsidR="00800BC5">
        <w:rPr>
          <w:lang w:val="en-US"/>
        </w:rPr>
        <w:fldChar w:fldCharType="end"/>
      </w:r>
      <w:r w:rsidR="00800BC5">
        <w:rPr>
          <w:lang w:val="en-US"/>
        </w:rPr>
        <w:t>.</w:t>
      </w:r>
    </w:p>
    <w:p w14:paraId="67D06069" w14:textId="77777777" w:rsidR="006B0DC7" w:rsidRDefault="006B0DC7" w:rsidP="00FA2202">
      <w:pPr>
        <w:rPr>
          <w:rStyle w:val="Strk"/>
          <w:b w:val="0"/>
          <w:bCs w:val="0"/>
          <w:lang w:val="en-US"/>
        </w:rPr>
      </w:pPr>
    </w:p>
    <w:p w14:paraId="400F9D06" w14:textId="77777777" w:rsidR="006B0DC7" w:rsidRDefault="006B0DC7" w:rsidP="00FA2202">
      <w:pPr>
        <w:rPr>
          <w:rStyle w:val="Strk"/>
          <w:lang w:val="en-US"/>
        </w:rPr>
      </w:pPr>
      <w:r w:rsidRPr="006B0DC7">
        <w:rPr>
          <w:rStyle w:val="Strk"/>
          <w:lang w:val="en-US"/>
        </w:rPr>
        <w:lastRenderedPageBreak/>
        <w:t>Tax revenue (% of GDP)</w:t>
      </w:r>
    </w:p>
    <w:p w14:paraId="3207B2D7" w14:textId="77777777" w:rsidR="006B0DC7" w:rsidRDefault="006B0DC7" w:rsidP="00FA2202">
      <w:pPr>
        <w:rPr>
          <w:rStyle w:val="Strk"/>
          <w:b w:val="0"/>
          <w:bCs w:val="0"/>
          <w:lang w:val="en-US"/>
        </w:rPr>
      </w:pPr>
      <w:r w:rsidRPr="006B0DC7">
        <w:rPr>
          <w:rStyle w:val="Strk"/>
          <w:b w:val="0"/>
          <w:bCs w:val="0"/>
          <w:lang w:val="en-US"/>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14:paraId="29B40158" w14:textId="15BEE8EE" w:rsidR="005C68E5" w:rsidRPr="006B0DC7" w:rsidRDefault="005C68E5" w:rsidP="00FA2202">
      <w:pPr>
        <w:rPr>
          <w:rStyle w:val="Strk"/>
          <w:b w:val="0"/>
          <w:bCs w:val="0"/>
          <w:lang w:val="en-US"/>
        </w:rPr>
      </w:pPr>
      <w:r>
        <w:rPr>
          <w:rStyle w:val="Strk"/>
          <w:b w:val="0"/>
          <w:bCs w:val="0"/>
          <w:lang w:val="en-US"/>
        </w:rPr>
        <w:t xml:space="preserve">We found this interesting as the democracies that we think work best all have high taxes. We think there might be a correlation between tax revenue and democracy. This is backed by previous studies </w:t>
      </w:r>
      <w:r>
        <w:rPr>
          <w:rStyle w:val="Strk"/>
          <w:b w:val="0"/>
          <w:bCs w:val="0"/>
          <w:lang w:val="en-US"/>
        </w:rPr>
        <w:fldChar w:fldCharType="begin"/>
      </w:r>
      <w:r>
        <w:rPr>
          <w:rStyle w:val="Strk"/>
          <w:b w:val="0"/>
          <w:bCs w:val="0"/>
          <w:lang w:val="en-US"/>
        </w:rPr>
        <w:instrText xml:space="preserve"> ADDIN ZOTERO_ITEM CSL_CITATION {"citationID":"0Jy3w0Bz","properties":{"formattedCitation":"(Prichard et al., 2018)","plainCitation":"(Prichard et al., 2018)","noteIndex":0},"citationItems":[{"id":115,"uris":["http://zotero.org/users/10748043/items/3489U9WM"],"itemData":{"id":115,"type":"article-journal","abstract":"A large body of econometric research has generated growing support for the existence of a political resource curse, but has nonetheless continued to be regularly punctuated by research contesting those conclusions. This continuing disagreement can be explained in significant part by problems associated with low-quality government revenue data: it has undermined the robustness of many existing findings, while leading other researchers to rely on alternative measures of resource income as their primary explanatory variable – a highly imperfect measures of the underlying relationship of interest. We re-examine the relationship between taxation, non-tax revenue and democracy by employing dramatically improved data developed specifically for this research. We find the strongest evidence to date of a political resource curse, and provide evidence about the specific details of the underlying relationship: (i) natural resource wealth is anti-democratic, rather than merely stabilizing; (ii) it is driven primarily by changes in the composition of government revenue; (iii) it is best understood as a long-term relationship, rather than short-term changes in resource wealth being quickly translated into major political changes; and (iv) it is driven primarily by oil wealth, rather than mineral wealth, because governments are comparatively effective at translating oil wealth into the government revenues that drive the political resource curse.","container-title":"World Development","DOI":"10.1016/j.worlddev.2018.05.014","ISSN":"0305-750X","journalAbbreviation":"World Development","language":"en","page":"295-312","source":"ScienceDirect","title":"Taxation, non-tax revenue and democracy: New evidence using new cross-country data","title-short":"Taxation, non-tax revenue and democracy","volume":"109","author":[{"family":"Prichard","given":"Wilson"},{"family":"Salardi","given":"Paola"},{"family":"Segal","given":"Paul"}],"issued":{"date-parts":[["2018",9,1]]}}}],"schema":"https://github.com/citation-style-language/schema/raw/master/csl-citation.json"} </w:instrText>
      </w:r>
      <w:r>
        <w:rPr>
          <w:rStyle w:val="Strk"/>
          <w:b w:val="0"/>
          <w:bCs w:val="0"/>
          <w:lang w:val="en-US"/>
        </w:rPr>
        <w:fldChar w:fldCharType="separate"/>
      </w:r>
      <w:r w:rsidRPr="007F3ECD">
        <w:rPr>
          <w:rFonts w:ascii="Calibri" w:hAnsi="Calibri" w:cs="Calibri"/>
          <w:lang w:val="en-US"/>
        </w:rPr>
        <w:t>(Prichard et al., 2018)</w:t>
      </w:r>
      <w:r>
        <w:rPr>
          <w:rStyle w:val="Strk"/>
          <w:b w:val="0"/>
          <w:bCs w:val="0"/>
          <w:lang w:val="en-US"/>
        </w:rPr>
        <w:fldChar w:fldCharType="end"/>
      </w:r>
      <w:r>
        <w:rPr>
          <w:rStyle w:val="Strk"/>
          <w:b w:val="0"/>
          <w:bCs w:val="0"/>
          <w:lang w:val="en-US"/>
        </w:rPr>
        <w:t>.</w:t>
      </w:r>
    </w:p>
    <w:p w14:paraId="6C64BCC4" w14:textId="77777777" w:rsidR="00FA2202" w:rsidRDefault="00FA2202" w:rsidP="00BB0E93">
      <w:pPr>
        <w:rPr>
          <w:rStyle w:val="Strk"/>
          <w:b w:val="0"/>
          <w:bCs w:val="0"/>
          <w:lang w:val="en-US"/>
        </w:rPr>
      </w:pPr>
    </w:p>
    <w:p w14:paraId="6FAAA329" w14:textId="77777777" w:rsidR="009950ED" w:rsidRDefault="009950ED" w:rsidP="00BB0E93">
      <w:pPr>
        <w:rPr>
          <w:b/>
          <w:bCs/>
          <w:lang w:val="en-US"/>
        </w:rPr>
      </w:pPr>
      <w:r w:rsidRPr="009950ED">
        <w:rPr>
          <w:b/>
          <w:bCs/>
          <w:lang w:val="en-US"/>
        </w:rPr>
        <w:t>Total natural resources rents (% of GDP)</w:t>
      </w:r>
    </w:p>
    <w:p w14:paraId="004254C2" w14:textId="42D9228A" w:rsidR="009950ED" w:rsidRDefault="009950ED" w:rsidP="00BB0E93">
      <w:pPr>
        <w:rPr>
          <w:rStyle w:val="Strk"/>
          <w:b w:val="0"/>
          <w:bCs w:val="0"/>
          <w:lang w:val="en-US"/>
        </w:rPr>
      </w:pPr>
      <w:r w:rsidRPr="009950ED">
        <w:rPr>
          <w:rStyle w:val="Strk"/>
          <w:b w:val="0"/>
          <w:bCs w:val="0"/>
          <w:lang w:val="en-US"/>
        </w:rPr>
        <w:t>Total natural resources rents are the sum of oil rents, natural gas rents, coal rents (hard and soft), mineral rents, and forest rents.</w:t>
      </w:r>
    </w:p>
    <w:p w14:paraId="1F0ED9E2" w14:textId="1D30196B" w:rsidR="00AE02C1" w:rsidRDefault="00AE02C1" w:rsidP="00BB0E93">
      <w:pPr>
        <w:rPr>
          <w:rStyle w:val="Strk"/>
          <w:b w:val="0"/>
          <w:bCs w:val="0"/>
          <w:lang w:val="en-US"/>
        </w:rPr>
      </w:pPr>
      <w:r>
        <w:rPr>
          <w:rStyle w:val="Strk"/>
          <w:b w:val="0"/>
          <w:bCs w:val="0"/>
          <w:lang w:val="en-US"/>
        </w:rPr>
        <w:t>We found this interesting as we hypothesize that this would be a negative correlation, as anecdotally we would think that countries with a high score in this would be middle eastern countries and countries with lower GDP, where their main export is natural resources. These are countries that we thought of as not having a high democracy score.</w:t>
      </w:r>
      <w:r w:rsidR="008C13BD">
        <w:rPr>
          <w:rStyle w:val="Strk"/>
          <w:b w:val="0"/>
          <w:bCs w:val="0"/>
          <w:lang w:val="en-US"/>
        </w:rPr>
        <w:t xml:space="preserve"> It has been shown that political stability suffers under </w:t>
      </w:r>
      <w:r w:rsidR="007F3ECD">
        <w:rPr>
          <w:rStyle w:val="Strk"/>
          <w:b w:val="0"/>
          <w:bCs w:val="0"/>
          <w:lang w:val="en-US"/>
        </w:rPr>
        <w:t xml:space="preserve">natural </w:t>
      </w:r>
      <w:r w:rsidR="008C13BD">
        <w:rPr>
          <w:rStyle w:val="Strk"/>
          <w:b w:val="0"/>
          <w:bCs w:val="0"/>
          <w:lang w:val="en-US"/>
        </w:rPr>
        <w:t xml:space="preserve">resources rent </w:t>
      </w:r>
      <w:r w:rsidR="008C13BD">
        <w:rPr>
          <w:rStyle w:val="Strk"/>
          <w:b w:val="0"/>
          <w:bCs w:val="0"/>
          <w:lang w:val="en-US"/>
        </w:rPr>
        <w:fldChar w:fldCharType="begin"/>
      </w:r>
      <w:r w:rsidR="008C13BD">
        <w:rPr>
          <w:rStyle w:val="Strk"/>
          <w:b w:val="0"/>
          <w:bCs w:val="0"/>
          <w:lang w:val="en-US"/>
        </w:rPr>
        <w:instrText xml:space="preserve"> ADDIN ZOTERO_ITEM CSL_CITATION {"citationID":"EnEr7wXa","properties":{"formattedCitation":"(Zall\\uc0\\u233{}, 2023)","plainCitation":"(Zallé, 2023)","noteIndex":0},"citationItems":[{"id":113,"uris":["http://zotero.org/users/10748043/items/MZUE75AQ"],"itemData":{"id":113,"type":"article-journal","abstract":"Natural resource abundance is sometimes seen as both a blessing and a curse by the possessing countries. However, the conclusions that are drawn for either of these scenarios are questionable, as they are based on an ad hoc selection of countries. This paper analyzes the effects of natural resource abundance on political regime durability based on an endogenous classification of countries. A finite mixture model is applied to a large sample of 129 countries over the 1980–2020 period. The results show that patterns of political regime durability can be segmented into three regime types. The first type is characterized by the absence of a link between natural resources and regime durability. The second type reflects the fact that natural resource rents reinforce political regime durability. The third type is marked by a reduction in political regime durability by natural resource abundance. The results also show that countries at low risk for internal and external conflicts and ethnic tensions are more likely to belong to the second regime type. Finally, countries with a high risk of corruption and poor socioeconomic conditions are less likely to belong to the third regime type. These results underscore the need for resource-rich countries to improve institutional quality by reducing the risks associated with conflict, tension, and corruption.","container-title":"Resources Policy","DOI":"10.1016/j.resourpol.2023.103318","ISSN":"0301-4207","journalAbbreviation":"Resources Policy","language":"en","page":"103318","source":"ScienceDirect","title":"Natural resource rents and regime durability: Identifying cross-country durability regimes","title-short":"Natural resource rents and regime durability","volume":"81","author":[{"family":"Zallé","given":"Oumarou"}],"issued":{"date-parts":[["2023",3,1]]}}}],"schema":"https://github.com/citation-style-language/schema/raw/master/csl-citation.json"} </w:instrText>
      </w:r>
      <w:r w:rsidR="008C13BD">
        <w:rPr>
          <w:rStyle w:val="Strk"/>
          <w:b w:val="0"/>
          <w:bCs w:val="0"/>
          <w:lang w:val="en-US"/>
        </w:rPr>
        <w:fldChar w:fldCharType="separate"/>
      </w:r>
      <w:r w:rsidR="008C13BD" w:rsidRPr="008C13BD">
        <w:rPr>
          <w:rFonts w:ascii="Calibri" w:hAnsi="Calibri" w:cs="Calibri"/>
          <w:szCs w:val="24"/>
          <w:lang w:val="en-US"/>
        </w:rPr>
        <w:t>(Zallé, 2023)</w:t>
      </w:r>
      <w:r w:rsidR="008C13BD">
        <w:rPr>
          <w:rStyle w:val="Strk"/>
          <w:b w:val="0"/>
          <w:bCs w:val="0"/>
          <w:lang w:val="en-US"/>
        </w:rPr>
        <w:fldChar w:fldCharType="end"/>
      </w:r>
      <w:r w:rsidR="008C13BD">
        <w:rPr>
          <w:rStyle w:val="Strk"/>
          <w:b w:val="0"/>
          <w:bCs w:val="0"/>
          <w:lang w:val="en-US"/>
        </w:rPr>
        <w:t>.</w:t>
      </w:r>
    </w:p>
    <w:p w14:paraId="0BBA4982" w14:textId="77777777" w:rsidR="009950ED" w:rsidRDefault="009950ED" w:rsidP="00BB0E93">
      <w:pPr>
        <w:rPr>
          <w:rStyle w:val="Strk"/>
          <w:b w:val="0"/>
          <w:bCs w:val="0"/>
          <w:lang w:val="en-US"/>
        </w:rPr>
      </w:pPr>
    </w:p>
    <w:p w14:paraId="04A2A818" w14:textId="77777777" w:rsidR="009950ED" w:rsidRPr="003C1362" w:rsidRDefault="009950ED" w:rsidP="00BB0E93">
      <w:pPr>
        <w:rPr>
          <w:b/>
          <w:bCs/>
          <w:highlight w:val="yellow"/>
          <w:lang w:val="en-US"/>
        </w:rPr>
      </w:pPr>
      <w:r w:rsidRPr="003C1362">
        <w:rPr>
          <w:b/>
          <w:bCs/>
          <w:highlight w:val="yellow"/>
          <w:lang w:val="en-US"/>
        </w:rPr>
        <w:t>Universal Economic Fitness Metric</w:t>
      </w:r>
    </w:p>
    <w:p w14:paraId="6F17547B" w14:textId="77777777" w:rsidR="009950ED" w:rsidRPr="009950ED" w:rsidRDefault="009950ED" w:rsidP="00BB0E93">
      <w:pPr>
        <w:rPr>
          <w:rStyle w:val="Strk"/>
          <w:b w:val="0"/>
          <w:bCs w:val="0"/>
          <w:lang w:val="en-US"/>
        </w:rPr>
      </w:pPr>
      <w:r w:rsidRPr="003C1362">
        <w:rPr>
          <w:highlight w:val="yellow"/>
          <w:lang w:val="en-US"/>
        </w:rPr>
        <w:t xml:space="preserve">Universal Economic Fitness (UEF) </w:t>
      </w:r>
      <w:r w:rsidR="006223E7" w:rsidRPr="003C1362">
        <w:rPr>
          <w:highlight w:val="yellow"/>
          <w:lang w:val="en-US"/>
        </w:rPr>
        <w:t xml:space="preserve">includes </w:t>
      </w:r>
      <w:r w:rsidRPr="003C1362">
        <w:rPr>
          <w:highlight w:val="yellow"/>
          <w:lang w:val="en-US"/>
        </w:rPr>
        <w:t>both a measure of a country’s diversification and ability to produce complex goods on a globally competitive basis.</w:t>
      </w:r>
      <w:r>
        <w:rPr>
          <w:lang w:val="en-US"/>
        </w:rPr>
        <w:t xml:space="preserve"> </w:t>
      </w:r>
    </w:p>
    <w:sectPr w:rsidR="009950ED" w:rsidRPr="009950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47"/>
    <w:rsid w:val="00070E47"/>
    <w:rsid w:val="002E0A43"/>
    <w:rsid w:val="00327285"/>
    <w:rsid w:val="003A74D1"/>
    <w:rsid w:val="003C1362"/>
    <w:rsid w:val="0046525D"/>
    <w:rsid w:val="0049611C"/>
    <w:rsid w:val="004F0B62"/>
    <w:rsid w:val="005C68E5"/>
    <w:rsid w:val="006223E7"/>
    <w:rsid w:val="006B0DC7"/>
    <w:rsid w:val="007C18AE"/>
    <w:rsid w:val="007F3ECD"/>
    <w:rsid w:val="00800BC5"/>
    <w:rsid w:val="008A3BC5"/>
    <w:rsid w:val="008C13BD"/>
    <w:rsid w:val="009950ED"/>
    <w:rsid w:val="009A3F2A"/>
    <w:rsid w:val="009E048D"/>
    <w:rsid w:val="009F6C39"/>
    <w:rsid w:val="00A437CD"/>
    <w:rsid w:val="00A60F3D"/>
    <w:rsid w:val="00AC31F4"/>
    <w:rsid w:val="00AC380F"/>
    <w:rsid w:val="00AE02C1"/>
    <w:rsid w:val="00AF32EA"/>
    <w:rsid w:val="00B510AF"/>
    <w:rsid w:val="00BA44BF"/>
    <w:rsid w:val="00BB0E93"/>
    <w:rsid w:val="00F95BED"/>
    <w:rsid w:val="00FA22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6C8B"/>
  <w15:chartTrackingRefBased/>
  <w15:docId w15:val="{60A14BAF-1E46-460F-A262-02DC1E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0E47"/>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7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8963">
      <w:bodyDiv w:val="1"/>
      <w:marLeft w:val="0"/>
      <w:marRight w:val="0"/>
      <w:marTop w:val="0"/>
      <w:marBottom w:val="0"/>
      <w:divBdr>
        <w:top w:val="none" w:sz="0" w:space="0" w:color="auto"/>
        <w:left w:val="none" w:sz="0" w:space="0" w:color="auto"/>
        <w:bottom w:val="none" w:sz="0" w:space="0" w:color="auto"/>
        <w:right w:val="none" w:sz="0" w:space="0" w:color="auto"/>
      </w:divBdr>
    </w:div>
    <w:div w:id="555354214">
      <w:bodyDiv w:val="1"/>
      <w:marLeft w:val="0"/>
      <w:marRight w:val="0"/>
      <w:marTop w:val="0"/>
      <w:marBottom w:val="0"/>
      <w:divBdr>
        <w:top w:val="none" w:sz="0" w:space="0" w:color="auto"/>
        <w:left w:val="none" w:sz="0" w:space="0" w:color="auto"/>
        <w:bottom w:val="none" w:sz="0" w:space="0" w:color="auto"/>
        <w:right w:val="none" w:sz="0" w:space="0" w:color="auto"/>
      </w:divBdr>
    </w:div>
    <w:div w:id="666402771">
      <w:bodyDiv w:val="1"/>
      <w:marLeft w:val="0"/>
      <w:marRight w:val="0"/>
      <w:marTop w:val="0"/>
      <w:marBottom w:val="0"/>
      <w:divBdr>
        <w:top w:val="none" w:sz="0" w:space="0" w:color="auto"/>
        <w:left w:val="none" w:sz="0" w:space="0" w:color="auto"/>
        <w:bottom w:val="none" w:sz="0" w:space="0" w:color="auto"/>
        <w:right w:val="none" w:sz="0" w:space="0" w:color="auto"/>
      </w:divBdr>
    </w:div>
    <w:div w:id="694306582">
      <w:bodyDiv w:val="1"/>
      <w:marLeft w:val="0"/>
      <w:marRight w:val="0"/>
      <w:marTop w:val="0"/>
      <w:marBottom w:val="0"/>
      <w:divBdr>
        <w:top w:val="none" w:sz="0" w:space="0" w:color="auto"/>
        <w:left w:val="none" w:sz="0" w:space="0" w:color="auto"/>
        <w:bottom w:val="none" w:sz="0" w:space="0" w:color="auto"/>
        <w:right w:val="none" w:sz="0" w:space="0" w:color="auto"/>
      </w:divBdr>
    </w:div>
    <w:div w:id="896084724">
      <w:bodyDiv w:val="1"/>
      <w:marLeft w:val="0"/>
      <w:marRight w:val="0"/>
      <w:marTop w:val="0"/>
      <w:marBottom w:val="0"/>
      <w:divBdr>
        <w:top w:val="none" w:sz="0" w:space="0" w:color="auto"/>
        <w:left w:val="none" w:sz="0" w:space="0" w:color="auto"/>
        <w:bottom w:val="none" w:sz="0" w:space="0" w:color="auto"/>
        <w:right w:val="none" w:sz="0" w:space="0" w:color="auto"/>
      </w:divBdr>
    </w:div>
    <w:div w:id="967471981">
      <w:bodyDiv w:val="1"/>
      <w:marLeft w:val="0"/>
      <w:marRight w:val="0"/>
      <w:marTop w:val="0"/>
      <w:marBottom w:val="0"/>
      <w:divBdr>
        <w:top w:val="none" w:sz="0" w:space="0" w:color="auto"/>
        <w:left w:val="none" w:sz="0" w:space="0" w:color="auto"/>
        <w:bottom w:val="none" w:sz="0" w:space="0" w:color="auto"/>
        <w:right w:val="none" w:sz="0" w:space="0" w:color="auto"/>
      </w:divBdr>
    </w:div>
    <w:div w:id="1515807310">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877112596">
      <w:bodyDiv w:val="1"/>
      <w:marLeft w:val="0"/>
      <w:marRight w:val="0"/>
      <w:marTop w:val="0"/>
      <w:marBottom w:val="0"/>
      <w:divBdr>
        <w:top w:val="none" w:sz="0" w:space="0" w:color="auto"/>
        <w:left w:val="none" w:sz="0" w:space="0" w:color="auto"/>
        <w:bottom w:val="none" w:sz="0" w:space="0" w:color="auto"/>
        <w:right w:val="none" w:sz="0" w:space="0" w:color="auto"/>
      </w:divBdr>
    </w:div>
    <w:div w:id="1889491350">
      <w:bodyDiv w:val="1"/>
      <w:marLeft w:val="0"/>
      <w:marRight w:val="0"/>
      <w:marTop w:val="0"/>
      <w:marBottom w:val="0"/>
      <w:divBdr>
        <w:top w:val="none" w:sz="0" w:space="0" w:color="auto"/>
        <w:left w:val="none" w:sz="0" w:space="0" w:color="auto"/>
        <w:bottom w:val="none" w:sz="0" w:space="0" w:color="auto"/>
        <w:right w:val="none" w:sz="0" w:space="0" w:color="auto"/>
      </w:divBdr>
    </w:div>
    <w:div w:id="1903521737">
      <w:bodyDiv w:val="1"/>
      <w:marLeft w:val="0"/>
      <w:marRight w:val="0"/>
      <w:marTop w:val="0"/>
      <w:marBottom w:val="0"/>
      <w:divBdr>
        <w:top w:val="none" w:sz="0" w:space="0" w:color="auto"/>
        <w:left w:val="none" w:sz="0" w:space="0" w:color="auto"/>
        <w:bottom w:val="none" w:sz="0" w:space="0" w:color="auto"/>
        <w:right w:val="none" w:sz="0" w:space="0" w:color="auto"/>
      </w:divBdr>
    </w:div>
    <w:div w:id="1960915455">
      <w:bodyDiv w:val="1"/>
      <w:marLeft w:val="0"/>
      <w:marRight w:val="0"/>
      <w:marTop w:val="0"/>
      <w:marBottom w:val="0"/>
      <w:divBdr>
        <w:top w:val="none" w:sz="0" w:space="0" w:color="auto"/>
        <w:left w:val="none" w:sz="0" w:space="0" w:color="auto"/>
        <w:bottom w:val="none" w:sz="0" w:space="0" w:color="auto"/>
        <w:right w:val="none" w:sz="0" w:space="0" w:color="auto"/>
      </w:divBdr>
    </w:div>
    <w:div w:id="2047750797">
      <w:bodyDiv w:val="1"/>
      <w:marLeft w:val="0"/>
      <w:marRight w:val="0"/>
      <w:marTop w:val="0"/>
      <w:marBottom w:val="0"/>
      <w:divBdr>
        <w:top w:val="none" w:sz="0" w:space="0" w:color="auto"/>
        <w:left w:val="none" w:sz="0" w:space="0" w:color="auto"/>
        <w:bottom w:val="none" w:sz="0" w:space="0" w:color="auto"/>
        <w:right w:val="none" w:sz="0" w:space="0" w:color="auto"/>
      </w:divBdr>
    </w:div>
    <w:div w:id="20501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3</Pages>
  <Words>2601</Words>
  <Characters>15870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Martinus von Essen-Müller</cp:lastModifiedBy>
  <cp:revision>16</cp:revision>
  <dcterms:created xsi:type="dcterms:W3CDTF">2023-03-24T13:04:00Z</dcterms:created>
  <dcterms:modified xsi:type="dcterms:W3CDTF">2023-04-29T11:43:00Z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id="sBekHh3A"/&gt;&lt;style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