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2C08" w14:textId="77777777" w:rsidR="00426667" w:rsidRDefault="00426667" w:rsidP="00426667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Corporatism paper – theory </w:t>
      </w:r>
    </w:p>
    <w:p w14:paraId="1E1A0B85" w14:textId="77777777" w:rsidR="00426667" w:rsidRDefault="00426667" w:rsidP="00426667">
      <w:pPr>
        <w:pStyle w:val="ListBullet"/>
      </w:pPr>
      <w:r>
        <w:t xml:space="preserve">Core voters </w:t>
      </w:r>
    </w:p>
    <w:p w14:paraId="6838B445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Social democrats == union members </w:t>
      </w:r>
    </w:p>
    <w:p w14:paraId="6268BBCB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Christian democrats/Centre right == business </w:t>
      </w:r>
    </w:p>
    <w:p w14:paraId="66F936D5" w14:textId="77777777" w:rsidR="00426667" w:rsidRDefault="00426667" w:rsidP="00426667">
      <w:pPr>
        <w:pStyle w:val="ListBullet"/>
      </w:pPr>
      <w:r>
        <w:t>General public opinion [exogenous public opinion shocks, pro/anti climate]</w:t>
      </w:r>
    </w:p>
    <w:p w14:paraId="01B96C4A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Institutional reasons [electoral system] why some matter more than others </w:t>
      </w:r>
    </w:p>
    <w:p w14:paraId="417BFD5E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Core voters </w:t>
      </w:r>
    </w:p>
    <w:p w14:paraId="4CB3D89D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>???</w:t>
      </w:r>
    </w:p>
    <w:p w14:paraId="2A89EB3C" w14:textId="77777777" w:rsidR="00426667" w:rsidRDefault="00426667" w:rsidP="00426667">
      <w:pPr>
        <w:pStyle w:val="ListBullet"/>
      </w:pPr>
      <w:r>
        <w:t xml:space="preserve">Party competition </w:t>
      </w:r>
    </w:p>
    <w:p w14:paraId="08121B5E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MVT logic </w:t>
      </w:r>
    </w:p>
    <w:p w14:paraId="39B08BF6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Core voters’/constituencies’ interests </w:t>
      </w:r>
    </w:p>
    <w:p w14:paraId="44F639A7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Strength of green party </w:t>
      </w:r>
    </w:p>
    <w:p w14:paraId="350E9AFA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080"/>
      </w:pPr>
      <w:r>
        <w:t xml:space="preserve">Low strength == allows for greater movement against pro-climate opinion because worse opportunities for desertion </w:t>
      </w:r>
    </w:p>
    <w:p w14:paraId="0C5C4476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080"/>
      </w:pPr>
      <w:r>
        <w:t>High strength == allows for less movement against pro-climate opinion because better opportunities for desertion</w:t>
      </w:r>
    </w:p>
    <w:p w14:paraId="4ABB1BF6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Corporatism constraint </w:t>
      </w:r>
    </w:p>
    <w:p w14:paraId="072C95F2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080"/>
      </w:pPr>
      <w:r>
        <w:t xml:space="preserve">Social democrats cannot soak business </w:t>
      </w:r>
    </w:p>
    <w:p w14:paraId="548115C4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080"/>
      </w:pPr>
      <w:r>
        <w:t xml:space="preserve">Centre right cannot completely ignore workers’ concerns </w:t>
      </w:r>
    </w:p>
    <w:p w14:paraId="772CEA86" w14:textId="77777777" w:rsidR="00426667" w:rsidRDefault="00426667" w:rsidP="00426667">
      <w:pPr>
        <w:pStyle w:val="ListBullet"/>
        <w:numPr>
          <w:ilvl w:val="0"/>
          <w:numId w:val="0"/>
        </w:numPr>
        <w:ind w:left="1080"/>
      </w:pPr>
      <w:r>
        <w:t>----------------------------------------------------------------------------------------------------</w:t>
      </w:r>
    </w:p>
    <w:p w14:paraId="112E0D38" w14:textId="77777777" w:rsidR="00426667" w:rsidRDefault="00426667" w:rsidP="00426667">
      <w:pPr>
        <w:pStyle w:val="ListBullet"/>
      </w:pPr>
      <w:commentRangeStart w:id="0"/>
      <w:commentRangeStart w:id="1"/>
      <w:r>
        <w:t xml:space="preserve">Constellations/configurations  </w:t>
      </w:r>
    </w:p>
    <w:p w14:paraId="2EBDDE9C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1080"/>
      </w:pPr>
      <w:commentRangeStart w:id="2"/>
      <w:commentRangeStart w:id="3"/>
      <w:r>
        <w:t xml:space="preserve">Pro-climate opinion shock, but core constituencies of centre-left and centre-right negatively affected by climate policy </w:t>
      </w:r>
      <w:r>
        <w:tab/>
      </w:r>
    </w:p>
    <w:p w14:paraId="4511C22A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 xml:space="preserve">Public opinion shock pushes towards more climate policy because of median voter logic, though this depends on </w:t>
      </w:r>
    </w:p>
    <w:p w14:paraId="5552A7A3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 xml:space="preserve">certainty about MVT’s position </w:t>
      </w:r>
    </w:p>
    <w:p w14:paraId="5EF60502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>Core constituency interests push in the opposite direction</w:t>
      </w:r>
    </w:p>
    <w:p w14:paraId="1F2B140A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 xml:space="preserve">No clear prediction regarding stringency? [maybe yes, because both cores are against so that it should be negative?]; structure depends on nature of adverse consequences for both core constituencies </w:t>
      </w:r>
    </w:p>
    <w:p w14:paraId="52AC9634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>Examples? Pendlerpauschale?</w:t>
      </w:r>
    </w:p>
    <w:p w14:paraId="420B292C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1080"/>
      </w:pPr>
      <w:r>
        <w:t>Pro-climate opinion shock, but core constituency of centre-left negatively affected by climate policy, not so much core constituency of centre-right</w:t>
      </w:r>
    </w:p>
    <w:p w14:paraId="4137667C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 xml:space="preserve">Public opinion shock pushes towards more climate policy because of median voter logic </w:t>
      </w:r>
    </w:p>
    <w:p w14:paraId="0563734D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 xml:space="preserve">Centre-right follows MVT logic, but its instrument choice is affected by centre left tension </w:t>
      </w:r>
    </w:p>
    <w:p w14:paraId="534AF2B1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Low salience instruments [inefficient]: Higher ambition [Can we make that prediction?], but realised with more inefficient instruments, i.e. at greater cost</w:t>
      </w:r>
    </w:p>
    <w:p w14:paraId="7D4D4019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>Centre left’s movement depends on:</w:t>
      </w:r>
    </w:p>
    <w:p w14:paraId="17A0EA15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relative strength of public opinion and core voters’ interests [they will weigh stronger, the weaker unions are; explain this at greater length]</w:t>
      </w:r>
    </w:p>
    <w:p w14:paraId="1340E9CB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 xml:space="preserve">certainty about MVT’s position </w:t>
      </w:r>
    </w:p>
    <w:p w14:paraId="3C55D322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lastRenderedPageBreak/>
        <w:t xml:space="preserve">willingness of core voters to desert to Green party </w:t>
      </w:r>
    </w:p>
    <w:p w14:paraId="439196A5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coalition inclusion probability?</w:t>
      </w:r>
    </w:p>
    <w:p w14:paraId="434D02DF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1080"/>
      </w:pPr>
      <w:r>
        <w:t xml:space="preserve">Pro-climate opinion shock, but core constituency of centre-right negatively affected by climate policy, not so much core constituency of centre-left </w:t>
      </w:r>
    </w:p>
    <w:p w14:paraId="7C73F110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 xml:space="preserve">Public opinion shock pushes towards more climate policy because of median voter logic </w:t>
      </w:r>
    </w:p>
    <w:p w14:paraId="06F3DAAB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 xml:space="preserve">Centre-left follows MVT logic, but its instrument choice is affected by centre right tension </w:t>
      </w:r>
    </w:p>
    <w:p w14:paraId="54187C4E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Pricing instruments with exemptions [e.g. free allocations] and only moderate compensation [because centre right represents rich]</w:t>
      </w:r>
    </w:p>
    <w:p w14:paraId="4A65A04A" w14:textId="77777777" w:rsidR="00426667" w:rsidRDefault="00426667" w:rsidP="00426667">
      <w:pPr>
        <w:pStyle w:val="ListBullet"/>
        <w:tabs>
          <w:tab w:val="clear" w:pos="360"/>
          <w:tab w:val="num" w:pos="2160"/>
        </w:tabs>
        <w:ind w:left="2520"/>
      </w:pPr>
      <w:r>
        <w:t>“Inefficiencies” depend on extent and nature of businesses’ vulnerability -&gt; higher ambition?</w:t>
      </w:r>
    </w:p>
    <w:p w14:paraId="37C31C90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>Centre-right’s movement depends on</w:t>
      </w:r>
    </w:p>
    <w:p w14:paraId="532B8672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 xml:space="preserve">relative strength of public opinion and loyalty of their core voters </w:t>
      </w:r>
    </w:p>
    <w:p w14:paraId="47D19DDA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 xml:space="preserve">certainty about MVT’s position </w:t>
      </w:r>
    </w:p>
    <w:p w14:paraId="4FA19740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commentRangeStart w:id="4"/>
      <w:r>
        <w:t>willingness of core voters to desert to Green party [attractiveness for the rich]</w:t>
      </w:r>
      <w:commentRangeEnd w:id="4"/>
      <w:r>
        <w:rPr>
          <w:rStyle w:val="CommentReference"/>
          <w:kern w:val="0"/>
          <w14:ligatures w14:val="none"/>
        </w:rPr>
        <w:commentReference w:id="4"/>
      </w:r>
    </w:p>
    <w:p w14:paraId="0534510A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coalition inclusion probability?</w:t>
      </w:r>
    </w:p>
    <w:p w14:paraId="4315977E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1080"/>
      </w:pPr>
      <w:r>
        <w:t xml:space="preserve">Pro-climate opinion shock – neither core constituency negatively affected, perhaps even positively affected </w:t>
      </w:r>
    </w:p>
    <w:p w14:paraId="2E6192B8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 xml:space="preserve">Public opinion shock pushes towards more climate policy because of median voter logic </w:t>
      </w:r>
    </w:p>
    <w:p w14:paraId="70465D6E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 xml:space="preserve">Both parties adopt more pro-climate positions because of MVT logic </w:t>
      </w:r>
    </w:p>
    <w:p w14:paraId="567B34D4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Core constituencies’ interests and public opinion reinforce one another – no tension, though strength of incentive depends on</w:t>
      </w:r>
    </w:p>
    <w:p w14:paraId="4FA68A32" w14:textId="77777777" w:rsidR="00426667" w:rsidRDefault="00426667" w:rsidP="00426667">
      <w:pPr>
        <w:pStyle w:val="ListBullet"/>
        <w:tabs>
          <w:tab w:val="clear" w:pos="360"/>
          <w:tab w:val="num" w:pos="2160"/>
        </w:tabs>
        <w:ind w:left="2520"/>
      </w:pPr>
      <w:r>
        <w:t xml:space="preserve"> uncertainty about median voter’s position </w:t>
      </w:r>
    </w:p>
    <w:p w14:paraId="4310908E" w14:textId="77777777" w:rsidR="00426667" w:rsidRDefault="00426667" w:rsidP="00426667">
      <w:pPr>
        <w:pStyle w:val="ListBullet"/>
        <w:tabs>
          <w:tab w:val="clear" w:pos="360"/>
          <w:tab w:val="num" w:pos="2160"/>
        </w:tabs>
        <w:ind w:left="2520"/>
      </w:pPr>
      <w:r>
        <w:t>Valence advantage of Greens [if higher, then incentive for pro-climate movement might be blunted]</w:t>
      </w:r>
    </w:p>
    <w:p w14:paraId="6D86831B" w14:textId="77777777" w:rsidR="00426667" w:rsidRPr="004F08B2" w:rsidRDefault="00426667" w:rsidP="00426667">
      <w:pPr>
        <w:pStyle w:val="ListBullet"/>
        <w:tabs>
          <w:tab w:val="clear" w:pos="360"/>
          <w:tab w:val="num" w:pos="1800"/>
        </w:tabs>
        <w:ind w:left="2160"/>
        <w:rPr>
          <w:b/>
          <w:bCs/>
        </w:rPr>
      </w:pPr>
      <w:r w:rsidRPr="004F08B2">
        <w:rPr>
          <w:b/>
          <w:bCs/>
        </w:rPr>
        <w:t xml:space="preserve">Prediction: Higher stringency/level of ambition </w:t>
      </w:r>
    </w:p>
    <w:p w14:paraId="5C6095BF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>What about structure?</w:t>
      </w:r>
    </w:p>
    <w:p w14:paraId="005DB2CE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Probably pretty close to the Finnegan-type sweet spot [carbon pricing + compensation]</w:t>
      </w:r>
      <w:commentRangeEnd w:id="0"/>
      <w:r>
        <w:rPr>
          <w:rStyle w:val="CommentReference"/>
          <w:kern w:val="0"/>
          <w14:ligatures w14:val="none"/>
        </w:rPr>
        <w:commentReference w:id="0"/>
      </w:r>
      <w:commentRangeEnd w:id="1"/>
      <w:r>
        <w:rPr>
          <w:rStyle w:val="CommentReference"/>
          <w:kern w:val="0"/>
          <w14:ligatures w14:val="none"/>
        </w:rPr>
        <w:commentReference w:id="1"/>
      </w:r>
      <w:commentRangeEnd w:id="2"/>
      <w:r>
        <w:rPr>
          <w:rStyle w:val="CommentReference"/>
          <w:kern w:val="0"/>
          <w14:ligatures w14:val="none"/>
        </w:rPr>
        <w:commentReference w:id="2"/>
      </w:r>
      <w:commentRangeEnd w:id="3"/>
      <w:r>
        <w:rPr>
          <w:rStyle w:val="CommentReference"/>
          <w:kern w:val="0"/>
          <w14:ligatures w14:val="none"/>
        </w:rPr>
        <w:commentReference w:id="3"/>
      </w:r>
    </w:p>
    <w:p w14:paraId="25A14A53" w14:textId="77777777" w:rsidR="00426667" w:rsidRDefault="00426667" w:rsidP="00426667">
      <w:pPr>
        <w:pStyle w:val="ListBullet"/>
        <w:numPr>
          <w:ilvl w:val="0"/>
          <w:numId w:val="0"/>
        </w:numPr>
      </w:pPr>
    </w:p>
    <w:p w14:paraId="37AD228D" w14:textId="77777777" w:rsidR="00426667" w:rsidRPr="00101D79" w:rsidRDefault="00426667" w:rsidP="00426667">
      <w:pPr>
        <w:pStyle w:val="ListBullet"/>
      </w:pPr>
      <w:r>
        <w:rPr>
          <w:i/>
          <w:iCs/>
        </w:rPr>
        <w:t xml:space="preserve">Go through constellations for anti-climate public opinion shock. </w:t>
      </w:r>
    </w:p>
    <w:p w14:paraId="08135FA1" w14:textId="77777777" w:rsidR="00426667" w:rsidRDefault="00426667" w:rsidP="00426667">
      <w:pPr>
        <w:pStyle w:val="ListParagraph"/>
      </w:pPr>
    </w:p>
    <w:p w14:paraId="6A48663F" w14:textId="77777777" w:rsidR="00426667" w:rsidRDefault="00426667" w:rsidP="00426667">
      <w:pPr>
        <w:pStyle w:val="ListBullet"/>
      </w:pPr>
      <w:r>
        <w:t xml:space="preserve">Think about visualisation of the problem. </w:t>
      </w:r>
    </w:p>
    <w:p w14:paraId="76877904" w14:textId="77777777" w:rsidR="00426667" w:rsidRDefault="00426667" w:rsidP="00426667">
      <w:pPr>
        <w:pStyle w:val="ListBullet"/>
      </w:pPr>
      <w:r>
        <w:rPr>
          <w:noProof/>
        </w:rPr>
        <w:lastRenderedPageBreak/>
        <w:drawing>
          <wp:inline distT="0" distB="0" distL="0" distR="0" wp14:anchorId="32EB4CC6" wp14:editId="5E59D132">
            <wp:extent cx="5731510" cy="5858510"/>
            <wp:effectExtent l="0" t="0" r="2540" b="8890"/>
            <wp:docPr id="786340363" name="Picture 1" descr="A group of images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40363" name="Picture 1" descr="A group of images of graph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9181" w14:textId="77777777" w:rsidR="00426667" w:rsidRDefault="00426667" w:rsidP="00426667"/>
    <w:p w14:paraId="4FECCFDD" w14:textId="77777777" w:rsidR="00426667" w:rsidRDefault="00426667" w:rsidP="00426667">
      <w:pPr>
        <w:pStyle w:val="ListBullet"/>
      </w:pPr>
      <w:r>
        <w:t>What about corporatist bargaining stage?</w:t>
      </w:r>
    </w:p>
    <w:p w14:paraId="4AEF2E7F" w14:textId="77777777" w:rsidR="00426667" w:rsidRDefault="00426667" w:rsidP="00426667">
      <w:pPr>
        <w:pStyle w:val="ListParagraph"/>
      </w:pPr>
    </w:p>
    <w:p w14:paraId="54D7967A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Expectations about future relative power by business and labour </w:t>
      </w:r>
    </w:p>
    <w:p w14:paraId="6DB4A614" w14:textId="77777777" w:rsidR="00426667" w:rsidRDefault="00426667" w:rsidP="00426667">
      <w:pPr>
        <w:pStyle w:val="ListParagraph"/>
      </w:pPr>
    </w:p>
    <w:p w14:paraId="46542C59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>What constraints does corporatist bargaining place on parties’ platforms?</w:t>
      </w:r>
    </w:p>
    <w:p w14:paraId="26363F81" w14:textId="77777777" w:rsidR="00426667" w:rsidRDefault="00426667" w:rsidP="00426667">
      <w:pPr>
        <w:pStyle w:val="ListParagraph"/>
      </w:pPr>
    </w:p>
    <w:p w14:paraId="0A2F044B" w14:textId="77777777" w:rsidR="00426667" w:rsidRDefault="00426667" w:rsidP="00426667">
      <w:pPr>
        <w:pStyle w:val="ListBullet"/>
      </w:pPr>
      <w:r>
        <w:t xml:space="preserve">Teas out predictions for cross-sectional and temporal variation </w:t>
      </w:r>
    </w:p>
    <w:p w14:paraId="48C46F36" w14:textId="77777777" w:rsidR="00426667" w:rsidRDefault="00426667" w:rsidP="00426667">
      <w:r>
        <w:br w:type="page"/>
      </w:r>
    </w:p>
    <w:p w14:paraId="0B3F3112" w14:textId="405D823A" w:rsidR="00426667" w:rsidRDefault="00FA63AB" w:rsidP="00FA63AB">
      <w:pPr>
        <w:pStyle w:val="ListParagraph"/>
        <w:numPr>
          <w:ilvl w:val="0"/>
          <w:numId w:val="2"/>
        </w:numPr>
      </w:pPr>
      <w:r>
        <w:lastRenderedPageBreak/>
        <w:t xml:space="preserve">Bring in relative mobilisation capacity </w:t>
      </w:r>
    </w:p>
    <w:sectPr w:rsidR="004266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Jacob Edenhofer" w:date="2024-10-18T16:30:00Z" w:initials="JE">
    <w:p w14:paraId="2EEA979A" w14:textId="77777777" w:rsidR="00426667" w:rsidRDefault="00426667" w:rsidP="00426667">
      <w:pPr>
        <w:pStyle w:val="CommentText"/>
      </w:pPr>
      <w:r>
        <w:rPr>
          <w:rStyle w:val="CommentReference"/>
        </w:rPr>
        <w:annotationRef/>
      </w:r>
      <w:r>
        <w:t>Corporatism also affects Green party strategy?</w:t>
      </w:r>
    </w:p>
  </w:comment>
  <w:comment w:id="0" w:author="Jacob Edenhofer" w:date="2024-10-18T16:43:00Z" w:initials="JE">
    <w:p w14:paraId="78C6C064" w14:textId="77777777" w:rsidR="00426667" w:rsidRDefault="00426667" w:rsidP="00426667">
      <w:pPr>
        <w:pStyle w:val="CommentText"/>
      </w:pPr>
      <w:r>
        <w:rPr>
          <w:rStyle w:val="CommentReference"/>
        </w:rPr>
        <w:annotationRef/>
      </w:r>
      <w:r>
        <w:t xml:space="preserve">How and when does the electoral system matter? </w:t>
      </w:r>
    </w:p>
  </w:comment>
  <w:comment w:id="1" w:author="Jacob Edenhofer" w:date="2024-10-18T16:45:00Z" w:initials="JE">
    <w:p w14:paraId="7BCFA72C" w14:textId="77777777" w:rsidR="00426667" w:rsidRDefault="00426667" w:rsidP="00426667">
      <w:pPr>
        <w:pStyle w:val="CommentText"/>
      </w:pPr>
      <w:r>
        <w:rPr>
          <w:rStyle w:val="CommentReference"/>
        </w:rPr>
        <w:annotationRef/>
      </w:r>
      <w:r>
        <w:t>Probably for the structure of policy and the types of rents that parties want to create?</w:t>
      </w:r>
    </w:p>
  </w:comment>
  <w:comment w:id="2" w:author="Jacob Edenhofer" w:date="2024-10-18T16:48:00Z" w:initials="JE">
    <w:p w14:paraId="684D4415" w14:textId="77777777" w:rsidR="00426667" w:rsidRDefault="00426667" w:rsidP="00426667">
      <w:pPr>
        <w:pStyle w:val="CommentText"/>
      </w:pPr>
      <w:r>
        <w:rPr>
          <w:rStyle w:val="CommentReference"/>
        </w:rPr>
        <w:annotationRef/>
      </w:r>
      <w:r>
        <w:t xml:space="preserve">With pro climate shocks, the implication is that people become more willing to bear some costs of climate policy. -&gt; Important for distribution of costs between consumers and producers. </w:t>
      </w:r>
    </w:p>
  </w:comment>
  <w:comment w:id="3" w:author="Jacob Edenhofer" w:date="2024-10-18T16:49:00Z" w:initials="JE">
    <w:p w14:paraId="7739D8A1" w14:textId="77777777" w:rsidR="00426667" w:rsidRDefault="00426667" w:rsidP="00426667">
      <w:pPr>
        <w:pStyle w:val="CommentText"/>
      </w:pPr>
      <w:r>
        <w:rPr>
          <w:rStyle w:val="CommentReference"/>
        </w:rPr>
        <w:annotationRef/>
      </w:r>
      <w:r>
        <w:t>Reverse for anti-climate opinion shock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EEA979A" w15:done="0"/>
  <w15:commentEx w15:paraId="78C6C064" w15:done="0"/>
  <w15:commentEx w15:paraId="7BCFA72C" w15:paraIdParent="78C6C064" w15:done="0"/>
  <w15:commentEx w15:paraId="684D4415" w15:done="0"/>
  <w15:commentEx w15:paraId="7739D8A1" w15:paraIdParent="684D44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ECABC03" w16cex:dateUtc="2024-10-18T15:30:00Z"/>
  <w16cex:commentExtensible w16cex:durableId="266F9BAF" w16cex:dateUtc="2024-10-18T15:43:00Z"/>
  <w16cex:commentExtensible w16cex:durableId="4E19F824" w16cex:dateUtc="2024-10-18T15:45:00Z"/>
  <w16cex:commentExtensible w16cex:durableId="1FAC99CA" w16cex:dateUtc="2024-10-18T15:48:00Z"/>
  <w16cex:commentExtensible w16cex:durableId="15F6EB6A" w16cex:dateUtc="2024-10-18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EEA979A" w16cid:durableId="3ECABC03"/>
  <w16cid:commentId w16cid:paraId="78C6C064" w16cid:durableId="266F9BAF"/>
  <w16cid:commentId w16cid:paraId="7BCFA72C" w16cid:durableId="4E19F824"/>
  <w16cid:commentId w16cid:paraId="684D4415" w16cid:durableId="1FAC99CA"/>
  <w16cid:commentId w16cid:paraId="7739D8A1" w16cid:durableId="15F6EB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54583" w14:textId="77777777" w:rsidR="000868DC" w:rsidRDefault="000868DC" w:rsidP="00426667">
      <w:pPr>
        <w:spacing w:after="0" w:line="240" w:lineRule="auto"/>
      </w:pPr>
      <w:r>
        <w:separator/>
      </w:r>
    </w:p>
  </w:endnote>
  <w:endnote w:type="continuationSeparator" w:id="0">
    <w:p w14:paraId="72018E37" w14:textId="77777777" w:rsidR="000868DC" w:rsidRDefault="000868DC" w:rsidP="0042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F9200" w14:textId="77777777" w:rsidR="00426667" w:rsidRDefault="004266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771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BCD9C" w14:textId="5EC1DD53" w:rsidR="00426667" w:rsidRDefault="004266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82478" w14:textId="77777777" w:rsidR="00426667" w:rsidRDefault="004266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2A4DE" w14:textId="77777777" w:rsidR="00426667" w:rsidRDefault="00426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2A1DE" w14:textId="77777777" w:rsidR="000868DC" w:rsidRDefault="000868DC" w:rsidP="00426667">
      <w:pPr>
        <w:spacing w:after="0" w:line="240" w:lineRule="auto"/>
      </w:pPr>
      <w:r>
        <w:separator/>
      </w:r>
    </w:p>
  </w:footnote>
  <w:footnote w:type="continuationSeparator" w:id="0">
    <w:p w14:paraId="3DE3558C" w14:textId="77777777" w:rsidR="000868DC" w:rsidRDefault="000868DC" w:rsidP="0042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C27CE" w14:textId="77777777" w:rsidR="00426667" w:rsidRDefault="00426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10F3E" w14:textId="77777777" w:rsidR="00426667" w:rsidRDefault="004266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02ED7" w14:textId="77777777" w:rsidR="00426667" w:rsidRDefault="00426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C9899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E44F26"/>
    <w:multiLevelType w:val="hybridMultilevel"/>
    <w:tmpl w:val="51BE6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461599">
    <w:abstractNumId w:val="0"/>
  </w:num>
  <w:num w:numId="2" w16cid:durableId="19439988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cob Edenhofer">
    <w15:presenceInfo w15:providerId="AD" w15:userId="S::j.edenhofer@hertie-school.org::e39194af-3d52-4969-89c0-72a8be1404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67"/>
    <w:rsid w:val="000868DC"/>
    <w:rsid w:val="00426667"/>
    <w:rsid w:val="00942CF2"/>
    <w:rsid w:val="00F567D1"/>
    <w:rsid w:val="00FA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3C96"/>
  <w15:chartTrackingRefBased/>
  <w15:docId w15:val="{58437ED3-E981-4E30-86FD-356B811A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6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667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26667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6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667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667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6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66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6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6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Edenhofer</dc:creator>
  <cp:keywords/>
  <dc:description/>
  <cp:lastModifiedBy>Jacob Edenhofer</cp:lastModifiedBy>
  <cp:revision>2</cp:revision>
  <dcterms:created xsi:type="dcterms:W3CDTF">2024-10-30T15:39:00Z</dcterms:created>
  <dcterms:modified xsi:type="dcterms:W3CDTF">2024-11-03T16:31:00Z</dcterms:modified>
</cp:coreProperties>
</file>