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custom.xml" ContentType="application/vnd.openxmlformats-officedocument.custom-properti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EF7" w:rsidRPr="00D341E2" w:rsidRDefault="00FD232A" w:rsidP="00D341E2">
      <w:pPr>
        <w:pStyle w:val="ResumeHeading1"/>
      </w:pPr>
      <w:r>
        <w:rPr>
          <w:noProof/>
        </w:rPr>
        <w:drawing>
          <wp:anchor distT="0" distB="0" distL="114300" distR="114300" simplePos="0" relativeHeight="251658240" behindDoc="1" locked="0" layoutInCell="1" allowOverlap="1">
            <wp:simplePos x="0" y="0"/>
            <wp:positionH relativeFrom="column">
              <wp:posOffset>5001602</wp:posOffset>
            </wp:positionH>
            <wp:positionV relativeFrom="paragraph">
              <wp:posOffset>259080</wp:posOffset>
            </wp:positionV>
            <wp:extent cx="866140" cy="1050290"/>
            <wp:effectExtent l="0" t="0" r="0" b="0"/>
            <wp:wrapTight wrapText="bothSides">
              <wp:wrapPolygon edited="0">
                <wp:start x="0" y="0"/>
                <wp:lineTo x="0" y="21156"/>
                <wp:lineTo x="20903" y="21156"/>
                <wp:lineTo x="20903" y="0"/>
                <wp:lineTo x="0" y="0"/>
              </wp:wrapPolygon>
            </wp:wrapTight>
            <wp:docPr id="13" name="Picture 13" descr="C:\Users\3804hlb\AppData\Local\Microsoft\Windows\INetCache\Content.Word\Bruce-Bowers_headshot (1)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3804hlb\AppData\Local\Microsoft\Windows\INetCache\Content.Word\Bruce-Bowers_headshot (1) (002).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16553" t="6194" r="12453" b="8173"/>
                    <a:stretch>
                      <a:fillRect/>
                    </a:stretch>
                  </pic:blipFill>
                  <pic:spPr bwMode="auto">
                    <a:xfrm>
                      <a:off x="0" y="0"/>
                      <a:ext cx="866140" cy="1050290"/>
                    </a:xfrm>
                    <a:prstGeom prst="rect">
                      <a:avLst/>
                    </a:prstGeom>
                    <a:noFill/>
                    <a:ln>
                      <a:noFill/>
                    </a:ln>
                  </pic:spPr>
                </pic:pic>
              </a:graphicData>
            </a:graphic>
            <wp14:sizeRelH relativeFrom="page">
              <wp14:pctWidth>0</wp14:pctWidth>
            </wp14:sizeRelH>
            <wp14:sizeRelV relativeFrom="page">
              <wp14:pctHeight>0</wp14:pctHeight>
            </wp14:sizeRelV>
          </wp:anchor>
        </w:drawing>
      </w:r>
      <w:r w:rsidR="005213BB" w:rsidRPr="00D341E2">
        <w:t>R. bruce bowers</w:t>
      </w:r>
    </w:p>
    <w:p w:rsidR="00556EF7" w:rsidRPr="00E64523" w:rsidRDefault="00556EF7" w:rsidP="00556EF7">
      <w:pPr>
        <w:pStyle w:val="ResumeHeading2"/>
      </w:pPr>
      <w:r w:rsidRPr="00E64523">
        <w:t>Education</w:t>
      </w:r>
    </w:p>
    <w:p w:rsidR="00556EF7" w:rsidRPr="00D341E2" w:rsidRDefault="005213BB" w:rsidP="00242622">
      <w:pPr>
        <w:spacing w:after="0"/>
      </w:pPr>
      <w:r w:rsidRPr="00D341E2">
        <w:t>M</w:t>
      </w:r>
      <w:r w:rsidR="00556EF7" w:rsidRPr="00D341E2">
        <w:t>.S</w:t>
      </w:r>
      <w:r w:rsidR="004A22BD" w:rsidRPr="00D341E2">
        <w:t>.C</w:t>
      </w:r>
      <w:r w:rsidR="00556EF7" w:rsidRPr="00D341E2">
        <w:t>.</w:t>
      </w:r>
      <w:r w:rsidR="004A22BD" w:rsidRPr="00D341E2">
        <w:t>E</w:t>
      </w:r>
      <w:r w:rsidR="00556EF7" w:rsidRPr="00D341E2">
        <w:t xml:space="preserve"> </w:t>
      </w:r>
      <w:r w:rsidRPr="00D341E2">
        <w:t>–</w:t>
      </w:r>
      <w:r w:rsidR="00556EF7" w:rsidRPr="00D341E2">
        <w:t xml:space="preserve"> </w:t>
      </w:r>
      <w:r w:rsidRPr="00D341E2">
        <w:t>Environmental</w:t>
      </w:r>
      <w:r w:rsidR="00556EF7" w:rsidRPr="00D341E2">
        <w:t xml:space="preserve"> Engineering, </w:t>
      </w:r>
      <w:r w:rsidRPr="00D341E2">
        <w:t xml:space="preserve">West Virginia </w:t>
      </w:r>
      <w:r w:rsidR="00556EF7" w:rsidRPr="00D341E2">
        <w:t>University, 198</w:t>
      </w:r>
      <w:r w:rsidRPr="00D341E2">
        <w:t>8</w:t>
      </w:r>
    </w:p>
    <w:p w:rsidR="005213BB" w:rsidRPr="00D341E2" w:rsidRDefault="005213BB" w:rsidP="00242622">
      <w:pPr>
        <w:spacing w:after="0"/>
      </w:pPr>
      <w:r w:rsidRPr="00D341E2">
        <w:t>B.S.</w:t>
      </w:r>
      <w:r w:rsidR="004A22BD" w:rsidRPr="00D341E2">
        <w:t>C.E</w:t>
      </w:r>
      <w:r w:rsidRPr="00D341E2">
        <w:t xml:space="preserve"> – Civil Engineering, West Virginia University, 1986</w:t>
      </w:r>
    </w:p>
    <w:p w:rsidR="00556EF7" w:rsidRDefault="00556EF7" w:rsidP="00556EF7">
      <w:pPr>
        <w:pStyle w:val="ResumeHeading2"/>
      </w:pPr>
      <w:r>
        <w:t>Professional Licenses and Affiliations</w:t>
      </w:r>
    </w:p>
    <w:p w:rsidR="00556EF7" w:rsidRPr="00C7196F" w:rsidRDefault="00556EF7" w:rsidP="00556EF7">
      <w:pPr>
        <w:pStyle w:val="Body-Text-Para"/>
        <w:tabs>
          <w:tab w:val="clear" w:pos="1260"/>
          <w:tab w:val="clear" w:pos="1620"/>
        </w:tabs>
        <w:spacing w:after="0"/>
        <w:rPr>
          <w:szCs w:val="24"/>
        </w:rPr>
      </w:pPr>
      <w:r w:rsidRPr="00C7196F">
        <w:rPr>
          <w:szCs w:val="24"/>
        </w:rPr>
        <w:t>Engineer</w:t>
      </w:r>
      <w:r w:rsidR="005213BB">
        <w:rPr>
          <w:szCs w:val="24"/>
        </w:rPr>
        <w:t xml:space="preserve"> Intern</w:t>
      </w:r>
      <w:r w:rsidRPr="00C7196F">
        <w:rPr>
          <w:szCs w:val="24"/>
        </w:rPr>
        <w:t xml:space="preserve"> </w:t>
      </w:r>
      <w:r w:rsidR="005213BB">
        <w:rPr>
          <w:szCs w:val="24"/>
        </w:rPr>
        <w:t>–</w:t>
      </w:r>
      <w:r w:rsidRPr="00C7196F">
        <w:rPr>
          <w:szCs w:val="24"/>
        </w:rPr>
        <w:t xml:space="preserve"> </w:t>
      </w:r>
      <w:r w:rsidR="005213BB">
        <w:rPr>
          <w:szCs w:val="24"/>
        </w:rPr>
        <w:t>West Virginia Board of Registration of Professional Engineers</w:t>
      </w:r>
    </w:p>
    <w:p w:rsidR="00556EF7" w:rsidRDefault="00556EF7" w:rsidP="00556EF7">
      <w:pPr>
        <w:pStyle w:val="Body-Text-Para"/>
        <w:tabs>
          <w:tab w:val="clear" w:pos="1260"/>
          <w:tab w:val="clear" w:pos="1620"/>
        </w:tabs>
        <w:spacing w:after="0"/>
        <w:rPr>
          <w:szCs w:val="24"/>
        </w:rPr>
      </w:pPr>
      <w:r w:rsidRPr="002963D5">
        <w:rPr>
          <w:szCs w:val="24"/>
        </w:rPr>
        <w:t xml:space="preserve">Hazardous Waste Operations and Emergency Response </w:t>
      </w:r>
      <w:r>
        <w:rPr>
          <w:szCs w:val="24"/>
        </w:rPr>
        <w:t>(HAZWOPER)</w:t>
      </w:r>
    </w:p>
    <w:p w:rsidR="004A22BD" w:rsidRDefault="004A22BD" w:rsidP="00556EF7">
      <w:pPr>
        <w:pStyle w:val="Body-Text-Para"/>
        <w:tabs>
          <w:tab w:val="clear" w:pos="1260"/>
          <w:tab w:val="clear" w:pos="1620"/>
        </w:tabs>
        <w:spacing w:after="0"/>
        <w:rPr>
          <w:szCs w:val="24"/>
        </w:rPr>
      </w:pPr>
      <w:r>
        <w:rPr>
          <w:szCs w:val="24"/>
        </w:rPr>
        <w:t>Former Certified Hazardous Materials Manager (CHMM)</w:t>
      </w:r>
    </w:p>
    <w:p w:rsidR="004A22BD" w:rsidRDefault="004A22BD" w:rsidP="00556EF7">
      <w:pPr>
        <w:pStyle w:val="Body-Text-Para"/>
        <w:tabs>
          <w:tab w:val="clear" w:pos="1260"/>
          <w:tab w:val="clear" w:pos="1620"/>
        </w:tabs>
        <w:spacing w:after="0"/>
        <w:rPr>
          <w:szCs w:val="24"/>
        </w:rPr>
      </w:pPr>
      <w:r>
        <w:rPr>
          <w:szCs w:val="24"/>
        </w:rPr>
        <w:t>Former Certified Groundwater Professional (CGWP)</w:t>
      </w:r>
    </w:p>
    <w:p w:rsidR="00556EF7" w:rsidRPr="00ED7DD7" w:rsidRDefault="00556EF7" w:rsidP="00556EF7">
      <w:pPr>
        <w:pStyle w:val="ResumeHeading2"/>
      </w:pPr>
      <w:r w:rsidRPr="00ED7DD7">
        <w:t>Professional Experience</w:t>
      </w:r>
    </w:p>
    <w:p w:rsidR="002030E3" w:rsidRDefault="00556EF7" w:rsidP="00556EF7">
      <w:pPr>
        <w:rPr>
          <w:szCs w:val="24"/>
        </w:rPr>
      </w:pPr>
      <w:r w:rsidRPr="002D1170">
        <w:rPr>
          <w:szCs w:val="24"/>
        </w:rPr>
        <w:t xml:space="preserve">Mr. </w:t>
      </w:r>
      <w:r w:rsidR="00242622">
        <w:rPr>
          <w:szCs w:val="24"/>
        </w:rPr>
        <w:t>Bowers</w:t>
      </w:r>
      <w:r w:rsidRPr="002D1170">
        <w:rPr>
          <w:szCs w:val="24"/>
        </w:rPr>
        <w:t xml:space="preserve"> is a </w:t>
      </w:r>
      <w:r w:rsidR="005213BB">
        <w:rPr>
          <w:szCs w:val="24"/>
        </w:rPr>
        <w:t>project director and environmental engineer in</w:t>
      </w:r>
      <w:r w:rsidRPr="002D1170">
        <w:rPr>
          <w:szCs w:val="24"/>
        </w:rPr>
        <w:t xml:space="preserve"> the Environmental Services Practice for SCS offices in </w:t>
      </w:r>
      <w:r>
        <w:rPr>
          <w:szCs w:val="24"/>
        </w:rPr>
        <w:t>the mid-Atlantic region</w:t>
      </w:r>
      <w:r w:rsidRPr="002D1170">
        <w:rPr>
          <w:szCs w:val="24"/>
        </w:rPr>
        <w:t>. He has a divers</w:t>
      </w:r>
      <w:r w:rsidR="005213BB">
        <w:rPr>
          <w:szCs w:val="24"/>
        </w:rPr>
        <w:t>e</w:t>
      </w:r>
      <w:r w:rsidRPr="002D1170">
        <w:rPr>
          <w:szCs w:val="24"/>
        </w:rPr>
        <w:t xml:space="preserve"> background </w:t>
      </w:r>
      <w:r w:rsidR="00242622">
        <w:rPr>
          <w:szCs w:val="24"/>
        </w:rPr>
        <w:t xml:space="preserve">and broad geographic experience </w:t>
      </w:r>
      <w:r w:rsidRPr="002D1170">
        <w:rPr>
          <w:szCs w:val="24"/>
        </w:rPr>
        <w:t xml:space="preserve">in project engineering and management, with emphasis on </w:t>
      </w:r>
      <w:r w:rsidR="00242622">
        <w:rPr>
          <w:szCs w:val="24"/>
        </w:rPr>
        <w:t>multimedia environmental regulatory compliance (CWA, CAA, RCRA Subtitle C and D, SARA Title III, OP</w:t>
      </w:r>
      <w:r w:rsidR="004A22BD">
        <w:rPr>
          <w:szCs w:val="24"/>
        </w:rPr>
        <w:t>P</w:t>
      </w:r>
      <w:r w:rsidR="00242622">
        <w:rPr>
          <w:szCs w:val="24"/>
        </w:rPr>
        <w:t xml:space="preserve">A, SDWA and CERCLA), </w:t>
      </w:r>
      <w:r w:rsidR="002030E3">
        <w:rPr>
          <w:szCs w:val="24"/>
        </w:rPr>
        <w:t xml:space="preserve">multimedia environmental permitting, </w:t>
      </w:r>
      <w:r w:rsidR="008E47ED">
        <w:rPr>
          <w:szCs w:val="24"/>
        </w:rPr>
        <w:t xml:space="preserve">hydrogeologic and subsurface investigations, </w:t>
      </w:r>
      <w:r w:rsidR="00242622">
        <w:rPr>
          <w:szCs w:val="24"/>
        </w:rPr>
        <w:t>quantitative human health risk assessment</w:t>
      </w:r>
      <w:r w:rsidR="004476BA">
        <w:rPr>
          <w:szCs w:val="24"/>
        </w:rPr>
        <w:t xml:space="preserve"> and</w:t>
      </w:r>
      <w:r w:rsidR="002030E3">
        <w:rPr>
          <w:szCs w:val="24"/>
        </w:rPr>
        <w:t xml:space="preserve"> hazardous materials and waste management.</w:t>
      </w:r>
    </w:p>
    <w:p w:rsidR="00242622" w:rsidRDefault="002030E3" w:rsidP="00556EF7">
      <w:pPr>
        <w:rPr>
          <w:szCs w:val="24"/>
        </w:rPr>
      </w:pPr>
      <w:r>
        <w:rPr>
          <w:szCs w:val="24"/>
        </w:rPr>
        <w:t xml:space="preserve">Mr. Bowers’ </w:t>
      </w:r>
      <w:r w:rsidR="00242B58">
        <w:rPr>
          <w:szCs w:val="24"/>
        </w:rPr>
        <w:t xml:space="preserve">client base </w:t>
      </w:r>
      <w:r w:rsidR="00A6456D">
        <w:rPr>
          <w:szCs w:val="24"/>
        </w:rPr>
        <w:t>spans</w:t>
      </w:r>
      <w:r w:rsidR="00E92FBE">
        <w:rPr>
          <w:szCs w:val="24"/>
        </w:rPr>
        <w:t xml:space="preserve"> several</w:t>
      </w:r>
      <w:r>
        <w:rPr>
          <w:szCs w:val="24"/>
        </w:rPr>
        <w:t xml:space="preserve"> </w:t>
      </w:r>
      <w:r w:rsidR="00A6456D">
        <w:rPr>
          <w:szCs w:val="24"/>
        </w:rPr>
        <w:t>major business</w:t>
      </w:r>
      <w:r>
        <w:rPr>
          <w:szCs w:val="24"/>
        </w:rPr>
        <w:t xml:space="preserve"> sectors</w:t>
      </w:r>
      <w:r w:rsidR="00A6456D">
        <w:rPr>
          <w:szCs w:val="24"/>
        </w:rPr>
        <w:t xml:space="preserve"> including</w:t>
      </w:r>
      <w:r w:rsidR="00E92FBE">
        <w:rPr>
          <w:szCs w:val="24"/>
        </w:rPr>
        <w:t>:</w:t>
      </w:r>
      <w:r>
        <w:rPr>
          <w:szCs w:val="24"/>
        </w:rPr>
        <w:t xml:space="preserve"> automotive (Harley-Davidson Motor Company)</w:t>
      </w:r>
      <w:r w:rsidR="00433130">
        <w:rPr>
          <w:szCs w:val="24"/>
        </w:rPr>
        <w:t>, pharmaceutical (Boehringer Ingelheim Animal Health), aerospace (American Airlines M&amp;E Base</w:t>
      </w:r>
      <w:r w:rsidR="00A6456D">
        <w:rPr>
          <w:szCs w:val="24"/>
        </w:rPr>
        <w:t xml:space="preserve"> and B/E Aerospace</w:t>
      </w:r>
      <w:r w:rsidR="00433130">
        <w:rPr>
          <w:szCs w:val="24"/>
        </w:rPr>
        <w:t xml:space="preserve">), </w:t>
      </w:r>
      <w:r w:rsidR="00242B58">
        <w:rPr>
          <w:szCs w:val="24"/>
        </w:rPr>
        <w:t xml:space="preserve">higher </w:t>
      </w:r>
      <w:r w:rsidR="00433130">
        <w:rPr>
          <w:szCs w:val="24"/>
        </w:rPr>
        <w:t>education (Missouri Western State University</w:t>
      </w:r>
      <w:r w:rsidR="005532D9">
        <w:rPr>
          <w:szCs w:val="24"/>
        </w:rPr>
        <w:t>/Avila University</w:t>
      </w:r>
      <w:r w:rsidR="00433130">
        <w:rPr>
          <w:szCs w:val="24"/>
        </w:rPr>
        <w:t>), aluminum/magnesium diecasting</w:t>
      </w:r>
      <w:r>
        <w:rPr>
          <w:szCs w:val="24"/>
        </w:rPr>
        <w:t xml:space="preserve"> </w:t>
      </w:r>
      <w:r w:rsidR="00433130">
        <w:rPr>
          <w:szCs w:val="24"/>
        </w:rPr>
        <w:t>(Spartan Light Metal Products), foundry</w:t>
      </w:r>
      <w:r w:rsidR="005532D9">
        <w:rPr>
          <w:szCs w:val="24"/>
        </w:rPr>
        <w:t>/metal finishing/fabrication</w:t>
      </w:r>
      <w:r w:rsidR="00433130">
        <w:rPr>
          <w:szCs w:val="24"/>
        </w:rPr>
        <w:t xml:space="preserve"> (Livers Bronze Company), injection/dip molding (Sinclair &amp; Rush), fossil fuels (Missouri Gas Energy), membrane/fabrics (Parker </w:t>
      </w:r>
      <w:r w:rsidR="00242B58">
        <w:rPr>
          <w:szCs w:val="24"/>
        </w:rPr>
        <w:t>Performance Materials</w:t>
      </w:r>
      <w:r w:rsidR="00433130">
        <w:rPr>
          <w:szCs w:val="24"/>
        </w:rPr>
        <w:t>)</w:t>
      </w:r>
      <w:r w:rsidR="004476BA">
        <w:rPr>
          <w:szCs w:val="24"/>
        </w:rPr>
        <w:t xml:space="preserve"> </w:t>
      </w:r>
      <w:r w:rsidR="00E92FBE">
        <w:rPr>
          <w:szCs w:val="24"/>
        </w:rPr>
        <w:t>utility vehicle manufactu</w:t>
      </w:r>
      <w:r w:rsidR="004476BA">
        <w:rPr>
          <w:szCs w:val="24"/>
        </w:rPr>
        <w:t>ring</w:t>
      </w:r>
      <w:r w:rsidR="00E92FBE">
        <w:rPr>
          <w:szCs w:val="24"/>
        </w:rPr>
        <w:t xml:space="preserve"> (Dakota Bodies</w:t>
      </w:r>
      <w:r w:rsidR="004A22BD">
        <w:rPr>
          <w:szCs w:val="24"/>
        </w:rPr>
        <w:t>, LLC</w:t>
      </w:r>
      <w:r w:rsidR="00E92FBE">
        <w:rPr>
          <w:szCs w:val="24"/>
        </w:rPr>
        <w:t>)</w:t>
      </w:r>
      <w:r w:rsidR="004476BA">
        <w:rPr>
          <w:szCs w:val="24"/>
        </w:rPr>
        <w:t>, medical diagnostics (Thermo Fisher</w:t>
      </w:r>
      <w:r w:rsidR="00ED7DD7">
        <w:rPr>
          <w:szCs w:val="24"/>
        </w:rPr>
        <w:t xml:space="preserve"> Scientific</w:t>
      </w:r>
      <w:r w:rsidR="004476BA">
        <w:rPr>
          <w:szCs w:val="24"/>
        </w:rPr>
        <w:t>)</w:t>
      </w:r>
      <w:r w:rsidR="00242B58">
        <w:rPr>
          <w:szCs w:val="24"/>
        </w:rPr>
        <w:t xml:space="preserve"> and </w:t>
      </w:r>
      <w:r w:rsidR="004476BA">
        <w:rPr>
          <w:szCs w:val="24"/>
        </w:rPr>
        <w:t>residential/industr</w:t>
      </w:r>
      <w:r w:rsidR="00242B58">
        <w:rPr>
          <w:szCs w:val="24"/>
        </w:rPr>
        <w:t>ial cooling (</w:t>
      </w:r>
      <w:proofErr w:type="spellStart"/>
      <w:r w:rsidR="00242B58">
        <w:rPr>
          <w:szCs w:val="24"/>
        </w:rPr>
        <w:t>Rheem</w:t>
      </w:r>
      <w:proofErr w:type="spellEnd"/>
      <w:r w:rsidR="00242B58">
        <w:rPr>
          <w:szCs w:val="24"/>
        </w:rPr>
        <w:t xml:space="preserve"> Manufacturing</w:t>
      </w:r>
      <w:r w:rsidR="00ED7DD7">
        <w:rPr>
          <w:szCs w:val="24"/>
        </w:rPr>
        <w:t>/HTPG, LLC</w:t>
      </w:r>
      <w:r w:rsidR="00242B58">
        <w:rPr>
          <w:szCs w:val="24"/>
        </w:rPr>
        <w:t>).  In addition, Mr. Bowers’ regulatory compliance</w:t>
      </w:r>
      <w:r w:rsidR="00242622">
        <w:rPr>
          <w:szCs w:val="24"/>
        </w:rPr>
        <w:t xml:space="preserve"> </w:t>
      </w:r>
      <w:r w:rsidR="00242B58">
        <w:rPr>
          <w:szCs w:val="24"/>
        </w:rPr>
        <w:t>experience</w:t>
      </w:r>
      <w:r w:rsidR="00E92FBE">
        <w:rPr>
          <w:szCs w:val="24"/>
        </w:rPr>
        <w:t xml:space="preserve"> geographic</w:t>
      </w:r>
      <w:r w:rsidR="004476BA">
        <w:rPr>
          <w:szCs w:val="24"/>
        </w:rPr>
        <w:t xml:space="preserve">ally </w:t>
      </w:r>
      <w:r w:rsidR="00A6456D">
        <w:rPr>
          <w:szCs w:val="24"/>
        </w:rPr>
        <w:t>covers</w:t>
      </w:r>
      <w:r w:rsidR="004476BA">
        <w:rPr>
          <w:szCs w:val="24"/>
        </w:rPr>
        <w:t xml:space="preserve"> the </w:t>
      </w:r>
      <w:r w:rsidR="00A6456D">
        <w:rPr>
          <w:szCs w:val="24"/>
        </w:rPr>
        <w:t>states of</w:t>
      </w:r>
      <w:r w:rsidR="004476BA">
        <w:rPr>
          <w:szCs w:val="24"/>
        </w:rPr>
        <w:t xml:space="preserve"> VA, PA, MD, </w:t>
      </w:r>
      <w:r w:rsidR="00A6456D">
        <w:rPr>
          <w:szCs w:val="24"/>
        </w:rPr>
        <w:t xml:space="preserve">AR, AL, TX, </w:t>
      </w:r>
      <w:r w:rsidR="004476BA">
        <w:rPr>
          <w:szCs w:val="24"/>
        </w:rPr>
        <w:t>MO, KS, MI, OH, WV and GA.</w:t>
      </w:r>
    </w:p>
    <w:p w:rsidR="000C1641" w:rsidRDefault="000C1641" w:rsidP="00FD232A">
      <w:pPr>
        <w:pStyle w:val="ResumeHeading3"/>
      </w:pPr>
      <w:r>
        <w:t xml:space="preserve">Industrial Wastewater </w:t>
      </w:r>
      <w:r w:rsidR="00A50C53">
        <w:t>Compliance/Pretreatment</w:t>
      </w:r>
    </w:p>
    <w:p w:rsidR="000C1641" w:rsidRDefault="000C1641" w:rsidP="00FD232A">
      <w:pPr>
        <w:pStyle w:val="ResumeHeading3"/>
        <w:rPr>
          <w:rFonts w:ascii="Franklin Gothic Book" w:hAnsi="Franklin Gothic Book"/>
          <w:b w:val="0"/>
          <w:sz w:val="22"/>
          <w:szCs w:val="22"/>
        </w:rPr>
      </w:pPr>
      <w:r w:rsidRPr="000C1641">
        <w:rPr>
          <w:rFonts w:ascii="Franklin Gothic Book" w:hAnsi="Franklin Gothic Book"/>
          <w:b w:val="0"/>
          <w:sz w:val="22"/>
          <w:szCs w:val="22"/>
        </w:rPr>
        <w:t>Mr. Bowers</w:t>
      </w:r>
      <w:r>
        <w:rPr>
          <w:rFonts w:ascii="Franklin Gothic Book" w:hAnsi="Franklin Gothic Book"/>
          <w:b w:val="0"/>
          <w:sz w:val="22"/>
          <w:szCs w:val="22"/>
        </w:rPr>
        <w:t xml:space="preserve"> </w:t>
      </w:r>
      <w:r w:rsidRPr="000C1641">
        <w:rPr>
          <w:rFonts w:ascii="Franklin Gothic Book" w:hAnsi="Franklin Gothic Book"/>
          <w:b w:val="0"/>
          <w:sz w:val="22"/>
          <w:szCs w:val="22"/>
        </w:rPr>
        <w:t>ha</w:t>
      </w:r>
      <w:r>
        <w:rPr>
          <w:rFonts w:ascii="Franklin Gothic Book" w:hAnsi="Franklin Gothic Book"/>
          <w:b w:val="0"/>
          <w:sz w:val="22"/>
          <w:szCs w:val="22"/>
        </w:rPr>
        <w:t>s twenty-plus</w:t>
      </w:r>
      <w:r w:rsidRPr="000C1641">
        <w:rPr>
          <w:rFonts w:ascii="Franklin Gothic Book" w:hAnsi="Franklin Gothic Book"/>
          <w:b w:val="0"/>
          <w:sz w:val="22"/>
          <w:szCs w:val="22"/>
        </w:rPr>
        <w:t xml:space="preserve"> </w:t>
      </w:r>
      <w:r>
        <w:rPr>
          <w:rFonts w:ascii="Franklin Gothic Book" w:hAnsi="Franklin Gothic Book"/>
          <w:b w:val="0"/>
          <w:sz w:val="22"/>
          <w:szCs w:val="22"/>
        </w:rPr>
        <w:t xml:space="preserve">years </w:t>
      </w:r>
      <w:r w:rsidRPr="000C1641">
        <w:rPr>
          <w:rFonts w:ascii="Franklin Gothic Book" w:hAnsi="Franklin Gothic Book"/>
          <w:b w:val="0"/>
          <w:sz w:val="22"/>
          <w:szCs w:val="22"/>
        </w:rPr>
        <w:t>in the</w:t>
      </w:r>
      <w:r>
        <w:rPr>
          <w:rFonts w:ascii="Franklin Gothic Book" w:hAnsi="Franklin Gothic Book"/>
          <w:b w:val="0"/>
          <w:sz w:val="22"/>
          <w:szCs w:val="22"/>
        </w:rPr>
        <w:t xml:space="preserve"> practice area of industrial wastewater</w:t>
      </w:r>
      <w:r w:rsidR="009F1B25">
        <w:rPr>
          <w:rFonts w:ascii="Franklin Gothic Book" w:hAnsi="Franklin Gothic Book"/>
          <w:b w:val="0"/>
          <w:sz w:val="22"/>
          <w:szCs w:val="22"/>
        </w:rPr>
        <w:t xml:space="preserve"> compliance and pretreatment operations</w:t>
      </w:r>
      <w:r>
        <w:rPr>
          <w:rFonts w:ascii="Franklin Gothic Book" w:hAnsi="Franklin Gothic Book"/>
          <w:b w:val="0"/>
          <w:sz w:val="22"/>
          <w:szCs w:val="22"/>
        </w:rPr>
        <w:t xml:space="preserve">.  This includes </w:t>
      </w:r>
      <w:r w:rsidR="009F1B25">
        <w:rPr>
          <w:rFonts w:ascii="Franklin Gothic Book" w:hAnsi="Franklin Gothic Book"/>
          <w:b w:val="0"/>
          <w:sz w:val="22"/>
          <w:szCs w:val="22"/>
        </w:rPr>
        <w:t xml:space="preserve">industrial </w:t>
      </w:r>
      <w:r>
        <w:rPr>
          <w:rFonts w:ascii="Franklin Gothic Book" w:hAnsi="Franklin Gothic Book"/>
          <w:b w:val="0"/>
          <w:sz w:val="22"/>
          <w:szCs w:val="22"/>
        </w:rPr>
        <w:t>wastewater permitting</w:t>
      </w:r>
      <w:r w:rsidR="009F1B25">
        <w:rPr>
          <w:rFonts w:ascii="Franklin Gothic Book" w:hAnsi="Franklin Gothic Book"/>
          <w:b w:val="0"/>
          <w:sz w:val="22"/>
          <w:szCs w:val="22"/>
        </w:rPr>
        <w:t xml:space="preserve"> for multiple business sectors</w:t>
      </w:r>
      <w:r>
        <w:rPr>
          <w:rFonts w:ascii="Franklin Gothic Book" w:hAnsi="Franklin Gothic Book"/>
          <w:b w:val="0"/>
          <w:sz w:val="22"/>
          <w:szCs w:val="22"/>
        </w:rPr>
        <w:t xml:space="preserve">, </w:t>
      </w:r>
      <w:r w:rsidR="00A50C53">
        <w:rPr>
          <w:rFonts w:ascii="Franklin Gothic Book" w:hAnsi="Franklin Gothic Book"/>
          <w:b w:val="0"/>
          <w:sz w:val="22"/>
          <w:szCs w:val="22"/>
        </w:rPr>
        <w:t xml:space="preserve">applicable </w:t>
      </w:r>
      <w:r w:rsidR="009F1B25">
        <w:rPr>
          <w:rFonts w:ascii="Franklin Gothic Book" w:hAnsi="Franklin Gothic Book"/>
          <w:b w:val="0"/>
          <w:sz w:val="22"/>
          <w:szCs w:val="22"/>
        </w:rPr>
        <w:t>provisions of the</w:t>
      </w:r>
      <w:r>
        <w:rPr>
          <w:rFonts w:ascii="Franklin Gothic Book" w:hAnsi="Franklin Gothic Book"/>
          <w:b w:val="0"/>
          <w:sz w:val="22"/>
          <w:szCs w:val="22"/>
        </w:rPr>
        <w:t xml:space="preserve"> National Categorical Pret</w:t>
      </w:r>
      <w:r w:rsidR="009F1B25">
        <w:rPr>
          <w:rFonts w:ascii="Franklin Gothic Book" w:hAnsi="Franklin Gothic Book"/>
          <w:b w:val="0"/>
          <w:sz w:val="22"/>
          <w:szCs w:val="22"/>
        </w:rPr>
        <w:t>rea</w:t>
      </w:r>
      <w:r>
        <w:rPr>
          <w:rFonts w:ascii="Franklin Gothic Book" w:hAnsi="Franklin Gothic Book"/>
          <w:b w:val="0"/>
          <w:sz w:val="22"/>
          <w:szCs w:val="22"/>
        </w:rPr>
        <w:t>tment</w:t>
      </w:r>
      <w:r w:rsidRPr="000C1641">
        <w:rPr>
          <w:rFonts w:ascii="Franklin Gothic Book" w:hAnsi="Franklin Gothic Book"/>
          <w:b w:val="0"/>
          <w:sz w:val="22"/>
          <w:szCs w:val="22"/>
        </w:rPr>
        <w:t xml:space="preserve"> </w:t>
      </w:r>
      <w:r w:rsidR="009F1B25">
        <w:rPr>
          <w:rFonts w:ascii="Franklin Gothic Book" w:hAnsi="Franklin Gothic Book"/>
          <w:b w:val="0"/>
          <w:sz w:val="22"/>
          <w:szCs w:val="22"/>
        </w:rPr>
        <w:t>standards, development of wastewater sampling and analysis programs (SAPs), accidental slug discharge contingency (ASDC) plans</w:t>
      </w:r>
      <w:r w:rsidR="00686E77">
        <w:rPr>
          <w:rFonts w:ascii="Franklin Gothic Book" w:hAnsi="Franklin Gothic Book"/>
          <w:b w:val="0"/>
          <w:sz w:val="22"/>
          <w:szCs w:val="22"/>
        </w:rPr>
        <w:t>,</w:t>
      </w:r>
      <w:r w:rsidR="009F1B25">
        <w:rPr>
          <w:rFonts w:ascii="Franklin Gothic Book" w:hAnsi="Franklin Gothic Book"/>
          <w:b w:val="0"/>
          <w:sz w:val="22"/>
          <w:szCs w:val="22"/>
        </w:rPr>
        <w:t xml:space="preserve"> and toxic organic pollutant management (TOPM) plans.  </w:t>
      </w:r>
      <w:r w:rsidR="00686E77">
        <w:rPr>
          <w:rFonts w:ascii="Franklin Gothic Book" w:hAnsi="Franklin Gothic Book"/>
          <w:b w:val="0"/>
          <w:sz w:val="22"/>
          <w:szCs w:val="22"/>
        </w:rPr>
        <w:t>His</w:t>
      </w:r>
      <w:r w:rsidR="009F1B25">
        <w:rPr>
          <w:rFonts w:ascii="Franklin Gothic Book" w:hAnsi="Franklin Gothic Book"/>
          <w:b w:val="0"/>
          <w:sz w:val="22"/>
          <w:szCs w:val="22"/>
        </w:rPr>
        <w:t xml:space="preserve"> experience </w:t>
      </w:r>
      <w:r w:rsidR="00A50C53">
        <w:rPr>
          <w:rFonts w:ascii="Franklin Gothic Book" w:hAnsi="Franklin Gothic Book"/>
          <w:b w:val="0"/>
          <w:sz w:val="22"/>
          <w:szCs w:val="22"/>
        </w:rPr>
        <w:t xml:space="preserve">also </w:t>
      </w:r>
      <w:r w:rsidR="009F1B25">
        <w:rPr>
          <w:rFonts w:ascii="Franklin Gothic Book" w:hAnsi="Franklin Gothic Book"/>
          <w:b w:val="0"/>
          <w:sz w:val="22"/>
          <w:szCs w:val="22"/>
        </w:rPr>
        <w:t>includes wastewater treatment operations such as chemical precipitation, sludge thickening, oils removal, reverse osmosis (RO), microfiltration (MF), ultrafiltration (UF)</w:t>
      </w:r>
      <w:r w:rsidR="002D621F">
        <w:rPr>
          <w:rFonts w:ascii="Franklin Gothic Book" w:hAnsi="Franklin Gothic Book"/>
          <w:b w:val="0"/>
          <w:sz w:val="22"/>
          <w:szCs w:val="22"/>
        </w:rPr>
        <w:t xml:space="preserve">, </w:t>
      </w:r>
      <w:r w:rsidR="009F1B25">
        <w:rPr>
          <w:rFonts w:ascii="Franklin Gothic Book" w:hAnsi="Franklin Gothic Book"/>
          <w:b w:val="0"/>
          <w:sz w:val="22"/>
          <w:szCs w:val="22"/>
        </w:rPr>
        <w:t>viral/bacterial disinfection</w:t>
      </w:r>
      <w:r w:rsidR="00686E77">
        <w:rPr>
          <w:rFonts w:ascii="Franklin Gothic Book" w:hAnsi="Franklin Gothic Book"/>
          <w:b w:val="0"/>
          <w:sz w:val="22"/>
          <w:szCs w:val="22"/>
        </w:rPr>
        <w:t>,</w:t>
      </w:r>
      <w:r w:rsidR="002D621F">
        <w:rPr>
          <w:rFonts w:ascii="Franklin Gothic Book" w:hAnsi="Franklin Gothic Book"/>
          <w:b w:val="0"/>
          <w:sz w:val="22"/>
          <w:szCs w:val="22"/>
        </w:rPr>
        <w:t xml:space="preserve"> and sludge/residual solids management and disposal</w:t>
      </w:r>
      <w:r w:rsidR="009F1B25">
        <w:rPr>
          <w:rFonts w:ascii="Franklin Gothic Book" w:hAnsi="Franklin Gothic Book"/>
          <w:b w:val="0"/>
          <w:sz w:val="22"/>
          <w:szCs w:val="22"/>
        </w:rPr>
        <w:t>.  Bowers has prepared standard operating procedures (SOPs), work instructions (WIs)</w:t>
      </w:r>
      <w:r w:rsidR="00686E77">
        <w:rPr>
          <w:rFonts w:ascii="Franklin Gothic Book" w:hAnsi="Franklin Gothic Book"/>
          <w:b w:val="0"/>
          <w:sz w:val="22"/>
          <w:szCs w:val="22"/>
        </w:rPr>
        <w:t>,</w:t>
      </w:r>
      <w:r w:rsidR="009F1B25">
        <w:rPr>
          <w:rFonts w:ascii="Franklin Gothic Book" w:hAnsi="Franklin Gothic Book"/>
          <w:b w:val="0"/>
          <w:sz w:val="22"/>
          <w:szCs w:val="22"/>
        </w:rPr>
        <w:t xml:space="preserve"> and written job aids for industrial wastewater treatment plant operators.  In addition, he has </w:t>
      </w:r>
      <w:r w:rsidR="00A50C53">
        <w:rPr>
          <w:rFonts w:ascii="Franklin Gothic Book" w:hAnsi="Franklin Gothic Book"/>
          <w:b w:val="0"/>
          <w:sz w:val="22"/>
          <w:szCs w:val="22"/>
        </w:rPr>
        <w:t>prepared</w:t>
      </w:r>
      <w:r w:rsidR="009F1B25">
        <w:rPr>
          <w:rFonts w:ascii="Franklin Gothic Book" w:hAnsi="Franklin Gothic Book"/>
          <w:b w:val="0"/>
          <w:sz w:val="22"/>
          <w:szCs w:val="22"/>
        </w:rPr>
        <w:t xml:space="preserve"> </w:t>
      </w:r>
      <w:r w:rsidR="00A50C53">
        <w:rPr>
          <w:rFonts w:ascii="Franklin Gothic Book" w:hAnsi="Franklin Gothic Book"/>
          <w:b w:val="0"/>
          <w:sz w:val="22"/>
          <w:szCs w:val="22"/>
        </w:rPr>
        <w:t xml:space="preserve">written </w:t>
      </w:r>
      <w:r w:rsidR="009F1B25">
        <w:rPr>
          <w:rFonts w:ascii="Franklin Gothic Book" w:hAnsi="Franklin Gothic Book"/>
          <w:b w:val="0"/>
          <w:sz w:val="22"/>
          <w:szCs w:val="22"/>
        </w:rPr>
        <w:t xml:space="preserve">training </w:t>
      </w:r>
      <w:r w:rsidR="00A50C53">
        <w:rPr>
          <w:rFonts w:ascii="Franklin Gothic Book" w:hAnsi="Franklin Gothic Book"/>
          <w:b w:val="0"/>
          <w:sz w:val="22"/>
          <w:szCs w:val="22"/>
        </w:rPr>
        <w:t>programs for wastewater</w:t>
      </w:r>
      <w:r w:rsidR="009F1B25">
        <w:rPr>
          <w:rFonts w:ascii="Franklin Gothic Book" w:hAnsi="Franklin Gothic Book"/>
          <w:b w:val="0"/>
          <w:sz w:val="22"/>
          <w:szCs w:val="22"/>
        </w:rPr>
        <w:t xml:space="preserve"> operators and</w:t>
      </w:r>
      <w:r w:rsidR="00A50C53">
        <w:rPr>
          <w:rFonts w:ascii="Franklin Gothic Book" w:hAnsi="Franklin Gothic Book"/>
          <w:b w:val="0"/>
          <w:sz w:val="22"/>
          <w:szCs w:val="22"/>
        </w:rPr>
        <w:t xml:space="preserve"> conducted on-the-job (OJT) training for industrial operators and plant leadership.  </w:t>
      </w:r>
      <w:r w:rsidR="00686E77">
        <w:rPr>
          <w:rFonts w:ascii="Franklin Gothic Book" w:hAnsi="Franklin Gothic Book"/>
          <w:b w:val="0"/>
          <w:sz w:val="22"/>
          <w:szCs w:val="22"/>
        </w:rPr>
        <w:t xml:space="preserve">His </w:t>
      </w:r>
      <w:r w:rsidR="00A50C53">
        <w:rPr>
          <w:rFonts w:ascii="Franklin Gothic Book" w:hAnsi="Franklin Gothic Book"/>
          <w:b w:val="0"/>
          <w:sz w:val="22"/>
          <w:szCs w:val="22"/>
        </w:rPr>
        <w:t>client base summary for industrial wastewater includes:</w:t>
      </w:r>
    </w:p>
    <w:p w:rsidR="00A50C53" w:rsidRDefault="00A50C53" w:rsidP="00A50C53">
      <w:pPr>
        <w:pStyle w:val="ListParagraph"/>
        <w:numPr>
          <w:ilvl w:val="0"/>
          <w:numId w:val="46"/>
        </w:numPr>
        <w:spacing w:after="0"/>
        <w:rPr>
          <w:szCs w:val="22"/>
        </w:rPr>
      </w:pPr>
      <w:r w:rsidRPr="00C43945">
        <w:rPr>
          <w:b/>
          <w:szCs w:val="22"/>
        </w:rPr>
        <w:t>Kennametal, Inc.—</w:t>
      </w:r>
      <w:r>
        <w:rPr>
          <w:szCs w:val="22"/>
        </w:rPr>
        <w:t>Bedford, PA</w:t>
      </w:r>
    </w:p>
    <w:p w:rsidR="00A50C53" w:rsidRDefault="00A50C53" w:rsidP="00C43945">
      <w:pPr>
        <w:pStyle w:val="ListParagraph"/>
        <w:numPr>
          <w:ilvl w:val="0"/>
          <w:numId w:val="0"/>
        </w:numPr>
        <w:spacing w:after="0"/>
        <w:ind w:left="1440"/>
        <w:rPr>
          <w:szCs w:val="22"/>
        </w:rPr>
      </w:pPr>
      <w:r>
        <w:rPr>
          <w:szCs w:val="22"/>
        </w:rPr>
        <w:t xml:space="preserve">Part </w:t>
      </w:r>
      <w:r w:rsidR="00C43945">
        <w:rPr>
          <w:szCs w:val="22"/>
        </w:rPr>
        <w:t>438—Metal Products &amp; Machinery (MP&amp;M)</w:t>
      </w:r>
    </w:p>
    <w:p w:rsidR="00A50C53" w:rsidRPr="00A50C53" w:rsidRDefault="00A50C53" w:rsidP="00C43945">
      <w:pPr>
        <w:pStyle w:val="ListParagraph"/>
        <w:numPr>
          <w:ilvl w:val="0"/>
          <w:numId w:val="46"/>
        </w:numPr>
        <w:spacing w:after="0"/>
        <w:rPr>
          <w:szCs w:val="22"/>
        </w:rPr>
      </w:pPr>
      <w:r w:rsidRPr="00C43945">
        <w:rPr>
          <w:b/>
          <w:szCs w:val="22"/>
        </w:rPr>
        <w:t>Livers Bronze Company</w:t>
      </w:r>
      <w:r w:rsidRPr="00A50C53">
        <w:rPr>
          <w:szCs w:val="22"/>
        </w:rPr>
        <w:t>—Kansas City, MO</w:t>
      </w:r>
    </w:p>
    <w:p w:rsidR="00A50C53" w:rsidRDefault="00A50C53" w:rsidP="00A50C53">
      <w:pPr>
        <w:spacing w:after="0"/>
        <w:ind w:left="720" w:firstLine="720"/>
        <w:rPr>
          <w:szCs w:val="22"/>
        </w:rPr>
      </w:pPr>
      <w:r>
        <w:rPr>
          <w:szCs w:val="22"/>
        </w:rPr>
        <w:t>Part 433—Metal Finishing</w:t>
      </w:r>
    </w:p>
    <w:p w:rsidR="00A50C53" w:rsidRDefault="00A50C53" w:rsidP="00A50C53">
      <w:pPr>
        <w:spacing w:after="0"/>
        <w:ind w:left="720"/>
        <w:rPr>
          <w:szCs w:val="22"/>
        </w:rPr>
      </w:pPr>
    </w:p>
    <w:p w:rsidR="00A50C53" w:rsidRPr="00A50C53" w:rsidRDefault="00A50C53" w:rsidP="00A50C53">
      <w:pPr>
        <w:pStyle w:val="ListParagraph"/>
        <w:numPr>
          <w:ilvl w:val="0"/>
          <w:numId w:val="46"/>
        </w:numPr>
        <w:spacing w:after="0"/>
        <w:rPr>
          <w:szCs w:val="22"/>
        </w:rPr>
      </w:pPr>
      <w:r w:rsidRPr="00C43945">
        <w:rPr>
          <w:b/>
          <w:szCs w:val="22"/>
        </w:rPr>
        <w:t>Harley-Davidson Motor Company</w:t>
      </w:r>
      <w:r w:rsidRPr="00A50C53">
        <w:rPr>
          <w:szCs w:val="22"/>
        </w:rPr>
        <w:t>—Kansas City, MO</w:t>
      </w:r>
    </w:p>
    <w:p w:rsidR="00A50C53" w:rsidRDefault="00A50C53" w:rsidP="00A50C53">
      <w:pPr>
        <w:spacing w:after="0"/>
        <w:ind w:left="720" w:firstLine="720"/>
        <w:rPr>
          <w:szCs w:val="22"/>
        </w:rPr>
      </w:pPr>
      <w:r>
        <w:rPr>
          <w:szCs w:val="22"/>
        </w:rPr>
        <w:t>Part 433—Metal Finishing</w:t>
      </w:r>
    </w:p>
    <w:p w:rsidR="00A50C53" w:rsidRPr="00A50C53" w:rsidRDefault="00A50C53" w:rsidP="00A50C53">
      <w:pPr>
        <w:pStyle w:val="ListParagraph"/>
        <w:numPr>
          <w:ilvl w:val="0"/>
          <w:numId w:val="46"/>
        </w:numPr>
        <w:spacing w:after="0"/>
        <w:rPr>
          <w:szCs w:val="22"/>
        </w:rPr>
      </w:pPr>
      <w:r w:rsidRPr="00C43945">
        <w:rPr>
          <w:b/>
          <w:szCs w:val="22"/>
        </w:rPr>
        <w:t>Boehringer Ingelheim Animal Health</w:t>
      </w:r>
      <w:r w:rsidRPr="00A50C53">
        <w:rPr>
          <w:szCs w:val="22"/>
        </w:rPr>
        <w:t>—St. Joseph, MO</w:t>
      </w:r>
    </w:p>
    <w:p w:rsidR="00A50C53" w:rsidRDefault="00A50C53" w:rsidP="00A50C53">
      <w:pPr>
        <w:spacing w:after="0"/>
        <w:ind w:left="720" w:firstLine="720"/>
        <w:rPr>
          <w:szCs w:val="22"/>
        </w:rPr>
      </w:pPr>
      <w:r>
        <w:rPr>
          <w:szCs w:val="22"/>
        </w:rPr>
        <w:t>Part 439—Pharmaceutical Manufacturing</w:t>
      </w:r>
    </w:p>
    <w:p w:rsidR="00A50C53" w:rsidRPr="00C43945" w:rsidRDefault="00A50C53" w:rsidP="00C43945">
      <w:pPr>
        <w:pStyle w:val="ListParagraph"/>
        <w:numPr>
          <w:ilvl w:val="0"/>
          <w:numId w:val="46"/>
        </w:numPr>
        <w:spacing w:after="0"/>
        <w:rPr>
          <w:szCs w:val="22"/>
        </w:rPr>
      </w:pPr>
      <w:proofErr w:type="spellStart"/>
      <w:r w:rsidRPr="00C43945">
        <w:rPr>
          <w:b/>
          <w:szCs w:val="22"/>
        </w:rPr>
        <w:t>Adient</w:t>
      </w:r>
      <w:proofErr w:type="spellEnd"/>
      <w:r w:rsidRPr="00C43945">
        <w:rPr>
          <w:b/>
          <w:szCs w:val="22"/>
        </w:rPr>
        <w:t xml:space="preserve"> (formerly Keiper </w:t>
      </w:r>
      <w:proofErr w:type="spellStart"/>
      <w:r w:rsidRPr="00C43945">
        <w:rPr>
          <w:b/>
          <w:szCs w:val="22"/>
        </w:rPr>
        <w:t>Recaro</w:t>
      </w:r>
      <w:proofErr w:type="spellEnd"/>
      <w:r w:rsidRPr="00C43945">
        <w:rPr>
          <w:b/>
          <w:szCs w:val="22"/>
        </w:rPr>
        <w:t>)</w:t>
      </w:r>
      <w:r w:rsidRPr="00C43945">
        <w:rPr>
          <w:szCs w:val="22"/>
        </w:rPr>
        <w:t>—Eldon, MO</w:t>
      </w:r>
    </w:p>
    <w:p w:rsidR="000C1641" w:rsidRDefault="00A50C53" w:rsidP="00A50C53">
      <w:pPr>
        <w:spacing w:after="0"/>
        <w:ind w:left="720" w:firstLine="720"/>
      </w:pPr>
      <w:r>
        <w:rPr>
          <w:szCs w:val="22"/>
        </w:rPr>
        <w:t>Part 433—Metal Finishing</w:t>
      </w:r>
    </w:p>
    <w:p w:rsidR="005532D9" w:rsidRPr="000360AE" w:rsidRDefault="005532D9" w:rsidP="00FD232A">
      <w:pPr>
        <w:pStyle w:val="ResumeHeading3"/>
      </w:pPr>
      <w:r w:rsidRPr="000360AE">
        <w:t>RCRA Subtitle C a</w:t>
      </w:r>
      <w:r w:rsidR="000360AE">
        <w:t>n</w:t>
      </w:r>
      <w:r w:rsidRPr="000360AE">
        <w:t>d D Experience</w:t>
      </w:r>
    </w:p>
    <w:p w:rsidR="002F518E" w:rsidRDefault="00A6456D" w:rsidP="00556EF7">
      <w:pPr>
        <w:rPr>
          <w:szCs w:val="24"/>
        </w:rPr>
      </w:pPr>
      <w:r>
        <w:rPr>
          <w:szCs w:val="24"/>
        </w:rPr>
        <w:t xml:space="preserve">Mr. Bowers has </w:t>
      </w:r>
      <w:r w:rsidR="007B143D">
        <w:rPr>
          <w:szCs w:val="24"/>
        </w:rPr>
        <w:t xml:space="preserve">20 </w:t>
      </w:r>
      <w:r w:rsidR="002F518E">
        <w:rPr>
          <w:szCs w:val="24"/>
        </w:rPr>
        <w:t xml:space="preserve">plus </w:t>
      </w:r>
      <w:proofErr w:type="spellStart"/>
      <w:r w:rsidR="00686E77">
        <w:rPr>
          <w:szCs w:val="24"/>
        </w:rPr>
        <w:t>years</w:t>
      </w:r>
      <w:r w:rsidR="002F518E">
        <w:rPr>
          <w:szCs w:val="24"/>
        </w:rPr>
        <w:t xml:space="preserve"> experience</w:t>
      </w:r>
      <w:proofErr w:type="spellEnd"/>
      <w:r>
        <w:rPr>
          <w:szCs w:val="24"/>
        </w:rPr>
        <w:t xml:space="preserve"> in the regulatory provisions of RCRA Subtitle C and D.  </w:t>
      </w:r>
      <w:r w:rsidR="00862A6D">
        <w:rPr>
          <w:szCs w:val="24"/>
        </w:rPr>
        <w:t>He</w:t>
      </w:r>
      <w:r>
        <w:rPr>
          <w:szCs w:val="24"/>
        </w:rPr>
        <w:t xml:space="preserve"> has managed non-hazardous </w:t>
      </w:r>
      <w:r w:rsidR="007B143D">
        <w:rPr>
          <w:szCs w:val="24"/>
        </w:rPr>
        <w:t xml:space="preserve">(Subtitle D) </w:t>
      </w:r>
      <w:r>
        <w:rPr>
          <w:szCs w:val="24"/>
        </w:rPr>
        <w:t xml:space="preserve">and hazardous waste </w:t>
      </w:r>
      <w:r w:rsidR="002F518E">
        <w:rPr>
          <w:szCs w:val="24"/>
        </w:rPr>
        <w:t xml:space="preserve">(Subtitle C) </w:t>
      </w:r>
      <w:r>
        <w:rPr>
          <w:szCs w:val="24"/>
        </w:rPr>
        <w:t>programs with budgets exceeding $1M annually for Fortune 500 companies including Harley-Davidson Motor Company and Boehringer Ingelheim Animal Health.</w:t>
      </w:r>
      <w:r w:rsidR="00463378">
        <w:rPr>
          <w:szCs w:val="24"/>
        </w:rPr>
        <w:t xml:space="preserve">  </w:t>
      </w:r>
    </w:p>
    <w:p w:rsidR="00A6456D" w:rsidRDefault="00463378" w:rsidP="00556EF7">
      <w:pPr>
        <w:rPr>
          <w:szCs w:val="24"/>
        </w:rPr>
      </w:pPr>
      <w:r>
        <w:rPr>
          <w:szCs w:val="24"/>
        </w:rPr>
        <w:t xml:space="preserve">His experience on the </w:t>
      </w:r>
      <w:r w:rsidR="007B143D">
        <w:rPr>
          <w:szCs w:val="24"/>
        </w:rPr>
        <w:t xml:space="preserve">hazardous waste generator provisions of Subtitle C </w:t>
      </w:r>
      <w:r w:rsidR="002F518E">
        <w:rPr>
          <w:szCs w:val="24"/>
        </w:rPr>
        <w:t xml:space="preserve">(Part 262) </w:t>
      </w:r>
      <w:r w:rsidR="007B143D">
        <w:rPr>
          <w:szCs w:val="24"/>
        </w:rPr>
        <w:t xml:space="preserve">is extensive and includes: hazardous waste identification, </w:t>
      </w:r>
      <w:r w:rsidR="002F518E">
        <w:rPr>
          <w:szCs w:val="24"/>
        </w:rPr>
        <w:t xml:space="preserve">waste </w:t>
      </w:r>
      <w:r w:rsidR="007B143D">
        <w:rPr>
          <w:szCs w:val="24"/>
        </w:rPr>
        <w:t xml:space="preserve">determinations, </w:t>
      </w:r>
      <w:r w:rsidR="002F518E">
        <w:rPr>
          <w:szCs w:val="24"/>
        </w:rPr>
        <w:t xml:space="preserve">container management and the air emission standards under Subparts BB and CC.  In addition, he has assisted very small quantity generators (VSQGs), small quantity generators (SQGs) and large quantity generators (LQGs) of hazardous waste with the applicable provisions of </w:t>
      </w:r>
      <w:r w:rsidR="00C02F72">
        <w:rPr>
          <w:szCs w:val="24"/>
        </w:rPr>
        <w:t>the hazardous waste rules</w:t>
      </w:r>
      <w:r w:rsidR="002F518E">
        <w:rPr>
          <w:szCs w:val="24"/>
        </w:rPr>
        <w:t xml:space="preserve">.  This </w:t>
      </w:r>
      <w:r w:rsidR="00BE668A">
        <w:rPr>
          <w:szCs w:val="24"/>
        </w:rPr>
        <w:t xml:space="preserve">experience base </w:t>
      </w:r>
      <w:r w:rsidR="002F518E">
        <w:rPr>
          <w:szCs w:val="24"/>
        </w:rPr>
        <w:t>includes</w:t>
      </w:r>
      <w:r w:rsidR="00BE668A">
        <w:rPr>
          <w:szCs w:val="24"/>
        </w:rPr>
        <w:t xml:space="preserve"> </w:t>
      </w:r>
      <w:r w:rsidR="002F518E">
        <w:rPr>
          <w:szCs w:val="24"/>
        </w:rPr>
        <w:t>manifesting, pre-transport requirements for labeling</w:t>
      </w:r>
      <w:r w:rsidR="00BE668A">
        <w:rPr>
          <w:szCs w:val="24"/>
        </w:rPr>
        <w:t>, marking and placarding of waste, preparing and conducting hazardous waste generator training, development and implementation of hazardous waste accumulation area inspections, biennial reporting, preparedness prevention (P&amp;P) provisions</w:t>
      </w:r>
      <w:r w:rsidR="00C02F72">
        <w:rPr>
          <w:szCs w:val="24"/>
        </w:rPr>
        <w:t xml:space="preserve"> and closure of hazardous waste central accumulation areas (CAAs)</w:t>
      </w:r>
      <w:r w:rsidR="00BE668A">
        <w:rPr>
          <w:szCs w:val="24"/>
        </w:rPr>
        <w:t>.  In terms of P&amp;P experience, he has prepared numerous written hazardous waste contingency plans for various manufacturing clients and business sectors.</w:t>
      </w:r>
    </w:p>
    <w:p w:rsidR="00F11797" w:rsidRDefault="00F11797" w:rsidP="00556EF7">
      <w:pPr>
        <w:rPr>
          <w:szCs w:val="24"/>
        </w:rPr>
      </w:pPr>
      <w:r>
        <w:rPr>
          <w:szCs w:val="24"/>
        </w:rPr>
        <w:t>Bowers also has experience with the treatment, storage</w:t>
      </w:r>
      <w:r w:rsidR="00686E77">
        <w:rPr>
          <w:szCs w:val="24"/>
        </w:rPr>
        <w:t>,</w:t>
      </w:r>
      <w:r>
        <w:rPr>
          <w:szCs w:val="24"/>
        </w:rPr>
        <w:t xml:space="preserve"> and disposal facility (TSDF) owner/operator provisions of Subtitle C </w:t>
      </w:r>
      <w:r w:rsidR="00F7259B">
        <w:rPr>
          <w:szCs w:val="24"/>
        </w:rPr>
        <w:t xml:space="preserve">and D for solid non-hazardous waste landfill facilities </w:t>
      </w:r>
      <w:r>
        <w:rPr>
          <w:szCs w:val="24"/>
        </w:rPr>
        <w:t>(Part 2</w:t>
      </w:r>
      <w:r w:rsidR="00F7259B">
        <w:rPr>
          <w:szCs w:val="24"/>
        </w:rPr>
        <w:t>58) and hazardous waste provisions (Part</w:t>
      </w:r>
      <w:r>
        <w:rPr>
          <w:szCs w:val="24"/>
        </w:rPr>
        <w:t xml:space="preserve"> 265)</w:t>
      </w:r>
      <w:r w:rsidR="00F7259B">
        <w:rPr>
          <w:szCs w:val="24"/>
        </w:rPr>
        <w:t xml:space="preserve">.  This includes </w:t>
      </w:r>
      <w:r w:rsidR="00686E77">
        <w:rPr>
          <w:szCs w:val="24"/>
        </w:rPr>
        <w:t xml:space="preserve">the </w:t>
      </w:r>
      <w:r w:rsidR="00F7259B">
        <w:rPr>
          <w:szCs w:val="24"/>
        </w:rPr>
        <w:t>preparation of preparedness and preve</w:t>
      </w:r>
      <w:r w:rsidR="005143EF">
        <w:rPr>
          <w:szCs w:val="24"/>
        </w:rPr>
        <w:t>n</w:t>
      </w:r>
      <w:r w:rsidR="00F7259B">
        <w:rPr>
          <w:szCs w:val="24"/>
        </w:rPr>
        <w:t>tion</w:t>
      </w:r>
      <w:r w:rsidR="005143EF">
        <w:rPr>
          <w:szCs w:val="24"/>
        </w:rPr>
        <w:t xml:space="preserve"> plans, emergency contingency plans, waste analysis plans</w:t>
      </w:r>
      <w:r w:rsidR="00686E77">
        <w:rPr>
          <w:szCs w:val="24"/>
        </w:rPr>
        <w:t>,</w:t>
      </w:r>
      <w:r w:rsidR="005143EF">
        <w:rPr>
          <w:szCs w:val="24"/>
        </w:rPr>
        <w:t xml:space="preserve"> and closure/post-closure care plans.  In addition, Mr. Bowers held the role of groundwater statistician for the Solid Waste Division at the Virginia Department of Environmental Quality (VDEQ).  He has 18 plus </w:t>
      </w:r>
      <w:proofErr w:type="spellStart"/>
      <w:r w:rsidR="00686E77">
        <w:rPr>
          <w:szCs w:val="24"/>
        </w:rPr>
        <w:t>years</w:t>
      </w:r>
      <w:r w:rsidR="005143EF">
        <w:rPr>
          <w:szCs w:val="24"/>
        </w:rPr>
        <w:t xml:space="preserve"> experience</w:t>
      </w:r>
      <w:proofErr w:type="spellEnd"/>
      <w:r w:rsidR="005143EF">
        <w:rPr>
          <w:szCs w:val="24"/>
        </w:rPr>
        <w:t xml:space="preserve"> with the Part V groundwater monitoring provisions including detection, assessment, and corrective action groundwater statistical evaluations and response activities.</w:t>
      </w:r>
    </w:p>
    <w:p w:rsidR="00163242" w:rsidRDefault="000C1641" w:rsidP="00EB387D">
      <w:pPr>
        <w:pStyle w:val="ResumeHeading3"/>
      </w:pPr>
      <w:r>
        <w:t>Sub</w:t>
      </w:r>
      <w:r w:rsidR="008C1FD9">
        <w:t xml:space="preserve">title D </w:t>
      </w:r>
      <w:r w:rsidR="00163242">
        <w:t xml:space="preserve">Landfill </w:t>
      </w:r>
      <w:r w:rsidR="00B13A69">
        <w:t xml:space="preserve">Groundwater </w:t>
      </w:r>
      <w:r w:rsidR="00163242">
        <w:t>Compliance</w:t>
      </w:r>
    </w:p>
    <w:p w:rsidR="00163242" w:rsidRPr="00B13A69" w:rsidRDefault="00163242" w:rsidP="009F0B77">
      <w:pPr>
        <w:rPr>
          <w:b/>
        </w:rPr>
      </w:pPr>
      <w:r w:rsidRPr="00D341E2">
        <w:rPr>
          <w:b/>
        </w:rPr>
        <w:t>Frederick County Landfill</w:t>
      </w:r>
      <w:r w:rsidR="00D341E2">
        <w:rPr>
          <w:b/>
        </w:rPr>
        <w:t xml:space="preserve">, Winchester, VA. </w:t>
      </w:r>
      <w:r w:rsidR="00B13A69">
        <w:t xml:space="preserve">Prepared </w:t>
      </w:r>
      <w:r w:rsidR="00A70CCD">
        <w:t xml:space="preserve">groundwater </w:t>
      </w:r>
      <w:r w:rsidR="00B13A69">
        <w:t>statistical evaluations for detection monitoring programs at active sanitary and CDD landfills and at the closed sanitary landfill.</w:t>
      </w:r>
      <w:r w:rsidR="000F368B">
        <w:t xml:space="preserve">  </w:t>
      </w:r>
      <w:bookmarkStart w:id="0" w:name="_Hlk75336850"/>
      <w:r w:rsidR="000F368B">
        <w:t>Prepared written groundwater sampling and analysis plans for active and closed landfills</w:t>
      </w:r>
      <w:r w:rsidR="00C02F72">
        <w:t xml:space="preserve"> per VDEQ regulations</w:t>
      </w:r>
      <w:r w:rsidR="000F368B">
        <w:t>.</w:t>
      </w:r>
    </w:p>
    <w:bookmarkEnd w:id="0"/>
    <w:p w:rsidR="000F368B" w:rsidRPr="00B13A69" w:rsidRDefault="00163242" w:rsidP="009F0B77">
      <w:pPr>
        <w:rPr>
          <w:b/>
        </w:rPr>
      </w:pPr>
      <w:r w:rsidRPr="00D341E2">
        <w:rPr>
          <w:b/>
        </w:rPr>
        <w:t>Shenandoah County Landfill</w:t>
      </w:r>
      <w:r w:rsidR="00D341E2">
        <w:rPr>
          <w:b/>
        </w:rPr>
        <w:t xml:space="preserve">, Edinburg, VA.  </w:t>
      </w:r>
      <w:r w:rsidR="00A70CCD">
        <w:t>Prepared groundwater statistical evaluations for detection, assessment</w:t>
      </w:r>
      <w:r w:rsidR="00686E77">
        <w:t>,</w:t>
      </w:r>
      <w:r w:rsidR="00A70CCD">
        <w:t xml:space="preserve"> and corrective action monitoring programs in karst hydrogeology for sanitary landfill.  In addition, prepared alternate source demonstrations (ASDs) for groundwater statistically significant increases (SSIs).</w:t>
      </w:r>
      <w:r w:rsidR="000F368B">
        <w:t xml:space="preserve">  Prepared written groundwater sampling and analysis plan for active sanitary landfill</w:t>
      </w:r>
      <w:r w:rsidR="002E5B1B">
        <w:t xml:space="preserve"> per VDEQ </w:t>
      </w:r>
      <w:r w:rsidR="00D341E2">
        <w:t>regulations</w:t>
      </w:r>
      <w:r w:rsidR="000F368B">
        <w:t>.</w:t>
      </w:r>
    </w:p>
    <w:p w:rsidR="00A70CCD" w:rsidRDefault="00163242" w:rsidP="009F0B77">
      <w:pPr>
        <w:rPr>
          <w:b/>
        </w:rPr>
      </w:pPr>
      <w:r w:rsidRPr="00D341E2">
        <w:rPr>
          <w:b/>
        </w:rPr>
        <w:t>Hanging Rock Landfi</w:t>
      </w:r>
      <w:r w:rsidR="00B13A69" w:rsidRPr="00D341E2">
        <w:rPr>
          <w:b/>
        </w:rPr>
        <w:t>ll</w:t>
      </w:r>
      <w:r w:rsidR="00D341E2">
        <w:rPr>
          <w:b/>
        </w:rPr>
        <w:t xml:space="preserve">, </w:t>
      </w:r>
      <w:r w:rsidR="00D341E2" w:rsidRPr="00D341E2">
        <w:rPr>
          <w:b/>
        </w:rPr>
        <w:t>Ironton</w:t>
      </w:r>
      <w:r w:rsidR="00D341E2">
        <w:rPr>
          <w:b/>
        </w:rPr>
        <w:t xml:space="preserve">, OH. </w:t>
      </w:r>
      <w:r w:rsidR="00A70CCD">
        <w:t>Prepared groundwater statistical evaluations for</w:t>
      </w:r>
      <w:r w:rsidR="000F368B">
        <w:t xml:space="preserve"> first determination,</w:t>
      </w:r>
      <w:r w:rsidR="00A70CCD">
        <w:t xml:space="preserve"> detection, assessment</w:t>
      </w:r>
      <w:r w:rsidR="00686E77">
        <w:t>,</w:t>
      </w:r>
      <w:r w:rsidR="00A70CCD">
        <w:t xml:space="preserve"> and corrective action monitoring programs in </w:t>
      </w:r>
      <w:r w:rsidR="000F368B">
        <w:t>fractured sandstone</w:t>
      </w:r>
      <w:r w:rsidR="00A70CCD">
        <w:t xml:space="preserve"> hydrogeology for </w:t>
      </w:r>
      <w:r w:rsidR="00945F1B">
        <w:t xml:space="preserve">closed </w:t>
      </w:r>
      <w:r w:rsidR="00A70CCD">
        <w:t xml:space="preserve">sanitary </w:t>
      </w:r>
      <w:r w:rsidR="000F368B">
        <w:t xml:space="preserve">and ash </w:t>
      </w:r>
      <w:proofErr w:type="spellStart"/>
      <w:r w:rsidR="000F368B">
        <w:t>monofills</w:t>
      </w:r>
      <w:proofErr w:type="spellEnd"/>
      <w:r w:rsidR="00A70CCD">
        <w:t>.  In addition, prepared alternate source demonstrations (ASDs) for groundwater statistically significant increases (SSIs)</w:t>
      </w:r>
      <w:r w:rsidR="000F368B">
        <w:t xml:space="preserve"> and written groundwater sampling and analysis plan</w:t>
      </w:r>
      <w:r w:rsidR="00C02F72">
        <w:t>s</w:t>
      </w:r>
      <w:r w:rsidR="000F368B">
        <w:t xml:space="preserve"> for both facilities per OEPA regulations.</w:t>
      </w:r>
    </w:p>
    <w:p w:rsidR="00A70CCD" w:rsidRDefault="00F7259B" w:rsidP="009F0B77">
      <w:pPr>
        <w:rPr>
          <w:b/>
        </w:rPr>
      </w:pPr>
      <w:r w:rsidRPr="00D341E2">
        <w:rPr>
          <w:b/>
        </w:rPr>
        <w:lastRenderedPageBreak/>
        <w:t>Marquette County Landfill</w:t>
      </w:r>
      <w:r w:rsidR="00D341E2">
        <w:rPr>
          <w:b/>
        </w:rPr>
        <w:t xml:space="preserve">, Marquette, MI. </w:t>
      </w:r>
      <w:r w:rsidR="00A70CCD">
        <w:t xml:space="preserve">Prepared groundwater statistical evaluations for detection, assessment and corrective action monitoring programs in karst hydrogeology for sanitary landfill.  In addition, prepared </w:t>
      </w:r>
      <w:r w:rsidR="00AA1FCF">
        <w:t>al</w:t>
      </w:r>
      <w:r w:rsidR="00A70CCD">
        <w:t>ternate source demonstrations (ASDs) for groundwater statistically significant increases (SSIs)</w:t>
      </w:r>
      <w:r w:rsidR="002E5B1B">
        <w:t xml:space="preserve"> per Michigan Department of Environment, Great Lakes and Energy (EGLE)</w:t>
      </w:r>
      <w:r w:rsidR="00A70CCD">
        <w:t>.</w:t>
      </w:r>
    </w:p>
    <w:p w:rsidR="00EB387D" w:rsidRPr="00537954" w:rsidRDefault="00EB387D" w:rsidP="00EB387D">
      <w:pPr>
        <w:pStyle w:val="ResumeHeading3"/>
      </w:pPr>
      <w:r w:rsidRPr="00537954">
        <w:t xml:space="preserve">Environmental </w:t>
      </w:r>
      <w:r w:rsidR="00A70CCD">
        <w:t xml:space="preserve">Regulatory </w:t>
      </w:r>
      <w:r w:rsidRPr="00537954">
        <w:t>Compliance Audits</w:t>
      </w:r>
    </w:p>
    <w:p w:rsidR="00EB387D" w:rsidRDefault="00EB387D" w:rsidP="009F0B77">
      <w:r w:rsidRPr="002D1170">
        <w:t xml:space="preserve">Mr. </w:t>
      </w:r>
      <w:r w:rsidR="00A70CCD">
        <w:t>Bowers</w:t>
      </w:r>
      <w:r w:rsidRPr="002D1170">
        <w:t xml:space="preserve"> is experienced in the performance of </w:t>
      </w:r>
      <w:r>
        <w:t xml:space="preserve">multimedia </w:t>
      </w:r>
      <w:r w:rsidRPr="002D1170">
        <w:t xml:space="preserve">environmental compliance audits addressing regulations promulgated under RCRA, CERCLA, TSCA, </w:t>
      </w:r>
      <w:smartTag w:uri="urn:schemas-microsoft-com:office:smarttags" w:element="stockticker">
        <w:r w:rsidRPr="002D1170">
          <w:t>CAA</w:t>
        </w:r>
      </w:smartTag>
      <w:r w:rsidRPr="002D1170">
        <w:t xml:space="preserve">, SDWA, CWA, </w:t>
      </w:r>
      <w:r>
        <w:t>OP</w:t>
      </w:r>
      <w:r w:rsidR="002E5B1B">
        <w:t>P</w:t>
      </w:r>
      <w:r>
        <w:t>A</w:t>
      </w:r>
      <w:r w:rsidR="00A70CCD">
        <w:t xml:space="preserve"> and </w:t>
      </w:r>
      <w:r>
        <w:t>EPCRA</w:t>
      </w:r>
      <w:r w:rsidR="00A70CCD">
        <w:t xml:space="preserve">.  </w:t>
      </w:r>
      <w:r w:rsidRPr="002D1170">
        <w:t xml:space="preserve"> </w:t>
      </w:r>
      <w:r w:rsidR="002E5B1B">
        <w:t>A sample client list for multimedia compliance audits follows:</w:t>
      </w:r>
    </w:p>
    <w:p w:rsidR="00A70CCD" w:rsidRDefault="00A70CCD" w:rsidP="009F0B77">
      <w:pPr>
        <w:rPr>
          <w:b/>
        </w:rPr>
      </w:pPr>
      <w:proofErr w:type="spellStart"/>
      <w:r w:rsidRPr="00D341E2">
        <w:rPr>
          <w:b/>
        </w:rPr>
        <w:t>Rheem</w:t>
      </w:r>
      <w:proofErr w:type="spellEnd"/>
      <w:r w:rsidRPr="00D341E2">
        <w:rPr>
          <w:b/>
        </w:rPr>
        <w:t xml:space="preserve"> Manufacturing, Inc.</w:t>
      </w:r>
      <w:r w:rsidR="00D341E2">
        <w:rPr>
          <w:b/>
        </w:rPr>
        <w:t xml:space="preserve">, </w:t>
      </w:r>
      <w:r w:rsidR="000F368B" w:rsidRPr="00D341E2">
        <w:rPr>
          <w:b/>
        </w:rPr>
        <w:t>Ft. Smith, AR</w:t>
      </w:r>
      <w:r w:rsidR="00D341E2">
        <w:rPr>
          <w:b/>
        </w:rPr>
        <w:t xml:space="preserve">. </w:t>
      </w:r>
      <w:r w:rsidR="002E5B1B">
        <w:t>M</w:t>
      </w:r>
      <w:r w:rsidR="003F7D6B">
        <w:t>anufacturing facility for industrial/commercial refrigeration/climate control systems</w:t>
      </w:r>
      <w:r w:rsidR="000B4BE6">
        <w:t>.</w:t>
      </w:r>
    </w:p>
    <w:p w:rsidR="003F7D6B" w:rsidRPr="00B13A69" w:rsidRDefault="000F368B" w:rsidP="009F0B77">
      <w:pPr>
        <w:rPr>
          <w:b/>
        </w:rPr>
      </w:pPr>
      <w:r w:rsidRPr="00D341E2">
        <w:rPr>
          <w:b/>
        </w:rPr>
        <w:t>He</w:t>
      </w:r>
      <w:r w:rsidR="00D341E2">
        <w:rPr>
          <w:b/>
        </w:rPr>
        <w:t xml:space="preserve">at Transfer Products Group, LLC, </w:t>
      </w:r>
      <w:r w:rsidRPr="00D341E2">
        <w:rPr>
          <w:b/>
        </w:rPr>
        <w:t xml:space="preserve">Scottsboro, </w:t>
      </w:r>
      <w:r w:rsidR="00FD232A" w:rsidRPr="00D341E2">
        <w:rPr>
          <w:b/>
        </w:rPr>
        <w:t xml:space="preserve">AL </w:t>
      </w:r>
      <w:r w:rsidR="00FD232A" w:rsidRPr="00FD232A">
        <w:t>Subsidiary</w:t>
      </w:r>
      <w:r w:rsidR="000B4BE6" w:rsidRPr="00FD232A">
        <w:t xml:space="preserve"> </w:t>
      </w:r>
      <w:r w:rsidR="000B4BE6">
        <w:t xml:space="preserve">of </w:t>
      </w:r>
      <w:proofErr w:type="spellStart"/>
      <w:r w:rsidR="000B4BE6">
        <w:t>Rheem</w:t>
      </w:r>
      <w:proofErr w:type="spellEnd"/>
      <w:r w:rsidR="000B4BE6">
        <w:t xml:space="preserve"> Manufacturing.  </w:t>
      </w:r>
      <w:r w:rsidR="002E5B1B">
        <w:t>Ma</w:t>
      </w:r>
      <w:r w:rsidR="003F7D6B">
        <w:t xml:space="preserve">nufacturing facility for industrial/commercial </w:t>
      </w:r>
      <w:r w:rsidR="000B4BE6">
        <w:t>water heating/cooling</w:t>
      </w:r>
      <w:r w:rsidR="003F7D6B">
        <w:t xml:space="preserve"> systems</w:t>
      </w:r>
      <w:r w:rsidR="000B4BE6">
        <w:t>.</w:t>
      </w:r>
    </w:p>
    <w:p w:rsidR="000F368B" w:rsidRDefault="00D341E2" w:rsidP="009F0B77">
      <w:pPr>
        <w:rPr>
          <w:b/>
        </w:rPr>
      </w:pPr>
      <w:proofErr w:type="spellStart"/>
      <w:r w:rsidRPr="00D341E2">
        <w:rPr>
          <w:b/>
        </w:rPr>
        <w:t>Rheem</w:t>
      </w:r>
      <w:proofErr w:type="spellEnd"/>
      <w:r w:rsidRPr="00D341E2">
        <w:rPr>
          <w:b/>
        </w:rPr>
        <w:t xml:space="preserve"> Lewisville</w:t>
      </w:r>
      <w:r>
        <w:rPr>
          <w:b/>
        </w:rPr>
        <w:t xml:space="preserve">, </w:t>
      </w:r>
      <w:r w:rsidR="000F368B" w:rsidRPr="00D341E2">
        <w:rPr>
          <w:b/>
        </w:rPr>
        <w:t>Lewisville, TX</w:t>
      </w:r>
      <w:r>
        <w:rPr>
          <w:b/>
        </w:rPr>
        <w:t xml:space="preserve">. </w:t>
      </w:r>
      <w:r w:rsidR="002E5B1B">
        <w:t>M</w:t>
      </w:r>
      <w:r w:rsidR="000B4BE6">
        <w:t>ajor distribution shipping/receiving warehouse.</w:t>
      </w:r>
    </w:p>
    <w:p w:rsidR="000B4BE6" w:rsidRDefault="00C77A96" w:rsidP="009F0B77">
      <w:pPr>
        <w:rPr>
          <w:b/>
        </w:rPr>
      </w:pPr>
      <w:r w:rsidRPr="00D341E2">
        <w:rPr>
          <w:b/>
        </w:rPr>
        <w:t>Thermo Fisher Scientific</w:t>
      </w:r>
      <w:r w:rsidR="00D341E2">
        <w:rPr>
          <w:b/>
        </w:rPr>
        <w:t xml:space="preserve">, </w:t>
      </w:r>
      <w:r w:rsidRPr="00D341E2">
        <w:rPr>
          <w:b/>
        </w:rPr>
        <w:t>Atlanta, GA</w:t>
      </w:r>
      <w:r w:rsidR="00D341E2">
        <w:rPr>
          <w:b/>
        </w:rPr>
        <w:t xml:space="preserve">. </w:t>
      </w:r>
      <w:r w:rsidR="002E5B1B">
        <w:t>M</w:t>
      </w:r>
      <w:r>
        <w:t>edical diagnostics manufacturer</w:t>
      </w:r>
      <w:r w:rsidR="002E5B1B">
        <w:t>.</w:t>
      </w:r>
    </w:p>
    <w:p w:rsidR="000F368B" w:rsidRDefault="00D341E2" w:rsidP="009F0B77">
      <w:pPr>
        <w:rPr>
          <w:b/>
        </w:rPr>
      </w:pPr>
      <w:r>
        <w:rPr>
          <w:b/>
        </w:rPr>
        <w:t xml:space="preserve">American Airlines M&amp;E Base, </w:t>
      </w:r>
      <w:r w:rsidR="000F368B" w:rsidRPr="00D341E2">
        <w:rPr>
          <w:b/>
        </w:rPr>
        <w:t>Kansas City, MO</w:t>
      </w:r>
      <w:r>
        <w:rPr>
          <w:b/>
        </w:rPr>
        <w:t xml:space="preserve">. </w:t>
      </w:r>
      <w:r w:rsidR="002E5B1B">
        <w:t>M</w:t>
      </w:r>
      <w:r w:rsidR="000B4BE6">
        <w:t xml:space="preserve">aintenance and engineering facility at Kansas City International </w:t>
      </w:r>
      <w:r w:rsidR="002E5B1B">
        <w:t xml:space="preserve">(KCI) </w:t>
      </w:r>
      <w:r w:rsidR="000B4BE6">
        <w:t>Airport.</w:t>
      </w:r>
    </w:p>
    <w:p w:rsidR="000F368B" w:rsidRDefault="00D341E2" w:rsidP="009F0B77">
      <w:pPr>
        <w:rPr>
          <w:b/>
        </w:rPr>
      </w:pPr>
      <w:r>
        <w:rPr>
          <w:b/>
        </w:rPr>
        <w:t xml:space="preserve">Livers Bronze Company, </w:t>
      </w:r>
      <w:r w:rsidR="000F368B" w:rsidRPr="00D341E2">
        <w:rPr>
          <w:b/>
        </w:rPr>
        <w:t>Kansas City, MO</w:t>
      </w:r>
      <w:r>
        <w:rPr>
          <w:b/>
        </w:rPr>
        <w:t xml:space="preserve">. </w:t>
      </w:r>
      <w:r w:rsidR="002E5B1B">
        <w:t>C</w:t>
      </w:r>
      <w:r w:rsidR="000B4BE6">
        <w:t>ommercial railing manufacturer (steel, brass, bronze and aluminum).</w:t>
      </w:r>
    </w:p>
    <w:p w:rsidR="000F368B" w:rsidRDefault="00D341E2" w:rsidP="009F0B77">
      <w:pPr>
        <w:rPr>
          <w:b/>
        </w:rPr>
      </w:pPr>
      <w:r>
        <w:rPr>
          <w:b/>
        </w:rPr>
        <w:t xml:space="preserve">B/E Aerospace, </w:t>
      </w:r>
      <w:r w:rsidR="000F368B" w:rsidRPr="00D341E2">
        <w:rPr>
          <w:b/>
        </w:rPr>
        <w:t>Lenexa, KS</w:t>
      </w:r>
      <w:r>
        <w:rPr>
          <w:b/>
        </w:rPr>
        <w:t xml:space="preserve">. </w:t>
      </w:r>
      <w:r w:rsidR="002E5B1B">
        <w:t>A</w:t>
      </w:r>
      <w:r w:rsidR="000B4BE6">
        <w:t>ircraft parts and equipment manufacturer (seats, O2 systems, plug-and-play modules/equipment)</w:t>
      </w:r>
      <w:r w:rsidR="00AC6534">
        <w:t>.</w:t>
      </w:r>
    </w:p>
    <w:p w:rsidR="00AC6534" w:rsidRDefault="00D341E2" w:rsidP="009F0B77">
      <w:pPr>
        <w:rPr>
          <w:b/>
        </w:rPr>
      </w:pPr>
      <w:r>
        <w:rPr>
          <w:b/>
        </w:rPr>
        <w:t xml:space="preserve">Kennametal, </w:t>
      </w:r>
      <w:r w:rsidR="00AC6534" w:rsidRPr="00D341E2">
        <w:rPr>
          <w:b/>
        </w:rPr>
        <w:t>Rogers</w:t>
      </w:r>
      <w:r w:rsidR="000F368B" w:rsidRPr="00D341E2">
        <w:rPr>
          <w:b/>
        </w:rPr>
        <w:t>, AR</w:t>
      </w:r>
      <w:r>
        <w:rPr>
          <w:b/>
        </w:rPr>
        <w:t xml:space="preserve">. </w:t>
      </w:r>
      <w:r w:rsidR="002E5B1B">
        <w:t>Manufactur</w:t>
      </w:r>
      <w:r w:rsidR="00AC6534">
        <w:t>er of carbide alloy cutting tools and tooling systems (tungsten carbide alloys).</w:t>
      </w:r>
    </w:p>
    <w:p w:rsidR="00AC6534" w:rsidRDefault="000F368B" w:rsidP="009F0B77">
      <w:pPr>
        <w:rPr>
          <w:b/>
        </w:rPr>
      </w:pPr>
      <w:r w:rsidRPr="00D341E2">
        <w:rPr>
          <w:b/>
        </w:rPr>
        <w:t>Boe</w:t>
      </w:r>
      <w:r w:rsidR="00D341E2">
        <w:rPr>
          <w:b/>
        </w:rPr>
        <w:t xml:space="preserve">hringer Ingelheim Animal Health, </w:t>
      </w:r>
      <w:r w:rsidRPr="00D341E2">
        <w:rPr>
          <w:b/>
        </w:rPr>
        <w:t>St. Joseph, MO</w:t>
      </w:r>
      <w:r w:rsidR="00D341E2">
        <w:rPr>
          <w:b/>
        </w:rPr>
        <w:t xml:space="preserve">. </w:t>
      </w:r>
      <w:r w:rsidR="00AC6534">
        <w:t>Internal multimedia audit of 2</w:t>
      </w:r>
      <w:r w:rsidR="00AC6534" w:rsidRPr="00AC6534">
        <w:rPr>
          <w:vertAlign w:val="superscript"/>
        </w:rPr>
        <w:t>nd</w:t>
      </w:r>
      <w:r w:rsidR="00AC6534">
        <w:t xml:space="preserve"> largest animal vaccine manufacturer in the world.  Vaccines for companion pets, equine, bovine and other species.</w:t>
      </w:r>
    </w:p>
    <w:p w:rsidR="000F368B" w:rsidRPr="00FA5B84" w:rsidRDefault="000F368B" w:rsidP="009F0B77">
      <w:pPr>
        <w:rPr>
          <w:b/>
        </w:rPr>
      </w:pPr>
      <w:r w:rsidRPr="00D341E2">
        <w:rPr>
          <w:b/>
        </w:rPr>
        <w:t xml:space="preserve">Harley-Davidson Motor </w:t>
      </w:r>
      <w:r w:rsidR="00D341E2">
        <w:rPr>
          <w:b/>
        </w:rPr>
        <w:t xml:space="preserve">Company Operations, </w:t>
      </w:r>
      <w:r w:rsidR="00AC6534" w:rsidRPr="00D341E2">
        <w:rPr>
          <w:b/>
        </w:rPr>
        <w:t>Multiple Sites</w:t>
      </w:r>
      <w:r w:rsidR="00D341E2">
        <w:rPr>
          <w:b/>
        </w:rPr>
        <w:t xml:space="preserve">. </w:t>
      </w:r>
      <w:r w:rsidR="00AC6534">
        <w:t xml:space="preserve">Internal multimedia audits at manufacturing sites for H-D motorcycles and accessories.  Audits conducted </w:t>
      </w:r>
      <w:r w:rsidR="005E2FD0">
        <w:t xml:space="preserve">on a regular basis at the Kansas City, MO assembly plant, York, PA assembly facility, Capitol Drive/Pilgrim Road (Milwaukee, WI) powertrain facilities and the Product Development Center (R&amp;D). </w:t>
      </w:r>
    </w:p>
    <w:p w:rsidR="00595F1C" w:rsidRPr="00537954" w:rsidRDefault="00FE3B38" w:rsidP="00595F1C">
      <w:pPr>
        <w:pStyle w:val="ResumeHeading3"/>
      </w:pPr>
      <w:r>
        <w:t>E</w:t>
      </w:r>
      <w:r w:rsidR="00595F1C" w:rsidRPr="00537954">
        <w:t>nvironmental Permitting</w:t>
      </w:r>
    </w:p>
    <w:p w:rsidR="00945F1B" w:rsidRDefault="00595F1C" w:rsidP="00595F1C">
      <w:pPr>
        <w:rPr>
          <w:szCs w:val="24"/>
        </w:rPr>
      </w:pPr>
      <w:r w:rsidRPr="00065BA5">
        <w:rPr>
          <w:szCs w:val="24"/>
        </w:rPr>
        <w:t xml:space="preserve">Mr. </w:t>
      </w:r>
      <w:r w:rsidR="00FA5B84">
        <w:rPr>
          <w:szCs w:val="24"/>
        </w:rPr>
        <w:t>Bowers</w:t>
      </w:r>
      <w:r w:rsidRPr="00065BA5">
        <w:rPr>
          <w:szCs w:val="24"/>
        </w:rPr>
        <w:t xml:space="preserve"> has prepared </w:t>
      </w:r>
      <w:r w:rsidR="002E5B1B">
        <w:rPr>
          <w:szCs w:val="24"/>
        </w:rPr>
        <w:t xml:space="preserve">or evaluated applicability of multimedia environmental </w:t>
      </w:r>
      <w:r w:rsidRPr="00065BA5">
        <w:rPr>
          <w:szCs w:val="24"/>
        </w:rPr>
        <w:t xml:space="preserve">permit applications for </w:t>
      </w:r>
      <w:r w:rsidR="002E5B1B">
        <w:rPr>
          <w:szCs w:val="24"/>
        </w:rPr>
        <w:t>f</w:t>
      </w:r>
      <w:r w:rsidRPr="00065BA5">
        <w:rPr>
          <w:szCs w:val="24"/>
        </w:rPr>
        <w:t>ederal</w:t>
      </w:r>
      <w:r w:rsidR="00945F1B">
        <w:rPr>
          <w:szCs w:val="24"/>
        </w:rPr>
        <w:t xml:space="preserve"> and</w:t>
      </w:r>
      <w:r w:rsidRPr="00065BA5">
        <w:rPr>
          <w:szCs w:val="24"/>
        </w:rPr>
        <w:t xml:space="preserve"> state </w:t>
      </w:r>
      <w:r w:rsidR="00945F1B">
        <w:rPr>
          <w:szCs w:val="24"/>
        </w:rPr>
        <w:t>e</w:t>
      </w:r>
      <w:r w:rsidRPr="00065BA5">
        <w:rPr>
          <w:szCs w:val="24"/>
        </w:rPr>
        <w:t>nvironmental regulatory programs</w:t>
      </w:r>
      <w:r w:rsidR="000C04C8">
        <w:rPr>
          <w:szCs w:val="24"/>
        </w:rPr>
        <w:t xml:space="preserve"> under CAA and CWA</w:t>
      </w:r>
      <w:r w:rsidRPr="00065BA5">
        <w:rPr>
          <w:szCs w:val="24"/>
        </w:rPr>
        <w:t xml:space="preserve">.  </w:t>
      </w:r>
      <w:r w:rsidR="00945F1B">
        <w:rPr>
          <w:szCs w:val="24"/>
        </w:rPr>
        <w:t>A summary is below.</w:t>
      </w:r>
    </w:p>
    <w:p w:rsidR="00DF7C22" w:rsidRPr="007B270E" w:rsidRDefault="00DF7C22" w:rsidP="007B270E">
      <w:pPr>
        <w:keepNext/>
        <w:spacing w:after="120"/>
        <w:rPr>
          <w:b/>
        </w:rPr>
      </w:pPr>
      <w:r w:rsidRPr="007B270E">
        <w:rPr>
          <w:b/>
        </w:rPr>
        <w:t>VPA Permitting-Land Application Feasibility Study</w:t>
      </w:r>
    </w:p>
    <w:p w:rsidR="00DF7C22" w:rsidRDefault="00DF7C22" w:rsidP="00945F1B">
      <w:pPr>
        <w:spacing w:after="0"/>
        <w:rPr>
          <w:szCs w:val="22"/>
        </w:rPr>
      </w:pPr>
      <w:r>
        <w:rPr>
          <w:b/>
          <w:i/>
          <w:szCs w:val="22"/>
        </w:rPr>
        <w:tab/>
      </w:r>
      <w:r w:rsidRPr="008E47ED">
        <w:rPr>
          <w:szCs w:val="22"/>
        </w:rPr>
        <w:t>Bowman Apple Products, Inc</w:t>
      </w:r>
      <w:r w:rsidR="008E47ED">
        <w:rPr>
          <w:szCs w:val="22"/>
        </w:rPr>
        <w:t>.—Mt. Jackson, VA</w:t>
      </w:r>
    </w:p>
    <w:p w:rsidR="00DF7C22" w:rsidRDefault="008E47ED" w:rsidP="00945F1B">
      <w:pPr>
        <w:spacing w:after="0"/>
        <w:rPr>
          <w:b/>
          <w:i/>
          <w:szCs w:val="22"/>
        </w:rPr>
      </w:pPr>
      <w:r>
        <w:rPr>
          <w:szCs w:val="22"/>
        </w:rPr>
        <w:tab/>
        <w:t>Process Wastewater Land Application Feasibility Study</w:t>
      </w:r>
    </w:p>
    <w:p w:rsidR="00DF7C22" w:rsidRDefault="00DF7C22" w:rsidP="00945F1B">
      <w:pPr>
        <w:spacing w:after="0"/>
        <w:rPr>
          <w:b/>
          <w:i/>
          <w:szCs w:val="22"/>
        </w:rPr>
      </w:pPr>
    </w:p>
    <w:p w:rsidR="00945F1B" w:rsidRPr="007B270E" w:rsidRDefault="00945F1B" w:rsidP="007B270E">
      <w:pPr>
        <w:keepNext/>
        <w:spacing w:after="120"/>
        <w:rPr>
          <w:b/>
        </w:rPr>
      </w:pPr>
      <w:r w:rsidRPr="007B270E">
        <w:rPr>
          <w:b/>
        </w:rPr>
        <w:t>NPDES Permitting</w:t>
      </w:r>
      <w:r w:rsidR="00E72A52" w:rsidRPr="007B270E">
        <w:rPr>
          <w:b/>
        </w:rPr>
        <w:t>—Stormwater General Permits</w:t>
      </w:r>
      <w:r w:rsidR="00431DC1" w:rsidRPr="007B270E">
        <w:rPr>
          <w:b/>
        </w:rPr>
        <w:t xml:space="preserve"> (GPs)</w:t>
      </w:r>
      <w:r w:rsidR="00E72A52" w:rsidRPr="007B270E">
        <w:rPr>
          <w:b/>
        </w:rPr>
        <w:t>/No</w:t>
      </w:r>
      <w:r w:rsidR="000C04C8" w:rsidRPr="007B270E">
        <w:rPr>
          <w:b/>
        </w:rPr>
        <w:t>-Exposure Certs</w:t>
      </w:r>
      <w:r w:rsidR="00431DC1" w:rsidRPr="007B270E">
        <w:rPr>
          <w:b/>
        </w:rPr>
        <w:t xml:space="preserve"> (NOEC)</w:t>
      </w:r>
    </w:p>
    <w:p w:rsidR="00945F1B" w:rsidRPr="002560F7" w:rsidRDefault="00945F1B" w:rsidP="008C1FD9">
      <w:pPr>
        <w:spacing w:after="0"/>
        <w:ind w:firstLine="720"/>
        <w:rPr>
          <w:szCs w:val="22"/>
        </w:rPr>
      </w:pPr>
      <w:r w:rsidRPr="002560F7">
        <w:rPr>
          <w:szCs w:val="22"/>
        </w:rPr>
        <w:t>Heat Transfer Products Group, LLC—Scottsboro, AL</w:t>
      </w:r>
    </w:p>
    <w:p w:rsidR="00945F1B" w:rsidRDefault="00BF69CA" w:rsidP="00945F1B">
      <w:pPr>
        <w:spacing w:after="0"/>
        <w:rPr>
          <w:szCs w:val="22"/>
        </w:rPr>
      </w:pPr>
      <w:r>
        <w:rPr>
          <w:szCs w:val="22"/>
        </w:rPr>
        <w:tab/>
      </w:r>
      <w:r w:rsidR="00E95E94">
        <w:rPr>
          <w:szCs w:val="22"/>
        </w:rPr>
        <w:t>Distribution Warehouse</w:t>
      </w:r>
    </w:p>
    <w:p w:rsidR="00E95E94" w:rsidRDefault="00E95E94" w:rsidP="00945F1B">
      <w:pPr>
        <w:spacing w:after="0"/>
        <w:rPr>
          <w:szCs w:val="22"/>
        </w:rPr>
      </w:pPr>
      <w:r>
        <w:rPr>
          <w:szCs w:val="22"/>
        </w:rPr>
        <w:lastRenderedPageBreak/>
        <w:tab/>
        <w:t>NOEC</w:t>
      </w:r>
    </w:p>
    <w:p w:rsidR="00E95E94" w:rsidRPr="002560F7" w:rsidRDefault="00E95E94" w:rsidP="00945F1B">
      <w:pPr>
        <w:spacing w:after="0"/>
        <w:rPr>
          <w:szCs w:val="22"/>
        </w:rPr>
      </w:pPr>
    </w:p>
    <w:p w:rsidR="00945F1B" w:rsidRDefault="00945F1B" w:rsidP="008C1FD9">
      <w:pPr>
        <w:spacing w:after="0"/>
        <w:ind w:firstLine="720"/>
        <w:rPr>
          <w:szCs w:val="22"/>
        </w:rPr>
      </w:pPr>
      <w:r w:rsidRPr="002560F7">
        <w:rPr>
          <w:szCs w:val="22"/>
        </w:rPr>
        <w:t>Harley-Davidson Motor Company Operations—Kansas City, MO</w:t>
      </w:r>
    </w:p>
    <w:p w:rsidR="00E95E94" w:rsidRDefault="00E95E94" w:rsidP="008C1FD9">
      <w:pPr>
        <w:spacing w:after="0"/>
        <w:ind w:firstLine="720"/>
        <w:rPr>
          <w:szCs w:val="22"/>
        </w:rPr>
      </w:pPr>
      <w:r>
        <w:rPr>
          <w:szCs w:val="22"/>
        </w:rPr>
        <w:t>Vehicle assembly/warehousing</w:t>
      </w:r>
    </w:p>
    <w:p w:rsidR="00E95E94" w:rsidRDefault="00431DC1" w:rsidP="008C1FD9">
      <w:pPr>
        <w:spacing w:after="0"/>
        <w:ind w:firstLine="720"/>
        <w:rPr>
          <w:szCs w:val="22"/>
        </w:rPr>
      </w:pPr>
      <w:r>
        <w:rPr>
          <w:szCs w:val="22"/>
        </w:rPr>
        <w:t>GP/NOEC</w:t>
      </w:r>
    </w:p>
    <w:p w:rsidR="00E95E94" w:rsidRDefault="00E95E94" w:rsidP="008C1FD9">
      <w:pPr>
        <w:spacing w:after="0"/>
        <w:ind w:firstLine="720"/>
        <w:rPr>
          <w:szCs w:val="22"/>
        </w:rPr>
      </w:pPr>
    </w:p>
    <w:p w:rsidR="00945F1B" w:rsidRDefault="00945F1B" w:rsidP="008C1FD9">
      <w:pPr>
        <w:spacing w:after="0"/>
        <w:ind w:firstLine="720"/>
        <w:rPr>
          <w:szCs w:val="22"/>
        </w:rPr>
      </w:pPr>
      <w:r w:rsidRPr="002560F7">
        <w:rPr>
          <w:szCs w:val="22"/>
        </w:rPr>
        <w:t>Boehringer Ingelheim Animal Health—S</w:t>
      </w:r>
      <w:r w:rsidR="00E73404">
        <w:rPr>
          <w:szCs w:val="22"/>
        </w:rPr>
        <w:t>ain</w:t>
      </w:r>
      <w:r w:rsidRPr="002560F7">
        <w:rPr>
          <w:szCs w:val="22"/>
        </w:rPr>
        <w:t>t Joseph, MO</w:t>
      </w:r>
    </w:p>
    <w:p w:rsidR="00E95E94" w:rsidRDefault="00E95E94" w:rsidP="008C1FD9">
      <w:pPr>
        <w:spacing w:after="0"/>
        <w:ind w:firstLine="720"/>
        <w:rPr>
          <w:szCs w:val="22"/>
        </w:rPr>
      </w:pPr>
      <w:r>
        <w:rPr>
          <w:szCs w:val="22"/>
        </w:rPr>
        <w:t>Vaccine production/warehousing</w:t>
      </w:r>
    </w:p>
    <w:p w:rsidR="00431DC1" w:rsidRPr="002560F7" w:rsidRDefault="00431DC1" w:rsidP="008C1FD9">
      <w:pPr>
        <w:spacing w:after="0"/>
        <w:ind w:firstLine="720"/>
        <w:rPr>
          <w:szCs w:val="22"/>
        </w:rPr>
      </w:pPr>
      <w:r>
        <w:rPr>
          <w:szCs w:val="22"/>
        </w:rPr>
        <w:t>GP/NOEC</w:t>
      </w:r>
    </w:p>
    <w:p w:rsidR="00945F1B" w:rsidRPr="002560F7" w:rsidRDefault="00945F1B" w:rsidP="00945F1B">
      <w:pPr>
        <w:spacing w:after="0"/>
        <w:rPr>
          <w:szCs w:val="22"/>
        </w:rPr>
      </w:pPr>
    </w:p>
    <w:p w:rsidR="00945F1B" w:rsidRDefault="00945F1B" w:rsidP="008C1FD9">
      <w:pPr>
        <w:spacing w:after="0"/>
        <w:ind w:firstLine="720"/>
        <w:rPr>
          <w:szCs w:val="22"/>
        </w:rPr>
      </w:pPr>
      <w:r w:rsidRPr="002560F7">
        <w:rPr>
          <w:szCs w:val="22"/>
        </w:rPr>
        <w:t>Dakota Bodies, LLC—Liberty</w:t>
      </w:r>
      <w:r>
        <w:rPr>
          <w:szCs w:val="22"/>
        </w:rPr>
        <w:t>, MO</w:t>
      </w:r>
    </w:p>
    <w:p w:rsidR="00E95E94" w:rsidRDefault="00E95E94" w:rsidP="008C1FD9">
      <w:pPr>
        <w:spacing w:after="0"/>
        <w:ind w:firstLine="720"/>
        <w:rPr>
          <w:szCs w:val="22"/>
        </w:rPr>
      </w:pPr>
      <w:r>
        <w:rPr>
          <w:szCs w:val="22"/>
        </w:rPr>
        <w:t>Vehicle assembly</w:t>
      </w:r>
    </w:p>
    <w:p w:rsidR="00431DC1" w:rsidRDefault="00431DC1" w:rsidP="008C1FD9">
      <w:pPr>
        <w:spacing w:after="0"/>
        <w:ind w:firstLine="720"/>
        <w:rPr>
          <w:szCs w:val="22"/>
        </w:rPr>
      </w:pPr>
      <w:r>
        <w:rPr>
          <w:szCs w:val="22"/>
        </w:rPr>
        <w:t>GP</w:t>
      </w:r>
    </w:p>
    <w:p w:rsidR="00E95E94" w:rsidRDefault="00E95E94" w:rsidP="008C1FD9">
      <w:pPr>
        <w:spacing w:after="0"/>
        <w:ind w:firstLine="720"/>
        <w:rPr>
          <w:szCs w:val="22"/>
        </w:rPr>
      </w:pPr>
    </w:p>
    <w:p w:rsidR="002560F7" w:rsidRPr="007B270E" w:rsidRDefault="002560F7" w:rsidP="007B270E">
      <w:pPr>
        <w:keepNext/>
        <w:spacing w:after="120"/>
        <w:rPr>
          <w:b/>
        </w:rPr>
      </w:pPr>
      <w:r w:rsidRPr="007B270E">
        <w:rPr>
          <w:b/>
        </w:rPr>
        <w:t>PTE Determinations/Air Emissions Permitting/Emissions Inventories</w:t>
      </w:r>
    </w:p>
    <w:p w:rsidR="000C04C8" w:rsidRDefault="000C04C8" w:rsidP="007B270E">
      <w:pPr>
        <w:keepNext/>
        <w:spacing w:after="0"/>
        <w:ind w:left="720"/>
        <w:rPr>
          <w:szCs w:val="22"/>
        </w:rPr>
      </w:pPr>
      <w:r w:rsidRPr="007B270E">
        <w:rPr>
          <w:szCs w:val="22"/>
        </w:rPr>
        <w:t>Missouri Gas Energy (MGE) Maintenance</w:t>
      </w:r>
      <w:r w:rsidR="002560F7" w:rsidRPr="007B270E">
        <w:rPr>
          <w:szCs w:val="22"/>
        </w:rPr>
        <w:t xml:space="preserve"> Facility</w:t>
      </w:r>
      <w:r w:rsidR="002560F7">
        <w:rPr>
          <w:szCs w:val="22"/>
        </w:rPr>
        <w:t>—</w:t>
      </w:r>
      <w:r>
        <w:rPr>
          <w:szCs w:val="22"/>
        </w:rPr>
        <w:t>Ka</w:t>
      </w:r>
      <w:r w:rsidR="002560F7">
        <w:rPr>
          <w:szCs w:val="22"/>
        </w:rPr>
        <w:t>nsas City, MO</w:t>
      </w:r>
    </w:p>
    <w:p w:rsidR="002560F7" w:rsidRDefault="002560F7" w:rsidP="007B270E">
      <w:pPr>
        <w:keepNext/>
        <w:spacing w:after="0"/>
        <w:ind w:left="720"/>
        <w:rPr>
          <w:szCs w:val="22"/>
        </w:rPr>
      </w:pPr>
      <w:r>
        <w:rPr>
          <w:szCs w:val="22"/>
        </w:rPr>
        <w:t>Natural Gas Pipelines/metering</w:t>
      </w:r>
    </w:p>
    <w:p w:rsidR="002560F7" w:rsidRDefault="002560F7" w:rsidP="007B270E">
      <w:pPr>
        <w:spacing w:after="0"/>
        <w:ind w:left="720"/>
        <w:rPr>
          <w:szCs w:val="22"/>
        </w:rPr>
      </w:pPr>
      <w:r>
        <w:rPr>
          <w:szCs w:val="22"/>
        </w:rPr>
        <w:t>PTE/NSR</w:t>
      </w:r>
      <w:r w:rsidR="00431DC1">
        <w:rPr>
          <w:szCs w:val="22"/>
        </w:rPr>
        <w:t xml:space="preserve"> permi</w:t>
      </w:r>
      <w:r w:rsidR="00E73404">
        <w:rPr>
          <w:szCs w:val="22"/>
        </w:rPr>
        <w:t>t</w:t>
      </w:r>
    </w:p>
    <w:p w:rsidR="002560F7" w:rsidRDefault="002560F7" w:rsidP="007B270E">
      <w:pPr>
        <w:spacing w:after="0"/>
        <w:ind w:left="720"/>
        <w:rPr>
          <w:szCs w:val="22"/>
        </w:rPr>
      </w:pPr>
    </w:p>
    <w:p w:rsidR="002560F7" w:rsidRDefault="002560F7" w:rsidP="007B270E">
      <w:pPr>
        <w:spacing w:after="0"/>
        <w:ind w:left="720"/>
        <w:rPr>
          <w:szCs w:val="22"/>
        </w:rPr>
      </w:pPr>
      <w:r w:rsidRPr="007B270E">
        <w:rPr>
          <w:szCs w:val="22"/>
        </w:rPr>
        <w:t>Harley-Davidson Motor Company Operations</w:t>
      </w:r>
      <w:r>
        <w:rPr>
          <w:szCs w:val="22"/>
        </w:rPr>
        <w:t>—Kansas City, MO</w:t>
      </w:r>
    </w:p>
    <w:p w:rsidR="002560F7" w:rsidRDefault="002560F7" w:rsidP="007B270E">
      <w:pPr>
        <w:spacing w:after="0"/>
        <w:ind w:left="720"/>
        <w:rPr>
          <w:szCs w:val="22"/>
        </w:rPr>
      </w:pPr>
      <w:r>
        <w:rPr>
          <w:szCs w:val="22"/>
        </w:rPr>
        <w:t xml:space="preserve">Powder paint, wet paint </w:t>
      </w:r>
    </w:p>
    <w:p w:rsidR="002560F7" w:rsidRDefault="002560F7" w:rsidP="007B270E">
      <w:pPr>
        <w:spacing w:after="0"/>
        <w:ind w:left="720"/>
        <w:rPr>
          <w:szCs w:val="22"/>
        </w:rPr>
      </w:pPr>
      <w:r>
        <w:rPr>
          <w:szCs w:val="22"/>
        </w:rPr>
        <w:t>PTE/Title V</w:t>
      </w:r>
      <w:r w:rsidR="00431DC1">
        <w:rPr>
          <w:szCs w:val="22"/>
        </w:rPr>
        <w:t xml:space="preserve"> permit</w:t>
      </w:r>
      <w:r>
        <w:rPr>
          <w:szCs w:val="22"/>
        </w:rPr>
        <w:t>/NSR</w:t>
      </w:r>
      <w:r w:rsidR="00431DC1">
        <w:rPr>
          <w:szCs w:val="22"/>
        </w:rPr>
        <w:t xml:space="preserve"> permit</w:t>
      </w:r>
      <w:r>
        <w:rPr>
          <w:szCs w:val="22"/>
        </w:rPr>
        <w:t>/MACT Hammer/air toxics (HAPs)/annual emissions inventories</w:t>
      </w:r>
    </w:p>
    <w:p w:rsidR="002560F7" w:rsidRDefault="008C1FD9" w:rsidP="007B270E">
      <w:pPr>
        <w:spacing w:after="0"/>
        <w:ind w:left="720"/>
        <w:rPr>
          <w:szCs w:val="22"/>
        </w:rPr>
      </w:pPr>
      <w:r>
        <w:rPr>
          <w:szCs w:val="22"/>
        </w:rPr>
        <w:tab/>
      </w:r>
    </w:p>
    <w:p w:rsidR="002560F7" w:rsidRDefault="002560F7" w:rsidP="007B270E">
      <w:pPr>
        <w:spacing w:after="0"/>
        <w:ind w:left="720"/>
        <w:rPr>
          <w:szCs w:val="22"/>
        </w:rPr>
      </w:pPr>
      <w:bookmarkStart w:id="1" w:name="_Hlk75357051"/>
      <w:r w:rsidRPr="007B270E">
        <w:rPr>
          <w:szCs w:val="22"/>
        </w:rPr>
        <w:t>Boehringer-Ingelheim Animal Health</w:t>
      </w:r>
      <w:r>
        <w:rPr>
          <w:szCs w:val="22"/>
        </w:rPr>
        <w:t>—St. Joseph, MO</w:t>
      </w:r>
    </w:p>
    <w:p w:rsidR="00431DC1" w:rsidRDefault="00431DC1" w:rsidP="007B270E">
      <w:pPr>
        <w:spacing w:after="0"/>
        <w:ind w:left="720"/>
        <w:rPr>
          <w:szCs w:val="22"/>
        </w:rPr>
      </w:pPr>
      <w:r>
        <w:rPr>
          <w:szCs w:val="22"/>
        </w:rPr>
        <w:t>Va</w:t>
      </w:r>
      <w:bookmarkStart w:id="2" w:name="_GoBack"/>
      <w:bookmarkEnd w:id="2"/>
      <w:r>
        <w:rPr>
          <w:szCs w:val="22"/>
        </w:rPr>
        <w:t>ccine manufacturing</w:t>
      </w:r>
    </w:p>
    <w:p w:rsidR="002560F7" w:rsidRDefault="002560F7" w:rsidP="007B270E">
      <w:pPr>
        <w:spacing w:after="0"/>
        <w:ind w:left="720"/>
        <w:rPr>
          <w:szCs w:val="22"/>
        </w:rPr>
      </w:pPr>
      <w:r>
        <w:rPr>
          <w:szCs w:val="22"/>
        </w:rPr>
        <w:t>PTE/NSR</w:t>
      </w:r>
      <w:r w:rsidR="00431DC1">
        <w:rPr>
          <w:szCs w:val="22"/>
        </w:rPr>
        <w:t xml:space="preserve"> permit</w:t>
      </w:r>
      <w:r>
        <w:rPr>
          <w:szCs w:val="22"/>
        </w:rPr>
        <w:t>/annual emission inventories</w:t>
      </w:r>
    </w:p>
    <w:bookmarkEnd w:id="1"/>
    <w:p w:rsidR="002560F7" w:rsidRDefault="002560F7" w:rsidP="007B270E">
      <w:pPr>
        <w:spacing w:after="0"/>
        <w:ind w:left="720"/>
        <w:rPr>
          <w:szCs w:val="22"/>
        </w:rPr>
      </w:pPr>
    </w:p>
    <w:p w:rsidR="00550429" w:rsidRDefault="00550429" w:rsidP="007B270E">
      <w:pPr>
        <w:spacing w:after="0"/>
        <w:ind w:left="720"/>
        <w:rPr>
          <w:szCs w:val="22"/>
        </w:rPr>
      </w:pPr>
      <w:r w:rsidRPr="007B270E">
        <w:rPr>
          <w:szCs w:val="22"/>
        </w:rPr>
        <w:t>Boehringer-Ingelheim Animal Health</w:t>
      </w:r>
      <w:r>
        <w:rPr>
          <w:szCs w:val="22"/>
        </w:rPr>
        <w:t>—St. Joseph, MO</w:t>
      </w:r>
    </w:p>
    <w:p w:rsidR="00550429" w:rsidRDefault="00550429" w:rsidP="007B270E">
      <w:pPr>
        <w:spacing w:after="0"/>
        <w:ind w:left="720"/>
        <w:rPr>
          <w:szCs w:val="22"/>
        </w:rPr>
      </w:pPr>
      <w:r>
        <w:rPr>
          <w:szCs w:val="22"/>
        </w:rPr>
        <w:t>Research Farm—Medical Waste Incinerators (2)</w:t>
      </w:r>
    </w:p>
    <w:p w:rsidR="00550429" w:rsidRDefault="00550429" w:rsidP="007B270E">
      <w:pPr>
        <w:spacing w:after="0"/>
        <w:ind w:left="720"/>
        <w:rPr>
          <w:szCs w:val="22"/>
        </w:rPr>
      </w:pPr>
      <w:r>
        <w:rPr>
          <w:szCs w:val="22"/>
        </w:rPr>
        <w:t>PTE/NSR permit evaluations</w:t>
      </w:r>
    </w:p>
    <w:p w:rsidR="00550429" w:rsidRPr="007B270E" w:rsidRDefault="00550429" w:rsidP="007B270E">
      <w:pPr>
        <w:spacing w:after="0"/>
        <w:ind w:left="720"/>
        <w:rPr>
          <w:szCs w:val="22"/>
        </w:rPr>
      </w:pPr>
    </w:p>
    <w:p w:rsidR="002560F7" w:rsidRDefault="002560F7" w:rsidP="007B270E">
      <w:pPr>
        <w:spacing w:after="0"/>
        <w:ind w:left="720"/>
        <w:rPr>
          <w:szCs w:val="22"/>
        </w:rPr>
      </w:pPr>
      <w:r w:rsidRPr="007B270E">
        <w:rPr>
          <w:szCs w:val="22"/>
        </w:rPr>
        <w:t>Spartan Light Metal Products</w:t>
      </w:r>
      <w:r>
        <w:rPr>
          <w:szCs w:val="22"/>
        </w:rPr>
        <w:t>—Mexico, MO</w:t>
      </w:r>
    </w:p>
    <w:p w:rsidR="002560F7" w:rsidRDefault="002560F7" w:rsidP="007B270E">
      <w:pPr>
        <w:spacing w:after="0"/>
        <w:ind w:left="720"/>
        <w:rPr>
          <w:szCs w:val="22"/>
        </w:rPr>
      </w:pPr>
      <w:r>
        <w:rPr>
          <w:szCs w:val="22"/>
        </w:rPr>
        <w:t>Magnesium/Aluminum diecasting</w:t>
      </w:r>
    </w:p>
    <w:p w:rsidR="002560F7" w:rsidRDefault="002560F7" w:rsidP="007B270E">
      <w:pPr>
        <w:spacing w:after="0"/>
        <w:ind w:left="720"/>
        <w:rPr>
          <w:szCs w:val="22"/>
        </w:rPr>
      </w:pPr>
      <w:r>
        <w:rPr>
          <w:szCs w:val="22"/>
        </w:rPr>
        <w:t>PTE/emissions inventories</w:t>
      </w:r>
    </w:p>
    <w:p w:rsidR="00431DC1" w:rsidRDefault="00431DC1" w:rsidP="007B270E">
      <w:pPr>
        <w:spacing w:after="0"/>
        <w:ind w:left="720"/>
        <w:rPr>
          <w:szCs w:val="22"/>
        </w:rPr>
      </w:pPr>
    </w:p>
    <w:p w:rsidR="00431DC1" w:rsidRDefault="00431DC1" w:rsidP="007B270E">
      <w:pPr>
        <w:spacing w:after="0"/>
        <w:ind w:left="720"/>
        <w:rPr>
          <w:szCs w:val="22"/>
        </w:rPr>
      </w:pPr>
      <w:r w:rsidRPr="007B270E">
        <w:rPr>
          <w:szCs w:val="22"/>
        </w:rPr>
        <w:t>Livers Bronze Company</w:t>
      </w:r>
      <w:r>
        <w:rPr>
          <w:szCs w:val="22"/>
        </w:rPr>
        <w:t>—Kansas City, MO</w:t>
      </w:r>
    </w:p>
    <w:p w:rsidR="00431DC1" w:rsidRDefault="00431DC1" w:rsidP="007B270E">
      <w:pPr>
        <w:spacing w:after="0"/>
        <w:ind w:left="720"/>
        <w:rPr>
          <w:szCs w:val="22"/>
        </w:rPr>
      </w:pPr>
      <w:r>
        <w:rPr>
          <w:szCs w:val="22"/>
        </w:rPr>
        <w:t>Commercial railing systems</w:t>
      </w:r>
    </w:p>
    <w:p w:rsidR="00431DC1" w:rsidRDefault="00431DC1" w:rsidP="007B270E">
      <w:pPr>
        <w:spacing w:after="0"/>
        <w:ind w:left="720"/>
        <w:rPr>
          <w:szCs w:val="22"/>
        </w:rPr>
      </w:pPr>
      <w:r>
        <w:rPr>
          <w:szCs w:val="22"/>
        </w:rPr>
        <w:t>PTE determinations</w:t>
      </w:r>
    </w:p>
    <w:p w:rsidR="002560F7" w:rsidRDefault="002560F7" w:rsidP="007B270E">
      <w:pPr>
        <w:spacing w:after="0"/>
        <w:ind w:left="720"/>
        <w:rPr>
          <w:szCs w:val="22"/>
        </w:rPr>
      </w:pPr>
    </w:p>
    <w:p w:rsidR="000C04C8" w:rsidRDefault="00431DC1" w:rsidP="007B270E">
      <w:pPr>
        <w:spacing w:after="0"/>
        <w:ind w:left="720"/>
        <w:rPr>
          <w:szCs w:val="22"/>
        </w:rPr>
      </w:pPr>
      <w:r w:rsidRPr="007B270E">
        <w:rPr>
          <w:szCs w:val="22"/>
        </w:rPr>
        <w:t>Dakota Bodies, LLC</w:t>
      </w:r>
      <w:r w:rsidRPr="00431DC1">
        <w:rPr>
          <w:szCs w:val="22"/>
        </w:rPr>
        <w:t>—Liberty, MO</w:t>
      </w:r>
    </w:p>
    <w:p w:rsidR="00E95E94" w:rsidRDefault="00E95E94" w:rsidP="007B270E">
      <w:pPr>
        <w:spacing w:after="0"/>
        <w:ind w:left="720"/>
        <w:rPr>
          <w:szCs w:val="22"/>
        </w:rPr>
      </w:pPr>
      <w:r>
        <w:rPr>
          <w:szCs w:val="22"/>
        </w:rPr>
        <w:t>Utility truck body manufacturing/powder paint/wet paint/electrocoat</w:t>
      </w:r>
    </w:p>
    <w:p w:rsidR="00431DC1" w:rsidRPr="007B270E" w:rsidRDefault="00431DC1" w:rsidP="007B270E">
      <w:pPr>
        <w:keepNext/>
        <w:spacing w:after="0"/>
        <w:ind w:left="720"/>
        <w:rPr>
          <w:szCs w:val="22"/>
        </w:rPr>
      </w:pPr>
      <w:r w:rsidRPr="007B270E">
        <w:rPr>
          <w:szCs w:val="22"/>
        </w:rPr>
        <w:t>NSR permit</w:t>
      </w:r>
    </w:p>
    <w:p w:rsidR="000C04C8" w:rsidRDefault="000C04C8" w:rsidP="00945F1B">
      <w:pPr>
        <w:spacing w:after="0"/>
        <w:rPr>
          <w:szCs w:val="22"/>
        </w:rPr>
      </w:pPr>
    </w:p>
    <w:p w:rsidR="000C04C8" w:rsidRPr="007B270E" w:rsidRDefault="000C04C8" w:rsidP="007B270E">
      <w:pPr>
        <w:keepNext/>
        <w:spacing w:after="120"/>
        <w:rPr>
          <w:b/>
        </w:rPr>
      </w:pPr>
      <w:r w:rsidRPr="007B270E">
        <w:rPr>
          <w:b/>
        </w:rPr>
        <w:t xml:space="preserve">Wastewater Discharge Pretreatment </w:t>
      </w:r>
      <w:r w:rsidR="00E95E94" w:rsidRPr="007B270E">
        <w:rPr>
          <w:b/>
        </w:rPr>
        <w:t>Determinations/</w:t>
      </w:r>
      <w:r w:rsidRPr="007B270E">
        <w:rPr>
          <w:b/>
        </w:rPr>
        <w:t>Permitting</w:t>
      </w:r>
    </w:p>
    <w:p w:rsidR="00945F1B" w:rsidRDefault="00E95E94" w:rsidP="007B270E">
      <w:pPr>
        <w:spacing w:after="0"/>
        <w:ind w:left="720"/>
        <w:rPr>
          <w:szCs w:val="22"/>
        </w:rPr>
      </w:pPr>
      <w:r w:rsidRPr="007B270E">
        <w:rPr>
          <w:szCs w:val="22"/>
        </w:rPr>
        <w:t>Livers Bronze Company</w:t>
      </w:r>
      <w:r>
        <w:rPr>
          <w:szCs w:val="22"/>
        </w:rPr>
        <w:t>—Kansas City, MO</w:t>
      </w:r>
    </w:p>
    <w:p w:rsidR="00E95E94" w:rsidRDefault="00E95E94" w:rsidP="007B270E">
      <w:pPr>
        <w:spacing w:after="0"/>
        <w:ind w:left="720"/>
        <w:rPr>
          <w:szCs w:val="22"/>
        </w:rPr>
      </w:pPr>
      <w:r>
        <w:rPr>
          <w:szCs w:val="22"/>
        </w:rPr>
        <w:t>Phosphatizing (citric acid)</w:t>
      </w:r>
    </w:p>
    <w:p w:rsidR="00E95E94" w:rsidRDefault="00E95E94" w:rsidP="007B270E">
      <w:pPr>
        <w:spacing w:after="0"/>
        <w:ind w:left="720"/>
        <w:rPr>
          <w:szCs w:val="22"/>
        </w:rPr>
      </w:pPr>
      <w:r>
        <w:rPr>
          <w:szCs w:val="22"/>
        </w:rPr>
        <w:t>Part 433—Metal Finishing</w:t>
      </w:r>
    </w:p>
    <w:p w:rsidR="00E95E94" w:rsidRDefault="00E95E94" w:rsidP="007B270E">
      <w:pPr>
        <w:spacing w:after="0"/>
        <w:ind w:left="720"/>
        <w:rPr>
          <w:szCs w:val="22"/>
        </w:rPr>
      </w:pPr>
    </w:p>
    <w:p w:rsidR="00E95E94" w:rsidRDefault="00E95E94" w:rsidP="007B270E">
      <w:pPr>
        <w:spacing w:after="0"/>
        <w:ind w:left="720"/>
        <w:rPr>
          <w:szCs w:val="22"/>
        </w:rPr>
      </w:pPr>
      <w:r w:rsidRPr="007B270E">
        <w:rPr>
          <w:szCs w:val="22"/>
        </w:rPr>
        <w:t xml:space="preserve">Harley-Davidson Motor </w:t>
      </w:r>
      <w:r w:rsidR="000C1641">
        <w:rPr>
          <w:szCs w:val="22"/>
        </w:rPr>
        <w:t>C</w:t>
      </w:r>
      <w:r w:rsidRPr="007B270E">
        <w:rPr>
          <w:szCs w:val="22"/>
        </w:rPr>
        <w:t>ompany</w:t>
      </w:r>
      <w:r>
        <w:rPr>
          <w:szCs w:val="22"/>
        </w:rPr>
        <w:t>—Kansas City, MO</w:t>
      </w:r>
    </w:p>
    <w:p w:rsidR="00E95E94" w:rsidRDefault="000360AE" w:rsidP="007B270E">
      <w:pPr>
        <w:spacing w:after="0"/>
        <w:ind w:left="720"/>
        <w:rPr>
          <w:szCs w:val="22"/>
        </w:rPr>
      </w:pPr>
      <w:r>
        <w:rPr>
          <w:szCs w:val="22"/>
        </w:rPr>
        <w:t>Zinc Phosphatizing</w:t>
      </w:r>
    </w:p>
    <w:p w:rsidR="000360AE" w:rsidRDefault="000360AE" w:rsidP="007B270E">
      <w:pPr>
        <w:spacing w:after="0"/>
        <w:ind w:left="720"/>
        <w:rPr>
          <w:szCs w:val="22"/>
        </w:rPr>
      </w:pPr>
      <w:r>
        <w:rPr>
          <w:szCs w:val="22"/>
        </w:rPr>
        <w:t>Part 433—Metal Finishing</w:t>
      </w:r>
    </w:p>
    <w:p w:rsidR="000360AE" w:rsidRDefault="000360AE" w:rsidP="007B270E">
      <w:pPr>
        <w:spacing w:after="0"/>
        <w:ind w:left="720"/>
        <w:rPr>
          <w:szCs w:val="22"/>
        </w:rPr>
      </w:pPr>
    </w:p>
    <w:p w:rsidR="000360AE" w:rsidRDefault="000360AE" w:rsidP="007B270E">
      <w:pPr>
        <w:spacing w:after="0"/>
        <w:ind w:left="720"/>
        <w:rPr>
          <w:szCs w:val="22"/>
        </w:rPr>
      </w:pPr>
      <w:r w:rsidRPr="007B270E">
        <w:rPr>
          <w:szCs w:val="22"/>
        </w:rPr>
        <w:lastRenderedPageBreak/>
        <w:t>Boehringer Ingelheim Animal Health</w:t>
      </w:r>
      <w:r>
        <w:rPr>
          <w:szCs w:val="22"/>
        </w:rPr>
        <w:t>—St. Joseph, MO</w:t>
      </w:r>
    </w:p>
    <w:p w:rsidR="000360AE" w:rsidRDefault="000360AE" w:rsidP="007B270E">
      <w:pPr>
        <w:spacing w:after="0"/>
        <w:ind w:left="720"/>
        <w:rPr>
          <w:szCs w:val="22"/>
        </w:rPr>
      </w:pPr>
      <w:r>
        <w:rPr>
          <w:szCs w:val="22"/>
        </w:rPr>
        <w:t>Vaccine production-fermentation reactors</w:t>
      </w:r>
    </w:p>
    <w:p w:rsidR="000360AE" w:rsidRDefault="000360AE" w:rsidP="007B270E">
      <w:pPr>
        <w:spacing w:after="0"/>
        <w:ind w:left="720"/>
        <w:rPr>
          <w:szCs w:val="22"/>
        </w:rPr>
      </w:pPr>
      <w:r>
        <w:rPr>
          <w:szCs w:val="22"/>
        </w:rPr>
        <w:t>Part 439—Pharmaceutical Manufacturing</w:t>
      </w:r>
    </w:p>
    <w:p w:rsidR="000360AE" w:rsidRDefault="000360AE" w:rsidP="007B270E">
      <w:pPr>
        <w:spacing w:after="0"/>
        <w:ind w:left="720"/>
        <w:rPr>
          <w:szCs w:val="22"/>
        </w:rPr>
      </w:pPr>
      <w:r>
        <w:rPr>
          <w:szCs w:val="22"/>
        </w:rPr>
        <w:tab/>
      </w:r>
    </w:p>
    <w:p w:rsidR="00C77A96" w:rsidRPr="007B270E" w:rsidRDefault="00C77A96" w:rsidP="007B270E">
      <w:pPr>
        <w:spacing w:after="0"/>
        <w:ind w:left="720"/>
        <w:rPr>
          <w:szCs w:val="22"/>
        </w:rPr>
      </w:pPr>
      <w:proofErr w:type="spellStart"/>
      <w:r w:rsidRPr="007B270E">
        <w:rPr>
          <w:szCs w:val="22"/>
        </w:rPr>
        <w:t>Adient</w:t>
      </w:r>
      <w:proofErr w:type="spellEnd"/>
      <w:r w:rsidRPr="007B270E">
        <w:rPr>
          <w:szCs w:val="22"/>
        </w:rPr>
        <w:t xml:space="preserve"> (formerly Keiper </w:t>
      </w:r>
      <w:proofErr w:type="spellStart"/>
      <w:r w:rsidRPr="007B270E">
        <w:rPr>
          <w:szCs w:val="22"/>
        </w:rPr>
        <w:t>Recaro</w:t>
      </w:r>
      <w:proofErr w:type="spellEnd"/>
      <w:r w:rsidRPr="007B270E">
        <w:rPr>
          <w:szCs w:val="22"/>
        </w:rPr>
        <w:t>)—Eldon, MO</w:t>
      </w:r>
    </w:p>
    <w:p w:rsidR="00C77A96" w:rsidRDefault="00C77A96" w:rsidP="007B270E">
      <w:pPr>
        <w:spacing w:after="0"/>
        <w:ind w:left="720"/>
        <w:rPr>
          <w:szCs w:val="22"/>
        </w:rPr>
      </w:pPr>
      <w:r>
        <w:rPr>
          <w:szCs w:val="22"/>
        </w:rPr>
        <w:t>Automotive seating manufacturer</w:t>
      </w:r>
    </w:p>
    <w:p w:rsidR="00C77A96" w:rsidRDefault="00C77A96" w:rsidP="007B270E">
      <w:pPr>
        <w:spacing w:after="0"/>
        <w:ind w:left="720"/>
        <w:rPr>
          <w:szCs w:val="22"/>
        </w:rPr>
      </w:pPr>
      <w:r>
        <w:rPr>
          <w:szCs w:val="22"/>
        </w:rPr>
        <w:t>Part 433—Metal Finishing</w:t>
      </w:r>
    </w:p>
    <w:p w:rsidR="00EB387D" w:rsidRPr="00FD232A" w:rsidRDefault="000360AE" w:rsidP="00FD232A">
      <w:pPr>
        <w:pStyle w:val="ResumeHeading3"/>
      </w:pPr>
      <w:r w:rsidRPr="00FD232A">
        <w:t>E</w:t>
      </w:r>
      <w:r w:rsidR="00EB387D" w:rsidRPr="00FD232A">
        <w:t>nvironmental Management Systems (EMS)</w:t>
      </w:r>
    </w:p>
    <w:p w:rsidR="00E73404" w:rsidRPr="008E47ED" w:rsidRDefault="009F0B77" w:rsidP="00FD232A">
      <w:pPr>
        <w:spacing w:after="120"/>
        <w:rPr>
          <w:b/>
        </w:rPr>
      </w:pPr>
      <w:r>
        <w:t xml:space="preserve">Mr. Bowers </w:t>
      </w:r>
      <w:r w:rsidR="00E73404" w:rsidRPr="008E47ED">
        <w:t xml:space="preserve">has had significant training </w:t>
      </w:r>
      <w:r w:rsidR="008E47ED" w:rsidRPr="008E47ED">
        <w:t xml:space="preserve">and exposure </w:t>
      </w:r>
      <w:r w:rsidR="00E73404" w:rsidRPr="008E47ED">
        <w:t xml:space="preserve">in the requirements and implementation of ISO 14001 and non-ISO </w:t>
      </w:r>
      <w:r w:rsidR="008E47ED" w:rsidRPr="008E47ED">
        <w:t>environmental</w:t>
      </w:r>
      <w:r w:rsidR="008E47ED">
        <w:t xml:space="preserve"> </w:t>
      </w:r>
      <w:r w:rsidR="00E73404" w:rsidRPr="008E47ED">
        <w:t xml:space="preserve">EMS’s.  A summary of his ISO 14001 and EMS experience follows:  </w:t>
      </w:r>
    </w:p>
    <w:p w:rsidR="007A56AB" w:rsidRPr="008E47ED" w:rsidRDefault="007A56AB" w:rsidP="007B270E">
      <w:pPr>
        <w:pStyle w:val="Bullet2-line"/>
      </w:pPr>
      <w:r w:rsidRPr="008E47ED">
        <w:t>Trained as Internal ISO 14001 auditor—Harley-Davidson Motor Company</w:t>
      </w:r>
    </w:p>
    <w:p w:rsidR="007A56AB" w:rsidRDefault="007A56AB" w:rsidP="007B270E">
      <w:pPr>
        <w:pStyle w:val="Bullet2-line"/>
      </w:pPr>
      <w:r w:rsidRPr="008E47ED">
        <w:t>Skilled at identification of environmental aspects and impacts with appropriate establishment of relevant targets and objectives.</w:t>
      </w:r>
    </w:p>
    <w:p w:rsidR="008E47ED" w:rsidRDefault="008E47ED" w:rsidP="007B270E">
      <w:pPr>
        <w:pStyle w:val="Bullet2-line"/>
      </w:pPr>
      <w:r>
        <w:t>Assisted smaller manufacturing operations in establishment of basic EMS’s using Microsoft Office tools.</w:t>
      </w:r>
    </w:p>
    <w:p w:rsidR="008E47ED" w:rsidRPr="008E47ED" w:rsidRDefault="008E47ED" w:rsidP="008E47ED">
      <w:pPr>
        <w:pStyle w:val="ResumeHeading3"/>
      </w:pPr>
      <w:r w:rsidRPr="008E47ED">
        <w:t>Environmental</w:t>
      </w:r>
      <w:r>
        <w:t>, Social and Governance</w:t>
      </w:r>
      <w:r w:rsidRPr="008E47ED">
        <w:t xml:space="preserve"> (E</w:t>
      </w:r>
      <w:r>
        <w:t>SG</w:t>
      </w:r>
      <w:r w:rsidRPr="008E47ED">
        <w:t>)</w:t>
      </w:r>
      <w:r w:rsidR="00F901A0">
        <w:t>/Sustainable Practices</w:t>
      </w:r>
    </w:p>
    <w:p w:rsidR="00992CE5" w:rsidRDefault="008E47ED" w:rsidP="00FD232A">
      <w:pPr>
        <w:shd w:val="clear" w:color="auto" w:fill="FFFFFF"/>
        <w:spacing w:after="0"/>
        <w:rPr>
          <w:rFonts w:cs="Arial"/>
          <w:color w:val="111111"/>
          <w:szCs w:val="24"/>
        </w:rPr>
      </w:pPr>
      <w:r w:rsidRPr="00992CE5">
        <w:rPr>
          <w:szCs w:val="24"/>
        </w:rPr>
        <w:t>With the advent of socially conscious investors and investor interest groups</w:t>
      </w:r>
      <w:r w:rsidR="00992CE5" w:rsidRPr="00992CE5">
        <w:rPr>
          <w:szCs w:val="24"/>
        </w:rPr>
        <w:t>,</w:t>
      </w:r>
      <w:r w:rsidRPr="00992CE5">
        <w:rPr>
          <w:szCs w:val="24"/>
        </w:rPr>
        <w:t xml:space="preserve"> </w:t>
      </w:r>
      <w:r w:rsidR="00992CE5" w:rsidRPr="00992CE5">
        <w:rPr>
          <w:szCs w:val="24"/>
        </w:rPr>
        <w:t>evaluation</w:t>
      </w:r>
      <w:r w:rsidRPr="00992CE5">
        <w:rPr>
          <w:szCs w:val="24"/>
        </w:rPr>
        <w:t xml:space="preserve"> of manufacturing</w:t>
      </w:r>
      <w:r w:rsidR="00992CE5" w:rsidRPr="00992CE5">
        <w:rPr>
          <w:szCs w:val="24"/>
        </w:rPr>
        <w:t xml:space="preserve"> entities from an environmental stewardship perspective</w:t>
      </w:r>
      <w:r w:rsidRPr="00992CE5">
        <w:rPr>
          <w:szCs w:val="24"/>
        </w:rPr>
        <w:t xml:space="preserve"> </w:t>
      </w:r>
      <w:r w:rsidR="00992CE5" w:rsidRPr="00992CE5">
        <w:rPr>
          <w:szCs w:val="24"/>
        </w:rPr>
        <w:t xml:space="preserve">rapidly </w:t>
      </w:r>
      <w:r w:rsidRPr="00992CE5">
        <w:rPr>
          <w:szCs w:val="24"/>
        </w:rPr>
        <w:t>evolved</w:t>
      </w:r>
      <w:r w:rsidR="00992CE5" w:rsidRPr="00992CE5">
        <w:rPr>
          <w:szCs w:val="24"/>
        </w:rPr>
        <w:t xml:space="preserve"> in the US.  </w:t>
      </w:r>
      <w:r w:rsidR="00992CE5" w:rsidRPr="00992CE5">
        <w:rPr>
          <w:rFonts w:cs="Arial"/>
          <w:color w:val="111111"/>
          <w:szCs w:val="24"/>
        </w:rPr>
        <w:t xml:space="preserve">Environmental, social, and governance (ESG) criteria have become an increasingly popular way for investors to evaluate companies in which they might want to invest.  Investment applications of ESG criteria included many mutual funds and brokerage firms.  The ESG approach has also been used </w:t>
      </w:r>
      <w:r w:rsidR="00992CE5">
        <w:rPr>
          <w:rFonts w:cs="Arial"/>
          <w:color w:val="111111"/>
          <w:szCs w:val="24"/>
        </w:rPr>
        <w:t>to</w:t>
      </w:r>
      <w:r w:rsidR="00992CE5" w:rsidRPr="00992CE5">
        <w:rPr>
          <w:rFonts w:cs="Arial"/>
          <w:color w:val="111111"/>
          <w:szCs w:val="24"/>
        </w:rPr>
        <w:t xml:space="preserve"> help investors avoid companies that might pose a greater financial risk due to their environmental or other practices.</w:t>
      </w:r>
      <w:r w:rsidR="00992CE5">
        <w:rPr>
          <w:rFonts w:cs="Arial"/>
          <w:color w:val="111111"/>
          <w:szCs w:val="24"/>
        </w:rPr>
        <w:t xml:space="preserve">  Aside from the environmental aspects which are relatively well established through regulation, the social aspect includes the Company’s relationship with employees, suppliers, customers, and the community where it operates.  The governance</w:t>
      </w:r>
      <w:r w:rsidR="00F901A0">
        <w:rPr>
          <w:rFonts w:cs="Arial"/>
          <w:color w:val="111111"/>
          <w:szCs w:val="24"/>
        </w:rPr>
        <w:t xml:space="preserve"> aspect ties in a Company’s leadership, executive pay, audits, internal controls and shareholder rights.  Together, this framework is termed ESG.  This is sometimes referred to as sustainable investing or socially responsible investing.</w:t>
      </w:r>
    </w:p>
    <w:p w:rsidR="00897BD7" w:rsidRPr="00992CE5" w:rsidRDefault="00897BD7" w:rsidP="007B270E">
      <w:pPr>
        <w:shd w:val="clear" w:color="auto" w:fill="FFFFFF"/>
        <w:spacing w:before="100" w:beforeAutospacing="1" w:after="100" w:afterAutospacing="1"/>
        <w:rPr>
          <w:rFonts w:cs="Arial"/>
          <w:color w:val="111111"/>
          <w:szCs w:val="24"/>
        </w:rPr>
      </w:pPr>
      <w:r>
        <w:rPr>
          <w:rFonts w:cs="Arial"/>
          <w:color w:val="111111"/>
          <w:szCs w:val="24"/>
        </w:rPr>
        <w:t>Bowers also has experience with the Cradle-to-Cradle® Certified Product Standard.</w:t>
      </w:r>
      <w:r w:rsidR="00923565">
        <w:rPr>
          <w:rFonts w:cs="Arial"/>
          <w:color w:val="111111"/>
          <w:szCs w:val="24"/>
        </w:rPr>
        <w:t xml:space="preserve">  The Cradle-to-Cradle® (C2C) standard is a globally recognized standard of safer, more sustainable products made for the circular economy framework.  It includes an evaluation of five major pillars:  material health, material reutilization, renewable energy and carbon management, water stewardship and social fairness.  Many major manufacturer in the US now subscribe to the C2C framework including but not limited to: </w:t>
      </w:r>
      <w:r w:rsidR="007B270E">
        <w:rPr>
          <w:rFonts w:cs="Arial"/>
          <w:color w:val="111111"/>
          <w:szCs w:val="24"/>
        </w:rPr>
        <w:t>L’Oréal</w:t>
      </w:r>
      <w:r w:rsidR="00923565">
        <w:rPr>
          <w:rFonts w:cs="Arial"/>
          <w:color w:val="111111"/>
          <w:szCs w:val="24"/>
        </w:rPr>
        <w:t xml:space="preserve">, Shaw, Herman Miller, and Unilever. </w:t>
      </w:r>
    </w:p>
    <w:p w:rsidR="00997B2C" w:rsidRDefault="00F901A0" w:rsidP="009F0B77">
      <w:r w:rsidRPr="00F901A0">
        <w:t xml:space="preserve">Bowers has been significantly involved in </w:t>
      </w:r>
      <w:r>
        <w:t>assisting with the environmental and regulatory aspects of large manufacturing entities for their ESG programs (Harley-Davidson Motor Company and Boehringer Ingelheim Animal Health).  A summary of his experience is below:</w:t>
      </w:r>
    </w:p>
    <w:p w:rsidR="00F901A0" w:rsidRPr="007B270E" w:rsidRDefault="00F901A0" w:rsidP="007B270E">
      <w:pPr>
        <w:pStyle w:val="Bullet2-line"/>
      </w:pPr>
      <w:r w:rsidRPr="007B270E">
        <w:rPr>
          <w:b/>
        </w:rPr>
        <w:t xml:space="preserve">Harley-Davidson </w:t>
      </w:r>
      <w:r w:rsidR="0073166D" w:rsidRPr="007B270E">
        <w:rPr>
          <w:b/>
        </w:rPr>
        <w:t xml:space="preserve">(H-D) </w:t>
      </w:r>
      <w:r w:rsidRPr="007B270E">
        <w:rPr>
          <w:b/>
        </w:rPr>
        <w:t>Motor Company Operations</w:t>
      </w:r>
      <w:r w:rsidR="007B270E">
        <w:rPr>
          <w:b/>
        </w:rPr>
        <w:t xml:space="preserve">, </w:t>
      </w:r>
      <w:r w:rsidR="00600C9C" w:rsidRPr="007B270E">
        <w:rPr>
          <w:b/>
        </w:rPr>
        <w:t>Kansas City, MO</w:t>
      </w:r>
      <w:r w:rsidR="007B270E" w:rsidRPr="007B270E">
        <w:rPr>
          <w:b/>
        </w:rPr>
        <w:t xml:space="preserve">, </w:t>
      </w:r>
      <w:r w:rsidR="00600C9C" w:rsidRPr="007B270E">
        <w:rPr>
          <w:b/>
        </w:rPr>
        <w:t>EEBN</w:t>
      </w:r>
      <w:r w:rsidR="007B270E" w:rsidRPr="007B270E">
        <w:rPr>
          <w:b/>
        </w:rPr>
        <w:t xml:space="preserve">. </w:t>
      </w:r>
      <w:r w:rsidR="007B270E">
        <w:rPr>
          <w:b/>
        </w:rPr>
        <w:t xml:space="preserve"> </w:t>
      </w:r>
      <w:r w:rsidRPr="007B270E">
        <w:t xml:space="preserve">Under the auspices of Bridging the Gap (BTG) a 503(c), not-for-profit entity in Kansas City, MO, </w:t>
      </w:r>
      <w:r w:rsidR="0073166D" w:rsidRPr="007B270E">
        <w:t>Bowers, then at H-D was a founding member of the Environmental Excellence Business Network (EEBN).  The EEBN was formed to promote sustainable business practices in the manufacturing sector and included the following founding members:  H-D, Sprint, Boulevard Brewing, Bayer, Hallmark Cards, and Kansas City Power and Light (K</w:t>
      </w:r>
      <w:r w:rsidR="0073166D" w:rsidRPr="009F0B77">
        <w:rPr>
          <w:rStyle w:val="Bullet2-lineChar"/>
        </w:rPr>
        <w:t xml:space="preserve">CPL), </w:t>
      </w:r>
      <w:r w:rsidR="0073166D" w:rsidRPr="009F0B77">
        <w:rPr>
          <w:rStyle w:val="Bullet2-lineChar"/>
        </w:rPr>
        <w:lastRenderedPageBreak/>
        <w:t>among others.  The EEBN was later re-branded as the Green Business Network (</w:t>
      </w:r>
      <w:r w:rsidR="0073166D" w:rsidRPr="007B270E">
        <w:t>GBN).  The EEBN/GBN has held monthly tours of metropolitan area manufacturers</w:t>
      </w:r>
      <w:r w:rsidR="00600C9C" w:rsidRPr="007B270E">
        <w:t xml:space="preserve"> to promote education and share successes around sustainability and sustainable practices.</w:t>
      </w:r>
    </w:p>
    <w:p w:rsidR="00897BD7" w:rsidRPr="007B270E" w:rsidRDefault="00600C9C" w:rsidP="007B270E">
      <w:pPr>
        <w:pStyle w:val="Bullet2-line"/>
        <w:rPr>
          <w:b/>
        </w:rPr>
      </w:pPr>
      <w:r w:rsidRPr="007B270E">
        <w:rPr>
          <w:b/>
        </w:rPr>
        <w:t>Harley-Davidson</w:t>
      </w:r>
      <w:r w:rsidR="007B270E" w:rsidRPr="007B270E">
        <w:rPr>
          <w:b/>
        </w:rPr>
        <w:t xml:space="preserve"> (H-D) Motor Company Operations, </w:t>
      </w:r>
      <w:r w:rsidRPr="007B270E">
        <w:rPr>
          <w:b/>
        </w:rPr>
        <w:t>Kansas City, MO</w:t>
      </w:r>
      <w:r w:rsidR="007B270E" w:rsidRPr="007B270E">
        <w:rPr>
          <w:b/>
        </w:rPr>
        <w:t xml:space="preserve">, </w:t>
      </w:r>
      <w:r w:rsidRPr="007B270E">
        <w:rPr>
          <w:b/>
        </w:rPr>
        <w:t>Regional Byproduct Synergy (BPS) Initiative</w:t>
      </w:r>
      <w:r w:rsidR="007B270E">
        <w:rPr>
          <w:b/>
        </w:rPr>
        <w:t xml:space="preserve">.  </w:t>
      </w:r>
      <w:r w:rsidRPr="007B270E">
        <w:rPr>
          <w:szCs w:val="24"/>
        </w:rPr>
        <w:t>Under the auspices of Bridging the Gap (BTG) a 503(c), not-for-profit entity in Kansas City, MO, Bowers, then at H-D was a founding member of the Environmental Excellence Business Network (EEBN).  The EEBN was formed to promote sustainable business practices in the manufacturing sector and included the following founding members:  H-D, Sprint, Boulevard Brewing, Bayer, Hallmark Cards, and Kansas City Power and Light (KCPL), among others.  The EEBN was later re-branded as the Green Business Network (GBN).  The EEBN/GBN has held monthly tours of metropolitan area manufacturers to promote education and share successes around sustainability and sustainable practices.</w:t>
      </w:r>
    </w:p>
    <w:p w:rsidR="00600C9C" w:rsidRPr="007B270E" w:rsidRDefault="0073166D" w:rsidP="007B270E">
      <w:pPr>
        <w:pStyle w:val="Bullet2-line"/>
        <w:rPr>
          <w:b/>
        </w:rPr>
      </w:pPr>
      <w:r w:rsidRPr="007B270E">
        <w:rPr>
          <w:b/>
        </w:rPr>
        <w:t>Boehringer Ingelheim Animal Health (BIAH)</w:t>
      </w:r>
      <w:r w:rsidR="007B270E" w:rsidRPr="007B270E">
        <w:rPr>
          <w:b/>
        </w:rPr>
        <w:t xml:space="preserve">, </w:t>
      </w:r>
      <w:r w:rsidRPr="007B270E">
        <w:rPr>
          <w:b/>
        </w:rPr>
        <w:t>Saint Joseph, MO</w:t>
      </w:r>
      <w:r w:rsidR="007B270E" w:rsidRPr="007B270E">
        <w:rPr>
          <w:b/>
        </w:rPr>
        <w:t xml:space="preserve">, </w:t>
      </w:r>
      <w:r w:rsidR="00600C9C" w:rsidRPr="007B270E">
        <w:rPr>
          <w:b/>
        </w:rPr>
        <w:t>Be Green Initiative</w:t>
      </w:r>
      <w:r w:rsidR="007B270E">
        <w:rPr>
          <w:b/>
        </w:rPr>
        <w:t xml:space="preserve">. </w:t>
      </w:r>
      <w:r w:rsidR="007B270E">
        <w:rPr>
          <w:szCs w:val="24"/>
        </w:rPr>
        <w:t>W</w:t>
      </w:r>
      <w:r w:rsidR="00600C9C" w:rsidRPr="007B270E">
        <w:rPr>
          <w:szCs w:val="24"/>
        </w:rPr>
        <w:t>orked with the local vaccine plant staff to develop a sustainability framework and initiative at the manufacturing plant level.</w:t>
      </w:r>
    </w:p>
    <w:p w:rsidR="001175CA" w:rsidRPr="00537954" w:rsidRDefault="001175CA" w:rsidP="001175CA">
      <w:pPr>
        <w:pStyle w:val="ResumeHeading3"/>
      </w:pPr>
      <w:r w:rsidRPr="00537954">
        <w:t xml:space="preserve">Industrial Hygiene </w:t>
      </w:r>
      <w:r w:rsidR="000360AE">
        <w:t xml:space="preserve">(IH) </w:t>
      </w:r>
      <w:r w:rsidRPr="00537954">
        <w:t>and Indoor Air Quality</w:t>
      </w:r>
      <w:r w:rsidR="000360AE">
        <w:t xml:space="preserve"> (IAQ)</w:t>
      </w:r>
    </w:p>
    <w:p w:rsidR="001175CA" w:rsidRDefault="001175CA" w:rsidP="009F0B77">
      <w:pPr>
        <w:rPr>
          <w:b/>
        </w:rPr>
      </w:pPr>
      <w:r w:rsidRPr="005128CF">
        <w:t xml:space="preserve">Mr. </w:t>
      </w:r>
      <w:r w:rsidR="00550429">
        <w:t xml:space="preserve">Bowers has coordinated and overseen third-party </w:t>
      </w:r>
      <w:r w:rsidRPr="005128CF">
        <w:t xml:space="preserve">IH and IAQ services for </w:t>
      </w:r>
      <w:r>
        <w:t xml:space="preserve">chemical </w:t>
      </w:r>
      <w:r w:rsidR="00550429">
        <w:t xml:space="preserve">and </w:t>
      </w:r>
      <w:r>
        <w:t xml:space="preserve">biological constituents at </w:t>
      </w:r>
      <w:r w:rsidR="00E73404">
        <w:t xml:space="preserve">various </w:t>
      </w:r>
      <w:r w:rsidR="00550429">
        <w:t xml:space="preserve">manufacturing settings and facilities.  Constituents of concern have included: </w:t>
      </w:r>
      <w:proofErr w:type="spellStart"/>
      <w:r w:rsidR="00550429">
        <w:t>i</w:t>
      </w:r>
      <w:proofErr w:type="spellEnd"/>
      <w:r w:rsidR="00550429">
        <w:t xml:space="preserve">) benzene, ii) hexavalent chromium, </w:t>
      </w:r>
      <w:r w:rsidR="00F73C26">
        <w:t>i</w:t>
      </w:r>
      <w:r w:rsidR="00550429">
        <w:t xml:space="preserve">ii) PM/dust, </w:t>
      </w:r>
      <w:r w:rsidR="00F73C26">
        <w:t xml:space="preserve">iv) </w:t>
      </w:r>
      <w:r w:rsidR="00550429">
        <w:t xml:space="preserve">mold spores, </w:t>
      </w:r>
      <w:r w:rsidR="00F73C26">
        <w:t xml:space="preserve">v) </w:t>
      </w:r>
      <w:r w:rsidR="00550429">
        <w:t xml:space="preserve">TVOCs and </w:t>
      </w:r>
      <w:r w:rsidR="00F73C26">
        <w:t xml:space="preserve">vi) </w:t>
      </w:r>
      <w:r w:rsidR="00550429">
        <w:t>THAPs.</w:t>
      </w:r>
      <w:r w:rsidRPr="005128CF">
        <w:t xml:space="preserve"> </w:t>
      </w:r>
      <w:r w:rsidR="00550429">
        <w:t xml:space="preserve">Based upon </w:t>
      </w:r>
      <w:r w:rsidR="00F73C26">
        <w:t>results of IH/IAQ measured concentrations</w:t>
      </w:r>
      <w:r w:rsidR="00550429">
        <w:t xml:space="preserve">, prepared </w:t>
      </w:r>
      <w:r w:rsidR="00F73C26">
        <w:t xml:space="preserve">written </w:t>
      </w:r>
      <w:r w:rsidR="00550429">
        <w:t xml:space="preserve">reports recommending </w:t>
      </w:r>
      <w:r w:rsidR="00142F57">
        <w:t xml:space="preserve">various </w:t>
      </w:r>
      <w:r w:rsidR="00550429">
        <w:t>administrative controls, engineering controls or applicable PPE.</w:t>
      </w:r>
    </w:p>
    <w:p w:rsidR="008D149A" w:rsidRPr="00142F57" w:rsidRDefault="00F73C26" w:rsidP="008D149A">
      <w:pPr>
        <w:pStyle w:val="ResumeHeading3"/>
      </w:pPr>
      <w:r w:rsidRPr="00142F57">
        <w:t>Hospital,</w:t>
      </w:r>
      <w:r w:rsidR="008D149A" w:rsidRPr="00142F57">
        <w:t xml:space="preserve"> Medical, Infectious Waste</w:t>
      </w:r>
      <w:r w:rsidR="00142F57" w:rsidRPr="00142F57">
        <w:t xml:space="preserve"> Incinerators</w:t>
      </w:r>
      <w:r w:rsidRPr="00142F57">
        <w:t xml:space="preserve"> (HMIW</w:t>
      </w:r>
      <w:r w:rsidR="00142F57" w:rsidRPr="00142F57">
        <w:t>I</w:t>
      </w:r>
      <w:r w:rsidRPr="00142F57">
        <w:t>) Compliance</w:t>
      </w:r>
    </w:p>
    <w:p w:rsidR="00F73C26" w:rsidRPr="00142F57" w:rsidRDefault="00F73C26" w:rsidP="009F0B77">
      <w:r w:rsidRPr="00142F57">
        <w:t xml:space="preserve">Mr. Bowers </w:t>
      </w:r>
      <w:r w:rsidR="00142F57">
        <w:t xml:space="preserve">has prepared written </w:t>
      </w:r>
      <w:r w:rsidRPr="00142F57">
        <w:t xml:space="preserve">HMIWI waste management </w:t>
      </w:r>
      <w:r w:rsidR="00142F57">
        <w:t xml:space="preserve">and acceptance </w:t>
      </w:r>
      <w:r w:rsidRPr="00142F57">
        <w:t>procedure</w:t>
      </w:r>
      <w:r w:rsidR="00142F57">
        <w:t xml:space="preserve">s for medical waste incinerators at vaccine manufacturing facilities.  In addition, he has prepared SOPs for the management of commingled infectious and RCRA characteristic waste.  Bowers has also prepared written blood-borne pathogen programs.  </w:t>
      </w:r>
    </w:p>
    <w:p w:rsidR="00F73C26" w:rsidRPr="00897BD7" w:rsidRDefault="00F73C26" w:rsidP="00FE6FEA">
      <w:pPr>
        <w:pStyle w:val="ResumeHeading3"/>
      </w:pPr>
      <w:r w:rsidRPr="00897BD7">
        <w:t>Quantitative/Qualitative Human Health Risk Assessments (HHRAs)</w:t>
      </w:r>
    </w:p>
    <w:p w:rsidR="00F73C26" w:rsidRDefault="00142F57" w:rsidP="009F0B77">
      <w:r>
        <w:t xml:space="preserve">Bowers has prepared quantitative human health risk assessments (HHRAs) </w:t>
      </w:r>
      <w:r w:rsidR="00897BD7">
        <w:t>for UST sites, brownfield sites, manufactured gas plant (MGP) sites, former orchards and landfills.  These HHRAs were performed using the EPAs Risk Assessment Guidance for Superfund (RAGS) Part A and B.  In this area, Bowers performed exposure and toxicity assessments</w:t>
      </w:r>
      <w:r w:rsidR="0065327E">
        <w:t>, risk evaluations and developed conceptual site models (CSMs for complex sites with multimedia contamination.</w:t>
      </w:r>
    </w:p>
    <w:p w:rsidR="00FE6FEA" w:rsidRDefault="00FE6FEA" w:rsidP="00FE6FEA">
      <w:pPr>
        <w:pStyle w:val="ResumeHeading3"/>
      </w:pPr>
      <w:r>
        <w:t>Petroleum</w:t>
      </w:r>
    </w:p>
    <w:p w:rsidR="00FE6FEA" w:rsidRDefault="00FE6FEA" w:rsidP="009F0B77">
      <w:r w:rsidRPr="002D1170">
        <w:t xml:space="preserve">Mr. </w:t>
      </w:r>
      <w:r w:rsidR="0065327E">
        <w:t>Bowers</w:t>
      </w:r>
      <w:r w:rsidRPr="002D1170">
        <w:t xml:space="preserve"> </w:t>
      </w:r>
      <w:r>
        <w:t>ha</w:t>
      </w:r>
      <w:r w:rsidRPr="002D1170">
        <w:t xml:space="preserve">s </w:t>
      </w:r>
      <w:r>
        <w:t>e</w:t>
      </w:r>
      <w:r w:rsidRPr="002D1170">
        <w:t>xperience</w:t>
      </w:r>
      <w:r>
        <w:t xml:space="preserve"> in the environmental aspects of petroleum management, release investigation, and remediation.  He has prepared Spill Prevention, Control and Countermeasures Plans, Oil Discharge Contingency Plans (Virginia), and Integrated </w:t>
      </w:r>
      <w:r w:rsidR="0065327E">
        <w:t>Contingency</w:t>
      </w:r>
      <w:r>
        <w:t xml:space="preserve"> Plans</w:t>
      </w:r>
      <w:r w:rsidR="0065327E">
        <w:t xml:space="preserve"> (ICPs)</w:t>
      </w:r>
      <w:r>
        <w:t xml:space="preserve">.  Permitting experience for petroleum facilities includes UST/AST registrations, preparation of stormwater permit applications, stormwater management plans, air emissions permit applications, and annual air emissions </w:t>
      </w:r>
      <w:r w:rsidR="0065327E">
        <w:t>inventories</w:t>
      </w:r>
      <w:r>
        <w:t xml:space="preserve">.  </w:t>
      </w:r>
    </w:p>
    <w:p w:rsidR="00FE6FEA" w:rsidRDefault="00FE6FEA" w:rsidP="009F0B77">
      <w:r>
        <w:t>Design and inspection experience includes UST systems, AST systems, and secondary containment systems.  Secondary containment experience also includes inspections, capacity evaluations,</w:t>
      </w:r>
      <w:r w:rsidR="0065327E">
        <w:t xml:space="preserve"> and</w:t>
      </w:r>
      <w:r>
        <w:t xml:space="preserve"> upgrades.  </w:t>
      </w:r>
    </w:p>
    <w:p w:rsidR="00FE6FEA" w:rsidRDefault="0065327E" w:rsidP="009F0B77">
      <w:r>
        <w:lastRenderedPageBreak/>
        <w:t>His petroleum r</w:t>
      </w:r>
      <w:r w:rsidR="00FE6FEA">
        <w:t>emediation experience includes soil</w:t>
      </w:r>
      <w:r>
        <w:t xml:space="preserve"> and</w:t>
      </w:r>
      <w:r w:rsidR="00FE6FEA">
        <w:t xml:space="preserve"> groundwater.  Soil remediation experience includes excavation, in-situ </w:t>
      </w:r>
      <w:r>
        <w:t>b</w:t>
      </w:r>
      <w:r w:rsidR="00FE6FEA">
        <w:t xml:space="preserve">ioremediation, thermal desorption, soil vapor extraction, stabilization, and cover systems.  Groundwater remediation experience includes free product removal systems, air stripping, </w:t>
      </w:r>
      <w:r>
        <w:t xml:space="preserve">and </w:t>
      </w:r>
      <w:r w:rsidR="00FE6FEA">
        <w:t>carbon adsorption system</w:t>
      </w:r>
      <w:r>
        <w:t>s.</w:t>
      </w:r>
    </w:p>
    <w:p w:rsidR="00556EF7" w:rsidRPr="007B270E" w:rsidRDefault="005532D9" w:rsidP="007B270E">
      <w:pPr>
        <w:pStyle w:val="ResumeHeading3"/>
      </w:pPr>
      <w:r>
        <w:t xml:space="preserve">Environmental </w:t>
      </w:r>
      <w:r w:rsidR="0065327E">
        <w:t>M</w:t>
      </w:r>
      <w:r>
        <w:t>anager</w:t>
      </w:r>
    </w:p>
    <w:p w:rsidR="0065327E" w:rsidRDefault="00556EF7" w:rsidP="00556EF7">
      <w:pPr>
        <w:rPr>
          <w:szCs w:val="24"/>
        </w:rPr>
      </w:pPr>
      <w:r w:rsidRPr="002D1170">
        <w:rPr>
          <w:szCs w:val="24"/>
        </w:rPr>
        <w:t xml:space="preserve">Prior to joining SCS in </w:t>
      </w:r>
      <w:r w:rsidR="0065327E">
        <w:rPr>
          <w:szCs w:val="24"/>
        </w:rPr>
        <w:t xml:space="preserve">2021 Bowers spent 15 years as the Environmental Compliance Manager at Harley-Davidson’s Vehicle Assembly and Powertrain Operations in Kansas City, MO.  During this time, Bowers was responsible for H-D’s multimedia environmental compliance </w:t>
      </w:r>
      <w:r w:rsidR="00FC4A1A">
        <w:rPr>
          <w:szCs w:val="24"/>
        </w:rPr>
        <w:t xml:space="preserve">programs </w:t>
      </w:r>
      <w:r w:rsidR="0065327E">
        <w:rPr>
          <w:szCs w:val="24"/>
        </w:rPr>
        <w:t>under the CWA, CAA, EPCRA, RCRA and CERCLA.  This included all air and water/wastewater permitting (H-D was a Title V air source)</w:t>
      </w:r>
      <w:r w:rsidR="00FC4A1A">
        <w:rPr>
          <w:szCs w:val="24"/>
        </w:rPr>
        <w:t>, as well as the preparation of annual emissions inventories and potential-to-emit (PTE) determinations.  Under the CWA, Bowers was responsible for management and reporting of stormwater and wastewater pretreatment</w:t>
      </w:r>
      <w:r w:rsidR="000325A4">
        <w:rPr>
          <w:szCs w:val="24"/>
        </w:rPr>
        <w:t xml:space="preserve">, SPCC compliance, preparation of sampling and analysis plans, </w:t>
      </w:r>
      <w:r w:rsidR="0021261D">
        <w:rPr>
          <w:szCs w:val="24"/>
        </w:rPr>
        <w:t>SWP3, and regular compliance inspections.</w:t>
      </w:r>
      <w:r w:rsidR="00FC4A1A">
        <w:rPr>
          <w:szCs w:val="24"/>
        </w:rPr>
        <w:t xml:space="preserve">  </w:t>
      </w:r>
      <w:r w:rsidR="0021261D">
        <w:rPr>
          <w:szCs w:val="24"/>
        </w:rPr>
        <w:t>Bowers also prepared accidental slug discharge contingency (ASDC) plans and toxic organic pollutant management (TOPM) plans for wastewater compliance.</w:t>
      </w:r>
      <w:r w:rsidR="00AA1FCF">
        <w:rPr>
          <w:szCs w:val="24"/>
        </w:rPr>
        <w:t xml:space="preserve">  </w:t>
      </w:r>
      <w:r w:rsidR="0021261D">
        <w:rPr>
          <w:szCs w:val="24"/>
        </w:rPr>
        <w:t>He was responsible for</w:t>
      </w:r>
      <w:r w:rsidR="00AA1FCF">
        <w:rPr>
          <w:szCs w:val="24"/>
        </w:rPr>
        <w:t xml:space="preserve"> all of H-Ds annual reporting under Tier II and Form R </w:t>
      </w:r>
      <w:r w:rsidR="0021261D">
        <w:rPr>
          <w:szCs w:val="24"/>
        </w:rPr>
        <w:t>for</w:t>
      </w:r>
      <w:r w:rsidR="00AA1FCF">
        <w:rPr>
          <w:szCs w:val="24"/>
        </w:rPr>
        <w:t xml:space="preserve"> EPCRA.  </w:t>
      </w:r>
      <w:r w:rsidR="0021261D">
        <w:rPr>
          <w:szCs w:val="24"/>
        </w:rPr>
        <w:t>In addition, he</w:t>
      </w:r>
      <w:r w:rsidR="00AA1FCF">
        <w:rPr>
          <w:szCs w:val="24"/>
        </w:rPr>
        <w:t xml:space="preserve"> </w:t>
      </w:r>
      <w:r w:rsidR="0021261D">
        <w:rPr>
          <w:szCs w:val="24"/>
        </w:rPr>
        <w:t>oversaw</w:t>
      </w:r>
      <w:r w:rsidR="00AA1FCF">
        <w:rPr>
          <w:szCs w:val="24"/>
        </w:rPr>
        <w:t xml:space="preserve"> solid and hazardous waste management at the facility and included hazardous waste reporting and training under the provisions of RCRA.</w:t>
      </w:r>
      <w:r w:rsidR="0021261D">
        <w:rPr>
          <w:szCs w:val="24"/>
        </w:rPr>
        <w:t xml:space="preserve">  This included preparation of large quantity generator (LQG) hazardous waste contingency plans and LQG hazardous waste awareness training.</w:t>
      </w:r>
    </w:p>
    <w:p w:rsidR="00556EF7" w:rsidRPr="002D1170" w:rsidRDefault="00556EF7" w:rsidP="00556EF7">
      <w:pPr>
        <w:pStyle w:val="Heading3"/>
        <w:rPr>
          <w:rFonts w:ascii="Times New Roman" w:hAnsi="Times New Roman"/>
          <w:b/>
          <w:szCs w:val="24"/>
          <w:u w:val="single"/>
        </w:rPr>
      </w:pPr>
      <w:r w:rsidRPr="00537954">
        <w:t>Publications</w:t>
      </w:r>
      <w:r>
        <w:t xml:space="preserve"> and Presentations</w:t>
      </w:r>
    </w:p>
    <w:p w:rsidR="00BC37BF" w:rsidRDefault="00BC37BF" w:rsidP="00BC37BF">
      <w:pPr>
        <w:widowControl w:val="0"/>
        <w:tabs>
          <w:tab w:val="left" w:pos="-720"/>
        </w:tabs>
        <w:suppressAutoHyphens/>
        <w:overflowPunct w:val="0"/>
        <w:autoSpaceDE w:val="0"/>
        <w:autoSpaceDN w:val="0"/>
        <w:adjustRightInd w:val="0"/>
        <w:spacing w:after="0" w:line="240" w:lineRule="atLeast"/>
        <w:ind w:left="360" w:hanging="360"/>
        <w:jc w:val="both"/>
        <w:rPr>
          <w:rFonts w:eastAsia="Univers (W1)"/>
          <w:kern w:val="28"/>
          <w:szCs w:val="24"/>
        </w:rPr>
      </w:pPr>
    </w:p>
    <w:p w:rsidR="00BC37BF" w:rsidRPr="00BC37BF" w:rsidRDefault="00BC37BF" w:rsidP="00BC37BF">
      <w:pPr>
        <w:widowControl w:val="0"/>
        <w:tabs>
          <w:tab w:val="left" w:pos="-720"/>
        </w:tabs>
        <w:suppressAutoHyphens/>
        <w:overflowPunct w:val="0"/>
        <w:autoSpaceDE w:val="0"/>
        <w:autoSpaceDN w:val="0"/>
        <w:adjustRightInd w:val="0"/>
        <w:spacing w:after="0" w:line="240" w:lineRule="atLeast"/>
        <w:ind w:left="360" w:hanging="360"/>
        <w:jc w:val="both"/>
        <w:rPr>
          <w:rFonts w:eastAsia="Univers (W1)"/>
          <w:kern w:val="28"/>
          <w:szCs w:val="24"/>
        </w:rPr>
      </w:pPr>
      <w:r w:rsidRPr="00BC37BF">
        <w:rPr>
          <w:rFonts w:eastAsia="Univers (W1)"/>
          <w:kern w:val="28"/>
          <w:szCs w:val="24"/>
        </w:rPr>
        <w:t>R.B. Bowers</w:t>
      </w:r>
      <w:r>
        <w:rPr>
          <w:rFonts w:eastAsia="Univers (W1)"/>
          <w:kern w:val="28"/>
          <w:szCs w:val="24"/>
        </w:rPr>
        <w:t>.</w:t>
      </w:r>
      <w:r w:rsidRPr="00BC37BF">
        <w:rPr>
          <w:rFonts w:eastAsia="Univers (W1)"/>
          <w:kern w:val="28"/>
          <w:szCs w:val="24"/>
        </w:rPr>
        <w:t xml:space="preserve"> </w:t>
      </w:r>
      <w:r w:rsidRPr="00BC37BF">
        <w:rPr>
          <w:rFonts w:eastAsia="Univers (W1)"/>
          <w:b/>
          <w:bCs/>
          <w:kern w:val="28"/>
          <w:szCs w:val="24"/>
          <w:u w:val="single"/>
        </w:rPr>
        <w:t>Wastewater Pretreatment Issues in the Metal Finishing Industry</w:t>
      </w:r>
      <w:r w:rsidRPr="00BC37BF">
        <w:rPr>
          <w:rFonts w:eastAsia="Univers (W1)"/>
          <w:kern w:val="28"/>
          <w:szCs w:val="24"/>
        </w:rPr>
        <w:t>, Pretreatment Forum, U.S. EPA Region VII, Kansas City, Kansas, August 12, 1999.</w:t>
      </w:r>
    </w:p>
    <w:p w:rsidR="00BC37BF" w:rsidRPr="00BC37BF" w:rsidRDefault="00BC37BF" w:rsidP="00BC37BF">
      <w:pPr>
        <w:widowControl w:val="0"/>
        <w:tabs>
          <w:tab w:val="left" w:pos="-720"/>
        </w:tabs>
        <w:suppressAutoHyphens/>
        <w:overflowPunct w:val="0"/>
        <w:autoSpaceDE w:val="0"/>
        <w:autoSpaceDN w:val="0"/>
        <w:adjustRightInd w:val="0"/>
        <w:spacing w:after="0" w:line="240" w:lineRule="atLeast"/>
        <w:jc w:val="both"/>
        <w:rPr>
          <w:rFonts w:eastAsia="Univers (W1)"/>
          <w:kern w:val="28"/>
          <w:szCs w:val="24"/>
        </w:rPr>
      </w:pPr>
    </w:p>
    <w:p w:rsidR="00BC37BF" w:rsidRPr="00BC37BF" w:rsidRDefault="00BC37BF" w:rsidP="00BC37BF">
      <w:pPr>
        <w:widowControl w:val="0"/>
        <w:tabs>
          <w:tab w:val="left" w:pos="-720"/>
        </w:tabs>
        <w:suppressAutoHyphens/>
        <w:overflowPunct w:val="0"/>
        <w:autoSpaceDE w:val="0"/>
        <w:autoSpaceDN w:val="0"/>
        <w:adjustRightInd w:val="0"/>
        <w:spacing w:after="0" w:line="240" w:lineRule="atLeast"/>
        <w:ind w:left="360" w:hanging="360"/>
        <w:jc w:val="both"/>
        <w:rPr>
          <w:rFonts w:eastAsia="Univers (W1)"/>
          <w:kern w:val="28"/>
          <w:szCs w:val="24"/>
        </w:rPr>
      </w:pPr>
      <w:r w:rsidRPr="00BC37BF">
        <w:rPr>
          <w:rFonts w:eastAsia="Univers (W1)"/>
          <w:kern w:val="28"/>
          <w:szCs w:val="24"/>
        </w:rPr>
        <w:t xml:space="preserve">R.B. Bowers, </w:t>
      </w:r>
      <w:r w:rsidRPr="00BC37BF">
        <w:rPr>
          <w:rFonts w:eastAsia="Univers (W1)"/>
          <w:b/>
          <w:bCs/>
          <w:kern w:val="28"/>
          <w:szCs w:val="24"/>
          <w:u w:val="single"/>
        </w:rPr>
        <w:t>The MULTIMEDIA Exposure Model as a Risk Assessment Tool at LUST Sites</w:t>
      </w:r>
      <w:r w:rsidRPr="00BC37BF">
        <w:rPr>
          <w:rFonts w:eastAsia="Univers (W1)"/>
          <w:kern w:val="28"/>
          <w:szCs w:val="24"/>
        </w:rPr>
        <w:t>, Federal Environmental Restoration III &amp; Waste Minimization II Conference and Exposition, New Orleans, LA. April 1994.</w:t>
      </w:r>
    </w:p>
    <w:p w:rsidR="00BC37BF" w:rsidRPr="00BC37BF" w:rsidRDefault="00BC37BF" w:rsidP="00BC37BF">
      <w:pPr>
        <w:widowControl w:val="0"/>
        <w:tabs>
          <w:tab w:val="left" w:pos="-720"/>
        </w:tabs>
        <w:suppressAutoHyphens/>
        <w:overflowPunct w:val="0"/>
        <w:autoSpaceDE w:val="0"/>
        <w:autoSpaceDN w:val="0"/>
        <w:adjustRightInd w:val="0"/>
        <w:spacing w:after="0" w:line="240" w:lineRule="atLeast"/>
        <w:jc w:val="both"/>
        <w:rPr>
          <w:rFonts w:eastAsia="Univers (W1)"/>
          <w:kern w:val="28"/>
          <w:szCs w:val="24"/>
        </w:rPr>
      </w:pPr>
    </w:p>
    <w:p w:rsidR="00BC37BF" w:rsidRPr="00BC37BF" w:rsidRDefault="00BC37BF" w:rsidP="00ED7DD7">
      <w:pPr>
        <w:widowControl w:val="0"/>
        <w:tabs>
          <w:tab w:val="left" w:pos="-720"/>
        </w:tabs>
        <w:suppressAutoHyphens/>
        <w:overflowPunct w:val="0"/>
        <w:autoSpaceDE w:val="0"/>
        <w:autoSpaceDN w:val="0"/>
        <w:adjustRightInd w:val="0"/>
        <w:spacing w:after="0" w:line="240" w:lineRule="atLeast"/>
        <w:ind w:left="360" w:hanging="360"/>
        <w:jc w:val="both"/>
        <w:rPr>
          <w:rFonts w:eastAsia="Univers (W1)"/>
          <w:kern w:val="28"/>
          <w:szCs w:val="24"/>
        </w:rPr>
      </w:pPr>
      <w:r w:rsidRPr="00BC37BF">
        <w:rPr>
          <w:rFonts w:eastAsia="Univers (W1)"/>
          <w:kern w:val="28"/>
          <w:szCs w:val="24"/>
        </w:rPr>
        <w:t xml:space="preserve">R.B. Bowers, </w:t>
      </w:r>
      <w:r w:rsidRPr="00BC37BF">
        <w:rPr>
          <w:rFonts w:eastAsia="Univers (W1)"/>
          <w:b/>
          <w:bCs/>
          <w:kern w:val="28"/>
          <w:szCs w:val="24"/>
          <w:u w:val="single"/>
        </w:rPr>
        <w:t>The MULTIMEDIA Exposure Model as a Risk Assessment Tool at LUST Sites</w:t>
      </w:r>
      <w:r w:rsidRPr="00BC37BF">
        <w:rPr>
          <w:rFonts w:eastAsia="Univers (W1)"/>
          <w:kern w:val="28"/>
          <w:szCs w:val="24"/>
        </w:rPr>
        <w:t>, Environment Virginia Symposium, Lexington, VA. April 1994.</w:t>
      </w:r>
    </w:p>
    <w:p w:rsidR="00BC37BF" w:rsidRPr="00BC37BF" w:rsidRDefault="00BC37BF" w:rsidP="00BC37BF">
      <w:pPr>
        <w:widowControl w:val="0"/>
        <w:tabs>
          <w:tab w:val="left" w:pos="-720"/>
        </w:tabs>
        <w:suppressAutoHyphens/>
        <w:overflowPunct w:val="0"/>
        <w:autoSpaceDE w:val="0"/>
        <w:autoSpaceDN w:val="0"/>
        <w:adjustRightInd w:val="0"/>
        <w:spacing w:after="0" w:line="240" w:lineRule="atLeast"/>
        <w:jc w:val="both"/>
        <w:rPr>
          <w:rFonts w:eastAsia="Univers (W1)"/>
          <w:kern w:val="28"/>
          <w:szCs w:val="24"/>
        </w:rPr>
      </w:pPr>
    </w:p>
    <w:p w:rsidR="00BC37BF" w:rsidRPr="00BC37BF" w:rsidRDefault="00BC37BF" w:rsidP="00BC37BF">
      <w:pPr>
        <w:widowControl w:val="0"/>
        <w:tabs>
          <w:tab w:val="left" w:pos="-720"/>
        </w:tabs>
        <w:suppressAutoHyphens/>
        <w:overflowPunct w:val="0"/>
        <w:autoSpaceDE w:val="0"/>
        <w:autoSpaceDN w:val="0"/>
        <w:adjustRightInd w:val="0"/>
        <w:spacing w:after="0" w:line="240" w:lineRule="atLeast"/>
        <w:ind w:left="360" w:hanging="360"/>
        <w:jc w:val="both"/>
        <w:rPr>
          <w:rFonts w:eastAsia="Univers (W1)"/>
          <w:kern w:val="28"/>
          <w:szCs w:val="24"/>
        </w:rPr>
      </w:pPr>
      <w:r w:rsidRPr="00BC37BF">
        <w:rPr>
          <w:rFonts w:eastAsia="Univers (W1)"/>
          <w:kern w:val="28"/>
          <w:szCs w:val="24"/>
        </w:rPr>
        <w:t xml:space="preserve">R.B. Bowers, D.D. Gray, </w:t>
      </w:r>
      <w:r w:rsidRPr="00BC37BF">
        <w:rPr>
          <w:rFonts w:eastAsia="Univers (W1)"/>
          <w:b/>
          <w:bCs/>
          <w:kern w:val="28"/>
          <w:szCs w:val="24"/>
          <w:u w:val="single"/>
        </w:rPr>
        <w:t>A Computer Program for Two-Phase Pipe Flow Analysis</w:t>
      </w:r>
      <w:r w:rsidRPr="00BC37BF">
        <w:rPr>
          <w:rFonts w:eastAsia="Univers (W1)"/>
          <w:kern w:val="28"/>
          <w:szCs w:val="24"/>
        </w:rPr>
        <w:t>, Seventh National Conference on Microcomputers in Civil Engineering, Orlando, Florida, November, 1989.</w:t>
      </w:r>
    </w:p>
    <w:p w:rsidR="00BC37BF" w:rsidRPr="00BC37BF" w:rsidRDefault="00BC37BF" w:rsidP="00BC37BF">
      <w:pPr>
        <w:widowControl w:val="0"/>
        <w:tabs>
          <w:tab w:val="left" w:pos="-720"/>
        </w:tabs>
        <w:suppressAutoHyphens/>
        <w:overflowPunct w:val="0"/>
        <w:autoSpaceDE w:val="0"/>
        <w:autoSpaceDN w:val="0"/>
        <w:adjustRightInd w:val="0"/>
        <w:spacing w:after="0" w:line="240" w:lineRule="atLeast"/>
        <w:jc w:val="both"/>
        <w:rPr>
          <w:rFonts w:eastAsia="Univers (W1)"/>
          <w:kern w:val="28"/>
          <w:szCs w:val="24"/>
        </w:rPr>
      </w:pPr>
    </w:p>
    <w:p w:rsidR="00BC37BF" w:rsidRPr="00BC37BF" w:rsidRDefault="00BC37BF" w:rsidP="00BC37BF">
      <w:pPr>
        <w:widowControl w:val="0"/>
        <w:tabs>
          <w:tab w:val="left" w:pos="-720"/>
        </w:tabs>
        <w:suppressAutoHyphens/>
        <w:overflowPunct w:val="0"/>
        <w:autoSpaceDE w:val="0"/>
        <w:autoSpaceDN w:val="0"/>
        <w:adjustRightInd w:val="0"/>
        <w:spacing w:after="0" w:line="240" w:lineRule="atLeast"/>
        <w:ind w:left="360" w:hanging="360"/>
        <w:jc w:val="both"/>
        <w:rPr>
          <w:rFonts w:eastAsia="Univers (W1)"/>
          <w:kern w:val="28"/>
          <w:szCs w:val="24"/>
        </w:rPr>
      </w:pPr>
      <w:proofErr w:type="spellStart"/>
      <w:r w:rsidRPr="00BC37BF">
        <w:rPr>
          <w:rFonts w:eastAsia="Univers (W1)"/>
          <w:kern w:val="28"/>
          <w:szCs w:val="24"/>
        </w:rPr>
        <w:t>Bowders</w:t>
      </w:r>
      <w:proofErr w:type="spellEnd"/>
      <w:r w:rsidRPr="00BC37BF">
        <w:rPr>
          <w:rFonts w:eastAsia="Univers (W1)"/>
          <w:kern w:val="28"/>
          <w:szCs w:val="24"/>
        </w:rPr>
        <w:t xml:space="preserve">, J.J., Bowers, R.B., </w:t>
      </w:r>
      <w:r w:rsidRPr="00BC37BF">
        <w:rPr>
          <w:rFonts w:eastAsia="Univers (W1)"/>
          <w:b/>
          <w:bCs/>
          <w:kern w:val="28"/>
          <w:szCs w:val="24"/>
          <w:u w:val="single"/>
        </w:rPr>
        <w:t>Tracking Potentially Hazardous Materials in the Hand Glass Industry</w:t>
      </w:r>
      <w:r w:rsidRPr="00BC37BF">
        <w:rPr>
          <w:rFonts w:eastAsia="Univers (W1)"/>
          <w:kern w:val="28"/>
          <w:szCs w:val="24"/>
        </w:rPr>
        <w:t>, Society of Glass Practices, Morgantown, West Virginia, May 1989.</w:t>
      </w:r>
    </w:p>
    <w:p w:rsidR="00BC37BF" w:rsidRPr="00BC37BF" w:rsidRDefault="00BC37BF" w:rsidP="00BC37BF">
      <w:pPr>
        <w:widowControl w:val="0"/>
        <w:tabs>
          <w:tab w:val="left" w:pos="-720"/>
        </w:tabs>
        <w:suppressAutoHyphens/>
        <w:overflowPunct w:val="0"/>
        <w:autoSpaceDE w:val="0"/>
        <w:autoSpaceDN w:val="0"/>
        <w:adjustRightInd w:val="0"/>
        <w:spacing w:after="0" w:line="240" w:lineRule="atLeast"/>
        <w:jc w:val="both"/>
        <w:rPr>
          <w:rFonts w:eastAsia="Univers (W1)"/>
          <w:kern w:val="28"/>
          <w:szCs w:val="24"/>
        </w:rPr>
      </w:pPr>
    </w:p>
    <w:p w:rsidR="00BC37BF" w:rsidRPr="00BC37BF" w:rsidRDefault="00BC37BF" w:rsidP="00BC37BF">
      <w:pPr>
        <w:widowControl w:val="0"/>
        <w:tabs>
          <w:tab w:val="left" w:pos="-720"/>
        </w:tabs>
        <w:suppressAutoHyphens/>
        <w:overflowPunct w:val="0"/>
        <w:autoSpaceDE w:val="0"/>
        <w:autoSpaceDN w:val="0"/>
        <w:adjustRightInd w:val="0"/>
        <w:spacing w:after="0" w:line="240" w:lineRule="atLeast"/>
        <w:ind w:left="360" w:hanging="360"/>
        <w:jc w:val="both"/>
        <w:rPr>
          <w:rFonts w:eastAsia="Univers (W1)"/>
          <w:kern w:val="28"/>
          <w:szCs w:val="24"/>
        </w:rPr>
      </w:pPr>
      <w:r w:rsidRPr="00BC37BF">
        <w:rPr>
          <w:rFonts w:eastAsia="Univers (W1)"/>
          <w:kern w:val="28"/>
          <w:szCs w:val="24"/>
        </w:rPr>
        <w:t xml:space="preserve">Bowers, R.B., Gray, D.D., </w:t>
      </w:r>
      <w:r w:rsidRPr="00BC37BF">
        <w:rPr>
          <w:rFonts w:eastAsia="Univers (W1)"/>
          <w:b/>
          <w:bCs/>
          <w:kern w:val="28"/>
          <w:szCs w:val="24"/>
          <w:u w:val="single"/>
        </w:rPr>
        <w:t>Design and Operation of a Vacuum Transport Test Facility</w:t>
      </w:r>
      <w:r w:rsidRPr="00BC37BF">
        <w:rPr>
          <w:rFonts w:eastAsia="Univers (W1)"/>
          <w:kern w:val="28"/>
          <w:szCs w:val="24"/>
        </w:rPr>
        <w:t>, David Taylor Research Center, Report DTRC/SME-CR-13-88, May 1988, 160 pages.</w:t>
      </w:r>
    </w:p>
    <w:p w:rsidR="00BC37BF" w:rsidRPr="00BC37BF" w:rsidRDefault="00BC37BF" w:rsidP="00BC37BF">
      <w:pPr>
        <w:widowControl w:val="0"/>
        <w:tabs>
          <w:tab w:val="left" w:pos="-720"/>
        </w:tabs>
        <w:suppressAutoHyphens/>
        <w:overflowPunct w:val="0"/>
        <w:autoSpaceDE w:val="0"/>
        <w:autoSpaceDN w:val="0"/>
        <w:adjustRightInd w:val="0"/>
        <w:spacing w:after="0" w:line="240" w:lineRule="atLeast"/>
        <w:ind w:left="360"/>
        <w:jc w:val="both"/>
        <w:rPr>
          <w:rFonts w:eastAsia="Univers (W1)"/>
          <w:kern w:val="28"/>
          <w:szCs w:val="24"/>
        </w:rPr>
      </w:pPr>
    </w:p>
    <w:p w:rsidR="00BC37BF" w:rsidRPr="00BC37BF" w:rsidRDefault="00BC37BF" w:rsidP="00BC37BF">
      <w:pPr>
        <w:widowControl w:val="0"/>
        <w:tabs>
          <w:tab w:val="left" w:pos="-720"/>
        </w:tabs>
        <w:suppressAutoHyphens/>
        <w:overflowPunct w:val="0"/>
        <w:autoSpaceDE w:val="0"/>
        <w:autoSpaceDN w:val="0"/>
        <w:adjustRightInd w:val="0"/>
        <w:spacing w:after="0" w:line="240" w:lineRule="atLeast"/>
        <w:ind w:left="360" w:hanging="360"/>
        <w:jc w:val="both"/>
        <w:rPr>
          <w:rFonts w:eastAsia="Univers (W1)"/>
          <w:kern w:val="28"/>
          <w:szCs w:val="24"/>
        </w:rPr>
      </w:pPr>
      <w:r w:rsidRPr="00BC37BF">
        <w:rPr>
          <w:rFonts w:eastAsia="Univers (W1)"/>
          <w:kern w:val="28"/>
          <w:szCs w:val="24"/>
        </w:rPr>
        <w:t xml:space="preserve">Gray, D.D., Bowers, R.B., Burns, F., Rodriquez, A.T., </w:t>
      </w:r>
      <w:r w:rsidRPr="00BC37BF">
        <w:rPr>
          <w:rFonts w:eastAsia="Univers (W1)"/>
          <w:b/>
          <w:bCs/>
          <w:kern w:val="28"/>
          <w:szCs w:val="24"/>
          <w:u w:val="single"/>
        </w:rPr>
        <w:t>Experimental Study of Flow in a Vacuum Sewer</w:t>
      </w:r>
      <w:r w:rsidRPr="00BC37BF">
        <w:rPr>
          <w:rFonts w:eastAsia="Univers (W1)"/>
          <w:kern w:val="28"/>
          <w:szCs w:val="24"/>
        </w:rPr>
        <w:t>, Engineering Mechanics - 7th Conference, American Society of Civil Engineers, Blacksburg, Virginia. May 1988.</w:t>
      </w:r>
    </w:p>
    <w:p w:rsidR="00BC37BF" w:rsidRPr="00BC37BF" w:rsidRDefault="00BC37BF" w:rsidP="00BC37BF">
      <w:pPr>
        <w:widowControl w:val="0"/>
        <w:tabs>
          <w:tab w:val="left" w:pos="-720"/>
        </w:tabs>
        <w:suppressAutoHyphens/>
        <w:overflowPunct w:val="0"/>
        <w:autoSpaceDE w:val="0"/>
        <w:autoSpaceDN w:val="0"/>
        <w:adjustRightInd w:val="0"/>
        <w:spacing w:after="0" w:line="240" w:lineRule="atLeast"/>
        <w:jc w:val="both"/>
        <w:rPr>
          <w:rFonts w:eastAsia="Univers (W1)"/>
          <w:kern w:val="28"/>
          <w:szCs w:val="24"/>
        </w:rPr>
      </w:pPr>
    </w:p>
    <w:p w:rsidR="00BC37BF" w:rsidRPr="00BC37BF" w:rsidRDefault="00BC37BF" w:rsidP="00BC37BF">
      <w:pPr>
        <w:widowControl w:val="0"/>
        <w:tabs>
          <w:tab w:val="left" w:pos="-720"/>
        </w:tabs>
        <w:suppressAutoHyphens/>
        <w:overflowPunct w:val="0"/>
        <w:autoSpaceDE w:val="0"/>
        <w:autoSpaceDN w:val="0"/>
        <w:adjustRightInd w:val="0"/>
        <w:spacing w:after="0" w:line="240" w:lineRule="atLeast"/>
        <w:ind w:left="360" w:hanging="360"/>
        <w:jc w:val="both"/>
        <w:rPr>
          <w:rFonts w:eastAsia="Univers (W1)"/>
          <w:kern w:val="28"/>
          <w:szCs w:val="24"/>
        </w:rPr>
      </w:pPr>
      <w:r w:rsidRPr="00BC37BF">
        <w:rPr>
          <w:rFonts w:eastAsia="Univers (W1)"/>
          <w:kern w:val="28"/>
          <w:szCs w:val="24"/>
        </w:rPr>
        <w:t xml:space="preserve">Gray, D.D., Bowers, R.B., </w:t>
      </w:r>
      <w:r w:rsidRPr="00BC37BF">
        <w:rPr>
          <w:rFonts w:eastAsia="Univers (W1)"/>
          <w:b/>
          <w:bCs/>
          <w:kern w:val="28"/>
          <w:szCs w:val="24"/>
          <w:u w:val="single"/>
        </w:rPr>
        <w:t>Design and Performance of a Vacuum Sewer Flow Experiment</w:t>
      </w:r>
      <w:r w:rsidRPr="00BC37BF">
        <w:rPr>
          <w:rFonts w:eastAsia="Univers (W1)"/>
          <w:kern w:val="28"/>
          <w:szCs w:val="24"/>
        </w:rPr>
        <w:t>, Engineering Mechanics - 6th Conference, American Society of Civil Engineers, Buffalo, New York. 1987.</w:t>
      </w:r>
    </w:p>
    <w:p w:rsidR="00BC37BF" w:rsidRPr="00BC37BF" w:rsidRDefault="00BC37BF" w:rsidP="00BC37BF">
      <w:pPr>
        <w:widowControl w:val="0"/>
        <w:tabs>
          <w:tab w:val="left" w:pos="-720"/>
        </w:tabs>
        <w:suppressAutoHyphens/>
        <w:overflowPunct w:val="0"/>
        <w:autoSpaceDE w:val="0"/>
        <w:autoSpaceDN w:val="0"/>
        <w:adjustRightInd w:val="0"/>
        <w:spacing w:after="0" w:line="240" w:lineRule="atLeast"/>
        <w:jc w:val="both"/>
        <w:rPr>
          <w:rFonts w:eastAsia="Univers (W1)"/>
          <w:kern w:val="28"/>
          <w:szCs w:val="24"/>
        </w:rPr>
      </w:pPr>
    </w:p>
    <w:p w:rsidR="00BC37BF" w:rsidRPr="00BC37BF" w:rsidRDefault="00BC37BF" w:rsidP="007B270E">
      <w:pPr>
        <w:widowControl w:val="0"/>
        <w:tabs>
          <w:tab w:val="left" w:pos="-720"/>
        </w:tabs>
        <w:suppressAutoHyphens/>
        <w:overflowPunct w:val="0"/>
        <w:autoSpaceDE w:val="0"/>
        <w:autoSpaceDN w:val="0"/>
        <w:adjustRightInd w:val="0"/>
        <w:spacing w:after="0" w:line="240" w:lineRule="atLeast"/>
        <w:ind w:left="360" w:hanging="360"/>
        <w:jc w:val="both"/>
        <w:rPr>
          <w:szCs w:val="24"/>
        </w:rPr>
      </w:pPr>
      <w:r w:rsidRPr="00BC37BF">
        <w:rPr>
          <w:rFonts w:eastAsia="Univers (W1)"/>
          <w:kern w:val="28"/>
          <w:szCs w:val="24"/>
        </w:rPr>
        <w:t xml:space="preserve">Gray, D.D., Miller, C.R., Bowers, R.B., </w:t>
      </w:r>
      <w:r w:rsidRPr="00BC37BF">
        <w:rPr>
          <w:rFonts w:eastAsia="Univers (W1)"/>
          <w:b/>
          <w:bCs/>
          <w:kern w:val="28"/>
          <w:szCs w:val="24"/>
          <w:u w:val="single"/>
        </w:rPr>
        <w:t>Shipboard Vacuum Transport Test Procedure and Test Rig Design</w:t>
      </w:r>
      <w:r w:rsidRPr="00BC37BF">
        <w:rPr>
          <w:rFonts w:eastAsia="Univers (W1)"/>
          <w:kern w:val="28"/>
          <w:szCs w:val="24"/>
        </w:rPr>
        <w:t>, David Taylor Naval Ship Research and Development Center. Report DTNSRDC/SME-CR-06-86. March 1986. 81 pages.</w:t>
      </w:r>
    </w:p>
    <w:sectPr w:rsidR="00BC37BF" w:rsidRPr="00BC37BF" w:rsidSect="00FD232A">
      <w:headerReference w:type="default" r:id="rId10"/>
      <w:footerReference w:type="default" r:id="rId11"/>
      <w:type w:val="continuous"/>
      <w:pgSz w:w="12240" w:h="15840" w:code="1"/>
      <w:pgMar w:top="1440" w:right="1440" w:bottom="900" w:left="1440" w:header="720" w:footer="39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EF7" w:rsidRDefault="00556EF7" w:rsidP="00233433">
      <w:r>
        <w:separator/>
      </w:r>
    </w:p>
    <w:p w:rsidR="00556EF7" w:rsidRDefault="00556EF7" w:rsidP="00233433"/>
  </w:endnote>
  <w:endnote w:type="continuationSeparator" w:id="0">
    <w:p w:rsidR="00556EF7" w:rsidRDefault="00556EF7" w:rsidP="00233433">
      <w:r>
        <w:continuationSeparator/>
      </w:r>
    </w:p>
    <w:p w:rsidR="00556EF7" w:rsidRDefault="00556EF7"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1)">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SCS Resume –</w:t>
    </w:r>
    <w:r w:rsidR="005532D9">
      <w:t xml:space="preserve"> Bowers</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D232A">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EF7" w:rsidRDefault="00556EF7" w:rsidP="00233433">
      <w:r>
        <w:separator/>
      </w:r>
    </w:p>
    <w:p w:rsidR="00556EF7" w:rsidRDefault="00556EF7" w:rsidP="00233433"/>
  </w:footnote>
  <w:footnote w:type="continuationSeparator" w:id="0">
    <w:p w:rsidR="00556EF7" w:rsidRDefault="00556EF7" w:rsidP="00233433">
      <w:r>
        <w:continuationSeparator/>
      </w:r>
    </w:p>
    <w:p w:rsidR="00556EF7" w:rsidRDefault="00556EF7"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56B5B09"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2" name="Picture 12"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261043"/>
    <w:multiLevelType w:val="hybridMultilevel"/>
    <w:tmpl w:val="1F44E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6"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1"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060D41"/>
    <w:multiLevelType w:val="hybridMultilevel"/>
    <w:tmpl w:val="3558E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0"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3779D9"/>
    <w:multiLevelType w:val="hybridMultilevel"/>
    <w:tmpl w:val="66C61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3397E"/>
    <w:multiLevelType w:val="hybridMultilevel"/>
    <w:tmpl w:val="1FC29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18"/>
  </w:num>
  <w:num w:numId="3">
    <w:abstractNumId w:val="28"/>
  </w:num>
  <w:num w:numId="4">
    <w:abstractNumId w:val="39"/>
  </w:num>
  <w:num w:numId="5">
    <w:abstractNumId w:val="12"/>
  </w:num>
  <w:num w:numId="6">
    <w:abstractNumId w:val="31"/>
  </w:num>
  <w:num w:numId="7">
    <w:abstractNumId w:val="38"/>
  </w:num>
  <w:num w:numId="8">
    <w:abstractNumId w:val="25"/>
  </w:num>
  <w:num w:numId="9">
    <w:abstractNumId w:val="11"/>
  </w:num>
  <w:num w:numId="10">
    <w:abstractNumId w:val="14"/>
  </w:num>
  <w:num w:numId="11">
    <w:abstractNumId w:val="37"/>
  </w:num>
  <w:num w:numId="12">
    <w:abstractNumId w:val="35"/>
  </w:num>
  <w:num w:numId="13">
    <w:abstractNumId w:val="32"/>
  </w:num>
  <w:num w:numId="14">
    <w:abstractNumId w:val="22"/>
  </w:num>
  <w:num w:numId="15">
    <w:abstractNumId w:val="41"/>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17"/>
  </w:num>
  <w:num w:numId="25">
    <w:abstractNumId w:val="8"/>
  </w:num>
  <w:num w:numId="26">
    <w:abstractNumId w:val="13"/>
  </w:num>
  <w:num w:numId="27">
    <w:abstractNumId w:val="33"/>
  </w:num>
  <w:num w:numId="28">
    <w:abstractNumId w:val="33"/>
    <w:lvlOverride w:ilvl="0">
      <w:startOverride w:val="1"/>
    </w:lvlOverride>
  </w:num>
  <w:num w:numId="29">
    <w:abstractNumId w:val="34"/>
  </w:num>
  <w:num w:numId="30">
    <w:abstractNumId w:val="16"/>
  </w:num>
  <w:num w:numId="31">
    <w:abstractNumId w:val="20"/>
  </w:num>
  <w:num w:numId="32">
    <w:abstractNumId w:val="27"/>
  </w:num>
  <w:num w:numId="33">
    <w:abstractNumId w:val="19"/>
  </w:num>
  <w:num w:numId="34">
    <w:abstractNumId w:val="10"/>
  </w:num>
  <w:num w:numId="35">
    <w:abstractNumId w:val="23"/>
  </w:num>
  <w:num w:numId="36">
    <w:abstractNumId w:val="24"/>
  </w:num>
  <w:num w:numId="37">
    <w:abstractNumId w:val="36"/>
  </w:num>
  <w:num w:numId="38">
    <w:abstractNumId w:val="29"/>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30"/>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40"/>
  </w:num>
  <w:num w:numId="45">
    <w:abstractNumId w:val="9"/>
  </w:num>
  <w:num w:numId="46">
    <w:abstractNumId w:val="4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64513">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556EF7"/>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95"/>
    <w:rsid w:val="00023CA5"/>
    <w:rsid w:val="000264DB"/>
    <w:rsid w:val="00026C84"/>
    <w:rsid w:val="0003023F"/>
    <w:rsid w:val="00030657"/>
    <w:rsid w:val="00031607"/>
    <w:rsid w:val="00032313"/>
    <w:rsid w:val="000325A4"/>
    <w:rsid w:val="000349B1"/>
    <w:rsid w:val="000360AE"/>
    <w:rsid w:val="00036365"/>
    <w:rsid w:val="00036E5A"/>
    <w:rsid w:val="00037054"/>
    <w:rsid w:val="000441B0"/>
    <w:rsid w:val="00046281"/>
    <w:rsid w:val="0004636F"/>
    <w:rsid w:val="000465CB"/>
    <w:rsid w:val="000469CB"/>
    <w:rsid w:val="0005084F"/>
    <w:rsid w:val="0005114C"/>
    <w:rsid w:val="00052120"/>
    <w:rsid w:val="00061979"/>
    <w:rsid w:val="000620D1"/>
    <w:rsid w:val="00065BA5"/>
    <w:rsid w:val="00066885"/>
    <w:rsid w:val="000668CE"/>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B48A2"/>
    <w:rsid w:val="000B4BE6"/>
    <w:rsid w:val="000C04C8"/>
    <w:rsid w:val="000C0CEA"/>
    <w:rsid w:val="000C1641"/>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68B"/>
    <w:rsid w:val="000F3ADE"/>
    <w:rsid w:val="000F4736"/>
    <w:rsid w:val="000F48BE"/>
    <w:rsid w:val="000F4C1C"/>
    <w:rsid w:val="000F555C"/>
    <w:rsid w:val="000F703D"/>
    <w:rsid w:val="000F7D08"/>
    <w:rsid w:val="0010122E"/>
    <w:rsid w:val="00102D20"/>
    <w:rsid w:val="00103E5D"/>
    <w:rsid w:val="00104D2D"/>
    <w:rsid w:val="0010783C"/>
    <w:rsid w:val="00114156"/>
    <w:rsid w:val="001175CA"/>
    <w:rsid w:val="00120C3C"/>
    <w:rsid w:val="0012239F"/>
    <w:rsid w:val="001223EA"/>
    <w:rsid w:val="00123670"/>
    <w:rsid w:val="00125957"/>
    <w:rsid w:val="00127491"/>
    <w:rsid w:val="00127F7B"/>
    <w:rsid w:val="00130250"/>
    <w:rsid w:val="00131329"/>
    <w:rsid w:val="00131C2C"/>
    <w:rsid w:val="00131F19"/>
    <w:rsid w:val="001369FF"/>
    <w:rsid w:val="00137ECC"/>
    <w:rsid w:val="00140C75"/>
    <w:rsid w:val="00140CC9"/>
    <w:rsid w:val="00142A12"/>
    <w:rsid w:val="00142F57"/>
    <w:rsid w:val="0014345A"/>
    <w:rsid w:val="00146E43"/>
    <w:rsid w:val="001477B8"/>
    <w:rsid w:val="00150FBD"/>
    <w:rsid w:val="00151FA5"/>
    <w:rsid w:val="001525A2"/>
    <w:rsid w:val="00156EC0"/>
    <w:rsid w:val="00157063"/>
    <w:rsid w:val="00163242"/>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C7DE7"/>
    <w:rsid w:val="001D38EE"/>
    <w:rsid w:val="001D5890"/>
    <w:rsid w:val="001D648C"/>
    <w:rsid w:val="001D7876"/>
    <w:rsid w:val="001E2509"/>
    <w:rsid w:val="001E3725"/>
    <w:rsid w:val="001E4BF4"/>
    <w:rsid w:val="001E555E"/>
    <w:rsid w:val="001F0A1A"/>
    <w:rsid w:val="001F2E71"/>
    <w:rsid w:val="001F64EF"/>
    <w:rsid w:val="001F67E0"/>
    <w:rsid w:val="001F6E7E"/>
    <w:rsid w:val="00200F84"/>
    <w:rsid w:val="002014CF"/>
    <w:rsid w:val="002030E3"/>
    <w:rsid w:val="00204DDB"/>
    <w:rsid w:val="0020614F"/>
    <w:rsid w:val="00207F7F"/>
    <w:rsid w:val="0021261D"/>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2622"/>
    <w:rsid w:val="00242B58"/>
    <w:rsid w:val="00246548"/>
    <w:rsid w:val="0024691F"/>
    <w:rsid w:val="002527E8"/>
    <w:rsid w:val="002536E7"/>
    <w:rsid w:val="002545D4"/>
    <w:rsid w:val="00254926"/>
    <w:rsid w:val="002560F7"/>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1FA1"/>
    <w:rsid w:val="002C251E"/>
    <w:rsid w:val="002C3B1B"/>
    <w:rsid w:val="002C3EDB"/>
    <w:rsid w:val="002C5384"/>
    <w:rsid w:val="002C5541"/>
    <w:rsid w:val="002C5963"/>
    <w:rsid w:val="002C5EFF"/>
    <w:rsid w:val="002C72F2"/>
    <w:rsid w:val="002C7C0E"/>
    <w:rsid w:val="002D3169"/>
    <w:rsid w:val="002D4372"/>
    <w:rsid w:val="002D56D5"/>
    <w:rsid w:val="002D5FAD"/>
    <w:rsid w:val="002D621F"/>
    <w:rsid w:val="002E3B98"/>
    <w:rsid w:val="002E557B"/>
    <w:rsid w:val="002E57A7"/>
    <w:rsid w:val="002E5B1B"/>
    <w:rsid w:val="002F0BC2"/>
    <w:rsid w:val="002F2FA8"/>
    <w:rsid w:val="002F42A8"/>
    <w:rsid w:val="002F4B3C"/>
    <w:rsid w:val="002F4CBD"/>
    <w:rsid w:val="002F518E"/>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4A9F"/>
    <w:rsid w:val="003A7302"/>
    <w:rsid w:val="003B354B"/>
    <w:rsid w:val="003B4327"/>
    <w:rsid w:val="003B7004"/>
    <w:rsid w:val="003C0503"/>
    <w:rsid w:val="003C11A9"/>
    <w:rsid w:val="003C51BC"/>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3F55D1"/>
    <w:rsid w:val="003F7D6B"/>
    <w:rsid w:val="004036A9"/>
    <w:rsid w:val="00406DF6"/>
    <w:rsid w:val="00410198"/>
    <w:rsid w:val="00411B80"/>
    <w:rsid w:val="0041367C"/>
    <w:rsid w:val="004168ED"/>
    <w:rsid w:val="00416A3F"/>
    <w:rsid w:val="004266D5"/>
    <w:rsid w:val="00427BF6"/>
    <w:rsid w:val="0043016E"/>
    <w:rsid w:val="00431DC1"/>
    <w:rsid w:val="00432BB6"/>
    <w:rsid w:val="00433130"/>
    <w:rsid w:val="004422D1"/>
    <w:rsid w:val="00443317"/>
    <w:rsid w:val="00445AF3"/>
    <w:rsid w:val="004476BA"/>
    <w:rsid w:val="004522AB"/>
    <w:rsid w:val="004616CF"/>
    <w:rsid w:val="00463378"/>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22BD"/>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2DAC"/>
    <w:rsid w:val="004F426E"/>
    <w:rsid w:val="004F4B13"/>
    <w:rsid w:val="004F5B94"/>
    <w:rsid w:val="004F5F4B"/>
    <w:rsid w:val="0050446C"/>
    <w:rsid w:val="00510337"/>
    <w:rsid w:val="00511865"/>
    <w:rsid w:val="005128CF"/>
    <w:rsid w:val="005143EF"/>
    <w:rsid w:val="00514C48"/>
    <w:rsid w:val="005213BB"/>
    <w:rsid w:val="005213D6"/>
    <w:rsid w:val="00522B9E"/>
    <w:rsid w:val="005241C0"/>
    <w:rsid w:val="005241E7"/>
    <w:rsid w:val="00532F83"/>
    <w:rsid w:val="00534EA7"/>
    <w:rsid w:val="00535D9F"/>
    <w:rsid w:val="005365E1"/>
    <w:rsid w:val="005411B5"/>
    <w:rsid w:val="00541778"/>
    <w:rsid w:val="00545A26"/>
    <w:rsid w:val="0054657C"/>
    <w:rsid w:val="005476EF"/>
    <w:rsid w:val="00550429"/>
    <w:rsid w:val="0055061F"/>
    <w:rsid w:val="0055129A"/>
    <w:rsid w:val="00551615"/>
    <w:rsid w:val="005532D9"/>
    <w:rsid w:val="00553403"/>
    <w:rsid w:val="00554584"/>
    <w:rsid w:val="00554DD1"/>
    <w:rsid w:val="00554DF2"/>
    <w:rsid w:val="0055697C"/>
    <w:rsid w:val="00556EF7"/>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86DDA"/>
    <w:rsid w:val="00591CBC"/>
    <w:rsid w:val="00595F1C"/>
    <w:rsid w:val="005A069C"/>
    <w:rsid w:val="005A1D0E"/>
    <w:rsid w:val="005A22CF"/>
    <w:rsid w:val="005A28DD"/>
    <w:rsid w:val="005A3CCA"/>
    <w:rsid w:val="005A479D"/>
    <w:rsid w:val="005A5EBB"/>
    <w:rsid w:val="005B1FAC"/>
    <w:rsid w:val="005B4B8A"/>
    <w:rsid w:val="005B4EE6"/>
    <w:rsid w:val="005B5292"/>
    <w:rsid w:val="005B6EC0"/>
    <w:rsid w:val="005B71EB"/>
    <w:rsid w:val="005B7326"/>
    <w:rsid w:val="005C0A2E"/>
    <w:rsid w:val="005C1B72"/>
    <w:rsid w:val="005C1CC4"/>
    <w:rsid w:val="005C1CFC"/>
    <w:rsid w:val="005C6278"/>
    <w:rsid w:val="005C6603"/>
    <w:rsid w:val="005D5EEE"/>
    <w:rsid w:val="005D5F21"/>
    <w:rsid w:val="005D6C00"/>
    <w:rsid w:val="005E1045"/>
    <w:rsid w:val="005E2FD0"/>
    <w:rsid w:val="005E4CB2"/>
    <w:rsid w:val="005E51B7"/>
    <w:rsid w:val="005E6090"/>
    <w:rsid w:val="005E6250"/>
    <w:rsid w:val="005E7C26"/>
    <w:rsid w:val="005F0231"/>
    <w:rsid w:val="005F4D47"/>
    <w:rsid w:val="006001B6"/>
    <w:rsid w:val="00600C9C"/>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27E"/>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2A6"/>
    <w:rsid w:val="006746FE"/>
    <w:rsid w:val="006748BA"/>
    <w:rsid w:val="00675D85"/>
    <w:rsid w:val="00676F69"/>
    <w:rsid w:val="00680E69"/>
    <w:rsid w:val="0068126D"/>
    <w:rsid w:val="006821A2"/>
    <w:rsid w:val="006823C3"/>
    <w:rsid w:val="006827DF"/>
    <w:rsid w:val="006830F5"/>
    <w:rsid w:val="00683715"/>
    <w:rsid w:val="00683B22"/>
    <w:rsid w:val="00684CF8"/>
    <w:rsid w:val="00685D42"/>
    <w:rsid w:val="00686E77"/>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05C9"/>
    <w:rsid w:val="006C342E"/>
    <w:rsid w:val="006C4A97"/>
    <w:rsid w:val="006C52E5"/>
    <w:rsid w:val="006C7679"/>
    <w:rsid w:val="006D36D7"/>
    <w:rsid w:val="006D3D9C"/>
    <w:rsid w:val="006D423E"/>
    <w:rsid w:val="006D6875"/>
    <w:rsid w:val="006D73C4"/>
    <w:rsid w:val="006D7843"/>
    <w:rsid w:val="006E34DD"/>
    <w:rsid w:val="006E365A"/>
    <w:rsid w:val="006E4A36"/>
    <w:rsid w:val="006E5297"/>
    <w:rsid w:val="006E7B53"/>
    <w:rsid w:val="006F6B3B"/>
    <w:rsid w:val="006F6C1F"/>
    <w:rsid w:val="006F7DA4"/>
    <w:rsid w:val="00700934"/>
    <w:rsid w:val="00701598"/>
    <w:rsid w:val="0070378D"/>
    <w:rsid w:val="007042A3"/>
    <w:rsid w:val="0070564F"/>
    <w:rsid w:val="00706673"/>
    <w:rsid w:val="007101EC"/>
    <w:rsid w:val="00711578"/>
    <w:rsid w:val="007116E2"/>
    <w:rsid w:val="00715125"/>
    <w:rsid w:val="00720D91"/>
    <w:rsid w:val="00722A00"/>
    <w:rsid w:val="00723D2F"/>
    <w:rsid w:val="00724669"/>
    <w:rsid w:val="0073166D"/>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A56AB"/>
    <w:rsid w:val="007B0FBA"/>
    <w:rsid w:val="007B143D"/>
    <w:rsid w:val="007B18C8"/>
    <w:rsid w:val="007B270E"/>
    <w:rsid w:val="007C0F20"/>
    <w:rsid w:val="007C1A41"/>
    <w:rsid w:val="007C247F"/>
    <w:rsid w:val="007C2B7B"/>
    <w:rsid w:val="007C3BF1"/>
    <w:rsid w:val="007C4EED"/>
    <w:rsid w:val="007C5D84"/>
    <w:rsid w:val="007C5EE9"/>
    <w:rsid w:val="007D0965"/>
    <w:rsid w:val="007D6673"/>
    <w:rsid w:val="007D6C91"/>
    <w:rsid w:val="007D7224"/>
    <w:rsid w:val="007D7D36"/>
    <w:rsid w:val="007E0C6A"/>
    <w:rsid w:val="007E58D8"/>
    <w:rsid w:val="007F2147"/>
    <w:rsid w:val="007F4D6C"/>
    <w:rsid w:val="007F5A37"/>
    <w:rsid w:val="007F7A4E"/>
    <w:rsid w:val="00802988"/>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38AC"/>
    <w:rsid w:val="008362BD"/>
    <w:rsid w:val="008365B3"/>
    <w:rsid w:val="00837F3F"/>
    <w:rsid w:val="00841990"/>
    <w:rsid w:val="00843286"/>
    <w:rsid w:val="008440A6"/>
    <w:rsid w:val="00846057"/>
    <w:rsid w:val="0085270A"/>
    <w:rsid w:val="0086064F"/>
    <w:rsid w:val="00862A6D"/>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BD7"/>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1FD9"/>
    <w:rsid w:val="008C491A"/>
    <w:rsid w:val="008C4BB1"/>
    <w:rsid w:val="008C55F8"/>
    <w:rsid w:val="008C6F66"/>
    <w:rsid w:val="008C7ED6"/>
    <w:rsid w:val="008D1378"/>
    <w:rsid w:val="008D149A"/>
    <w:rsid w:val="008D2961"/>
    <w:rsid w:val="008D3854"/>
    <w:rsid w:val="008D3967"/>
    <w:rsid w:val="008D6380"/>
    <w:rsid w:val="008D6FC3"/>
    <w:rsid w:val="008D7279"/>
    <w:rsid w:val="008D74A5"/>
    <w:rsid w:val="008E2823"/>
    <w:rsid w:val="008E2ED6"/>
    <w:rsid w:val="008E36A6"/>
    <w:rsid w:val="008E47ED"/>
    <w:rsid w:val="008E5560"/>
    <w:rsid w:val="008E68E0"/>
    <w:rsid w:val="008E6D19"/>
    <w:rsid w:val="008F1415"/>
    <w:rsid w:val="008F2285"/>
    <w:rsid w:val="008F6934"/>
    <w:rsid w:val="008F76ED"/>
    <w:rsid w:val="00901526"/>
    <w:rsid w:val="00901EF5"/>
    <w:rsid w:val="00903FAB"/>
    <w:rsid w:val="009059E5"/>
    <w:rsid w:val="009079E0"/>
    <w:rsid w:val="00913145"/>
    <w:rsid w:val="00915074"/>
    <w:rsid w:val="009153AB"/>
    <w:rsid w:val="0091745A"/>
    <w:rsid w:val="00917D3D"/>
    <w:rsid w:val="00920DD9"/>
    <w:rsid w:val="009217A8"/>
    <w:rsid w:val="009227F5"/>
    <w:rsid w:val="00922AA0"/>
    <w:rsid w:val="00923565"/>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45F1B"/>
    <w:rsid w:val="00951D66"/>
    <w:rsid w:val="009549E1"/>
    <w:rsid w:val="00954F5A"/>
    <w:rsid w:val="00955BD5"/>
    <w:rsid w:val="0095630E"/>
    <w:rsid w:val="009601E0"/>
    <w:rsid w:val="00960F57"/>
    <w:rsid w:val="00962870"/>
    <w:rsid w:val="0096375B"/>
    <w:rsid w:val="00963D06"/>
    <w:rsid w:val="009657E3"/>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2CE5"/>
    <w:rsid w:val="00994E5A"/>
    <w:rsid w:val="00997B2C"/>
    <w:rsid w:val="009A0589"/>
    <w:rsid w:val="009A1D4E"/>
    <w:rsid w:val="009A1E86"/>
    <w:rsid w:val="009A59E9"/>
    <w:rsid w:val="009A5FBC"/>
    <w:rsid w:val="009A71E7"/>
    <w:rsid w:val="009A73C8"/>
    <w:rsid w:val="009B0812"/>
    <w:rsid w:val="009B35C9"/>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643E"/>
    <w:rsid w:val="009E7680"/>
    <w:rsid w:val="009E7F8F"/>
    <w:rsid w:val="009F0B77"/>
    <w:rsid w:val="009F1795"/>
    <w:rsid w:val="009F1AAB"/>
    <w:rsid w:val="009F1B25"/>
    <w:rsid w:val="009F22ED"/>
    <w:rsid w:val="009F2B43"/>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0C53"/>
    <w:rsid w:val="00A51261"/>
    <w:rsid w:val="00A52B9D"/>
    <w:rsid w:val="00A535FF"/>
    <w:rsid w:val="00A5784E"/>
    <w:rsid w:val="00A63105"/>
    <w:rsid w:val="00A6456D"/>
    <w:rsid w:val="00A65526"/>
    <w:rsid w:val="00A657CC"/>
    <w:rsid w:val="00A66F9A"/>
    <w:rsid w:val="00A67C9A"/>
    <w:rsid w:val="00A70CCD"/>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1FCF"/>
    <w:rsid w:val="00AA5441"/>
    <w:rsid w:val="00AA7AAE"/>
    <w:rsid w:val="00AB0C0E"/>
    <w:rsid w:val="00AB26C0"/>
    <w:rsid w:val="00AB33F2"/>
    <w:rsid w:val="00AB5605"/>
    <w:rsid w:val="00AB661A"/>
    <w:rsid w:val="00AB6B53"/>
    <w:rsid w:val="00AB6E8B"/>
    <w:rsid w:val="00AC0491"/>
    <w:rsid w:val="00AC5549"/>
    <w:rsid w:val="00AC5B4A"/>
    <w:rsid w:val="00AC6534"/>
    <w:rsid w:val="00AC7C98"/>
    <w:rsid w:val="00AD3677"/>
    <w:rsid w:val="00AD5A03"/>
    <w:rsid w:val="00AD6452"/>
    <w:rsid w:val="00AE0A66"/>
    <w:rsid w:val="00AE2D43"/>
    <w:rsid w:val="00AE348F"/>
    <w:rsid w:val="00AE574A"/>
    <w:rsid w:val="00AE5F89"/>
    <w:rsid w:val="00AE61C0"/>
    <w:rsid w:val="00AE7AA8"/>
    <w:rsid w:val="00AF5517"/>
    <w:rsid w:val="00AF7846"/>
    <w:rsid w:val="00B008A1"/>
    <w:rsid w:val="00B02CE0"/>
    <w:rsid w:val="00B0302F"/>
    <w:rsid w:val="00B03659"/>
    <w:rsid w:val="00B0481E"/>
    <w:rsid w:val="00B05B05"/>
    <w:rsid w:val="00B05CD6"/>
    <w:rsid w:val="00B07278"/>
    <w:rsid w:val="00B10C93"/>
    <w:rsid w:val="00B12927"/>
    <w:rsid w:val="00B13A69"/>
    <w:rsid w:val="00B14714"/>
    <w:rsid w:val="00B16BC4"/>
    <w:rsid w:val="00B20CDD"/>
    <w:rsid w:val="00B23720"/>
    <w:rsid w:val="00B2489B"/>
    <w:rsid w:val="00B25AD3"/>
    <w:rsid w:val="00B26421"/>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34B5"/>
    <w:rsid w:val="00B6626B"/>
    <w:rsid w:val="00B66485"/>
    <w:rsid w:val="00B66E5F"/>
    <w:rsid w:val="00B676B5"/>
    <w:rsid w:val="00B7208B"/>
    <w:rsid w:val="00B727A4"/>
    <w:rsid w:val="00B749E7"/>
    <w:rsid w:val="00B75403"/>
    <w:rsid w:val="00B76ED0"/>
    <w:rsid w:val="00B76F2F"/>
    <w:rsid w:val="00B80145"/>
    <w:rsid w:val="00B834CD"/>
    <w:rsid w:val="00B8639E"/>
    <w:rsid w:val="00B87A72"/>
    <w:rsid w:val="00B87B29"/>
    <w:rsid w:val="00B95700"/>
    <w:rsid w:val="00B95B9B"/>
    <w:rsid w:val="00BA1BF4"/>
    <w:rsid w:val="00BA2902"/>
    <w:rsid w:val="00BA368C"/>
    <w:rsid w:val="00BA38C2"/>
    <w:rsid w:val="00BA483B"/>
    <w:rsid w:val="00BA5335"/>
    <w:rsid w:val="00BA6B2B"/>
    <w:rsid w:val="00BB2407"/>
    <w:rsid w:val="00BB7E87"/>
    <w:rsid w:val="00BC0681"/>
    <w:rsid w:val="00BC2180"/>
    <w:rsid w:val="00BC37BF"/>
    <w:rsid w:val="00BC38E1"/>
    <w:rsid w:val="00BC617A"/>
    <w:rsid w:val="00BC677A"/>
    <w:rsid w:val="00BC6AE5"/>
    <w:rsid w:val="00BC6CBE"/>
    <w:rsid w:val="00BC72AB"/>
    <w:rsid w:val="00BD1667"/>
    <w:rsid w:val="00BD2B2F"/>
    <w:rsid w:val="00BD2EC0"/>
    <w:rsid w:val="00BD67F6"/>
    <w:rsid w:val="00BE0F02"/>
    <w:rsid w:val="00BE1D37"/>
    <w:rsid w:val="00BE33EA"/>
    <w:rsid w:val="00BE668A"/>
    <w:rsid w:val="00BE6CD5"/>
    <w:rsid w:val="00BF1C81"/>
    <w:rsid w:val="00BF3BF0"/>
    <w:rsid w:val="00BF59EF"/>
    <w:rsid w:val="00BF6796"/>
    <w:rsid w:val="00BF69CA"/>
    <w:rsid w:val="00C000C1"/>
    <w:rsid w:val="00C02F72"/>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37511"/>
    <w:rsid w:val="00C40D31"/>
    <w:rsid w:val="00C42247"/>
    <w:rsid w:val="00C426EE"/>
    <w:rsid w:val="00C42855"/>
    <w:rsid w:val="00C42E88"/>
    <w:rsid w:val="00C43945"/>
    <w:rsid w:val="00C43C21"/>
    <w:rsid w:val="00C4460E"/>
    <w:rsid w:val="00C47934"/>
    <w:rsid w:val="00C47F06"/>
    <w:rsid w:val="00C500FB"/>
    <w:rsid w:val="00C52347"/>
    <w:rsid w:val="00C53D1D"/>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77A96"/>
    <w:rsid w:val="00C8139A"/>
    <w:rsid w:val="00C84BD5"/>
    <w:rsid w:val="00C85522"/>
    <w:rsid w:val="00C856AB"/>
    <w:rsid w:val="00C91E3D"/>
    <w:rsid w:val="00C92665"/>
    <w:rsid w:val="00C932B1"/>
    <w:rsid w:val="00C939D7"/>
    <w:rsid w:val="00C96A92"/>
    <w:rsid w:val="00CA070C"/>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21FD"/>
    <w:rsid w:val="00CE3502"/>
    <w:rsid w:val="00CE4F1E"/>
    <w:rsid w:val="00CE7E30"/>
    <w:rsid w:val="00CF4C9E"/>
    <w:rsid w:val="00CF5C09"/>
    <w:rsid w:val="00CF64EC"/>
    <w:rsid w:val="00D034BE"/>
    <w:rsid w:val="00D049DF"/>
    <w:rsid w:val="00D065AB"/>
    <w:rsid w:val="00D10169"/>
    <w:rsid w:val="00D13EFF"/>
    <w:rsid w:val="00D152D1"/>
    <w:rsid w:val="00D1660E"/>
    <w:rsid w:val="00D20CAD"/>
    <w:rsid w:val="00D21BA0"/>
    <w:rsid w:val="00D22F37"/>
    <w:rsid w:val="00D2312E"/>
    <w:rsid w:val="00D250FA"/>
    <w:rsid w:val="00D251BB"/>
    <w:rsid w:val="00D265FD"/>
    <w:rsid w:val="00D2749F"/>
    <w:rsid w:val="00D30016"/>
    <w:rsid w:val="00D319C5"/>
    <w:rsid w:val="00D32524"/>
    <w:rsid w:val="00D33C9D"/>
    <w:rsid w:val="00D341E2"/>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61D"/>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6CD4"/>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4133"/>
    <w:rsid w:val="00DF523C"/>
    <w:rsid w:val="00DF7C22"/>
    <w:rsid w:val="00E007CF"/>
    <w:rsid w:val="00E03463"/>
    <w:rsid w:val="00E03DAB"/>
    <w:rsid w:val="00E04316"/>
    <w:rsid w:val="00E06797"/>
    <w:rsid w:val="00E0734D"/>
    <w:rsid w:val="00E078C6"/>
    <w:rsid w:val="00E07F44"/>
    <w:rsid w:val="00E102F8"/>
    <w:rsid w:val="00E1239B"/>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A52"/>
    <w:rsid w:val="00E72FA0"/>
    <w:rsid w:val="00E73404"/>
    <w:rsid w:val="00E7450D"/>
    <w:rsid w:val="00E74657"/>
    <w:rsid w:val="00E757CF"/>
    <w:rsid w:val="00E77C03"/>
    <w:rsid w:val="00E8107B"/>
    <w:rsid w:val="00E82204"/>
    <w:rsid w:val="00E83000"/>
    <w:rsid w:val="00E8486A"/>
    <w:rsid w:val="00E8750C"/>
    <w:rsid w:val="00E87842"/>
    <w:rsid w:val="00E92FBE"/>
    <w:rsid w:val="00E93493"/>
    <w:rsid w:val="00E94E1E"/>
    <w:rsid w:val="00E957B7"/>
    <w:rsid w:val="00E95E94"/>
    <w:rsid w:val="00E96AF8"/>
    <w:rsid w:val="00EA411B"/>
    <w:rsid w:val="00EA476F"/>
    <w:rsid w:val="00EB0654"/>
    <w:rsid w:val="00EB105A"/>
    <w:rsid w:val="00EB387D"/>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D7DD7"/>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1797"/>
    <w:rsid w:val="00F12AFE"/>
    <w:rsid w:val="00F13D3B"/>
    <w:rsid w:val="00F14748"/>
    <w:rsid w:val="00F15815"/>
    <w:rsid w:val="00F17F8E"/>
    <w:rsid w:val="00F20025"/>
    <w:rsid w:val="00F219AD"/>
    <w:rsid w:val="00F2258B"/>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59B"/>
    <w:rsid w:val="00F72E31"/>
    <w:rsid w:val="00F73C26"/>
    <w:rsid w:val="00F74E45"/>
    <w:rsid w:val="00F764D7"/>
    <w:rsid w:val="00F76901"/>
    <w:rsid w:val="00F778A5"/>
    <w:rsid w:val="00F80141"/>
    <w:rsid w:val="00F808CD"/>
    <w:rsid w:val="00F80E26"/>
    <w:rsid w:val="00F80F11"/>
    <w:rsid w:val="00F835B5"/>
    <w:rsid w:val="00F854AE"/>
    <w:rsid w:val="00F85BEF"/>
    <w:rsid w:val="00F86027"/>
    <w:rsid w:val="00F87296"/>
    <w:rsid w:val="00F901A0"/>
    <w:rsid w:val="00F910CC"/>
    <w:rsid w:val="00F91B67"/>
    <w:rsid w:val="00F92ED5"/>
    <w:rsid w:val="00F93F3B"/>
    <w:rsid w:val="00F94AA5"/>
    <w:rsid w:val="00F94D0D"/>
    <w:rsid w:val="00F94F8D"/>
    <w:rsid w:val="00FA161C"/>
    <w:rsid w:val="00FA4337"/>
    <w:rsid w:val="00FA5207"/>
    <w:rsid w:val="00FA5B84"/>
    <w:rsid w:val="00FA6209"/>
    <w:rsid w:val="00FA66DF"/>
    <w:rsid w:val="00FB0D54"/>
    <w:rsid w:val="00FB19D4"/>
    <w:rsid w:val="00FB1A8D"/>
    <w:rsid w:val="00FB4210"/>
    <w:rsid w:val="00FB4751"/>
    <w:rsid w:val="00FB6405"/>
    <w:rsid w:val="00FB69B0"/>
    <w:rsid w:val="00FB7FD3"/>
    <w:rsid w:val="00FC07F9"/>
    <w:rsid w:val="00FC1139"/>
    <w:rsid w:val="00FC20D1"/>
    <w:rsid w:val="00FC3DB3"/>
    <w:rsid w:val="00FC4289"/>
    <w:rsid w:val="00FC4A1A"/>
    <w:rsid w:val="00FC4F52"/>
    <w:rsid w:val="00FD123E"/>
    <w:rsid w:val="00FD12FF"/>
    <w:rsid w:val="00FD232A"/>
    <w:rsid w:val="00FD30A1"/>
    <w:rsid w:val="00FD35DB"/>
    <w:rsid w:val="00FD6B84"/>
    <w:rsid w:val="00FD7980"/>
    <w:rsid w:val="00FE0539"/>
    <w:rsid w:val="00FE0F44"/>
    <w:rsid w:val="00FE1B0E"/>
    <w:rsid w:val="00FE39A5"/>
    <w:rsid w:val="00FE3B38"/>
    <w:rsid w:val="00FE4C60"/>
    <w:rsid w:val="00FE519C"/>
    <w:rsid w:val="00FE6FEA"/>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4513">
      <o:colormru v:ext="edit" colors="#cec896,#eaefdb,#5f8f8d,#090,#690,#69f,#36c,#369"/>
    </o:shapedefaults>
    <o:shapelayout v:ext="edit">
      <o:idmap v:ext="edit" data="1"/>
    </o:shapelayout>
  </w:shapeDefaults>
  <w:decimalSymbol w:val="."/>
  <w:listSeparator w:val=","/>
  <w14:docId w14:val="22833174"/>
  <w15:docId w15:val="{243FF2CC-C4BB-46C0-AAF1-00FB019E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D341E2"/>
    <w:pPr>
      <w:spacing w:after="240"/>
    </w:pPr>
    <w:rPr>
      <w:rFonts w:ascii="Franklin Gothic Book" w:hAnsi="Franklin Gothic Book"/>
      <w:sz w:val="22"/>
    </w:rPr>
  </w:style>
  <w:style w:type="paragraph" w:styleId="Heading1">
    <w:name w:val="heading 1"/>
    <w:next w:val="Normal"/>
    <w:link w:val="Heading1Char"/>
    <w:rsid w:val="00D341E2"/>
    <w:pPr>
      <w:keepNext/>
      <w:numPr>
        <w:numId w:val="12"/>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D341E2"/>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D341E2"/>
    <w:pPr>
      <w:keepNext/>
      <w:spacing w:before="240" w:after="120"/>
      <w:outlineLvl w:val="2"/>
    </w:pPr>
    <w:rPr>
      <w:rFonts w:ascii="Century Gothic" w:hAnsi="Century Gothic"/>
      <w:sz w:val="28"/>
    </w:rPr>
  </w:style>
  <w:style w:type="paragraph" w:styleId="Heading4">
    <w:name w:val="heading 4"/>
    <w:next w:val="Normal"/>
    <w:link w:val="Heading4Char"/>
    <w:rsid w:val="00D341E2"/>
    <w:pPr>
      <w:keepNext/>
      <w:spacing w:before="240" w:after="120"/>
      <w:outlineLvl w:val="3"/>
    </w:pPr>
    <w:rPr>
      <w:rFonts w:ascii="Century Gothic" w:hAnsi="Century Gothic"/>
      <w:b/>
      <w:sz w:val="24"/>
    </w:rPr>
  </w:style>
  <w:style w:type="paragraph" w:styleId="Heading5">
    <w:name w:val="heading 5"/>
    <w:next w:val="Normal"/>
    <w:link w:val="Heading5Char"/>
    <w:rsid w:val="00D341E2"/>
    <w:pPr>
      <w:keepNext/>
      <w:spacing w:before="240" w:after="120"/>
      <w:outlineLvl w:val="4"/>
    </w:pPr>
    <w:rPr>
      <w:rFonts w:ascii="Century Gothic" w:hAnsi="Century Gothic"/>
      <w:sz w:val="24"/>
    </w:rPr>
  </w:style>
  <w:style w:type="paragraph" w:styleId="Heading6">
    <w:name w:val="heading 6"/>
    <w:next w:val="Normal"/>
    <w:link w:val="Heading6Char"/>
    <w:rsid w:val="00D341E2"/>
    <w:pPr>
      <w:keepNext/>
      <w:spacing w:before="240" w:after="120"/>
      <w:outlineLvl w:val="5"/>
    </w:pPr>
    <w:rPr>
      <w:rFonts w:ascii="Century Gothic" w:hAnsi="Century Gothic"/>
      <w:b/>
      <w:bCs/>
      <w:sz w:val="22"/>
    </w:rPr>
  </w:style>
  <w:style w:type="paragraph" w:styleId="Heading7">
    <w:name w:val="heading 7"/>
    <w:next w:val="Normal"/>
    <w:link w:val="Heading7Char"/>
    <w:rsid w:val="00D341E2"/>
    <w:pPr>
      <w:keepNext/>
      <w:spacing w:before="240" w:after="120"/>
      <w:outlineLvl w:val="6"/>
    </w:pPr>
    <w:rPr>
      <w:rFonts w:ascii="Century Gothic" w:hAnsi="Century Gothic"/>
      <w:bCs/>
      <w:sz w:val="22"/>
    </w:rPr>
  </w:style>
  <w:style w:type="paragraph" w:styleId="Heading8">
    <w:name w:val="heading 8"/>
    <w:next w:val="Normal"/>
    <w:link w:val="Heading8Char"/>
    <w:rsid w:val="00D341E2"/>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D341E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D341E2"/>
    <w:pPr>
      <w:ind w:left="220" w:hanging="220"/>
    </w:pPr>
  </w:style>
  <w:style w:type="paragraph" w:styleId="ListBullet">
    <w:name w:val="List Bullet"/>
    <w:basedOn w:val="Normal"/>
    <w:autoRedefine/>
    <w:semiHidden/>
    <w:rsid w:val="00D341E2"/>
  </w:style>
  <w:style w:type="character" w:styleId="PageNumber">
    <w:name w:val="page number"/>
    <w:rsid w:val="00D341E2"/>
    <w:rPr>
      <w:rFonts w:ascii="Tw Cen MT" w:hAnsi="Tw Cen MT"/>
      <w:sz w:val="20"/>
    </w:rPr>
  </w:style>
  <w:style w:type="paragraph" w:customStyle="1" w:styleId="Table">
    <w:name w:val="Table"/>
    <w:basedOn w:val="TableofFigures"/>
    <w:next w:val="Normal"/>
    <w:rsid w:val="00D341E2"/>
    <w:pPr>
      <w:keepNext/>
      <w:numPr>
        <w:numId w:val="5"/>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D341E2"/>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D341E2"/>
    <w:rPr>
      <w:rFonts w:ascii="Century Gothic" w:hAnsi="Century Gothic"/>
      <w:b/>
      <w:caps/>
      <w:color w:val="000000" w:themeColor="text1"/>
      <w:sz w:val="28"/>
    </w:rPr>
  </w:style>
  <w:style w:type="character" w:styleId="CommentReference">
    <w:name w:val="annotation reference"/>
    <w:semiHidden/>
    <w:rsid w:val="00D341E2"/>
    <w:rPr>
      <w:sz w:val="16"/>
    </w:rPr>
  </w:style>
  <w:style w:type="paragraph" w:styleId="CommentText">
    <w:name w:val="annotation text"/>
    <w:basedOn w:val="Normal"/>
    <w:link w:val="CommentTextChar"/>
    <w:semiHidden/>
    <w:rsid w:val="00D341E2"/>
  </w:style>
  <w:style w:type="paragraph" w:styleId="DocumentMap">
    <w:name w:val="Document Map"/>
    <w:basedOn w:val="Normal"/>
    <w:semiHidden/>
    <w:rsid w:val="00D341E2"/>
    <w:pPr>
      <w:shd w:val="clear" w:color="auto" w:fill="000080"/>
    </w:pPr>
    <w:rPr>
      <w:rFonts w:ascii="Tahoma" w:hAnsi="Tahoma"/>
    </w:rPr>
  </w:style>
  <w:style w:type="paragraph" w:styleId="EnvelopeAddress">
    <w:name w:val="envelope address"/>
    <w:basedOn w:val="Normal"/>
    <w:semiHidden/>
    <w:rsid w:val="00D341E2"/>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D341E2"/>
    <w:rPr>
      <w:vertAlign w:val="superscript"/>
    </w:rPr>
  </w:style>
  <w:style w:type="paragraph" w:customStyle="1" w:styleId="SPECText1">
    <w:name w:val="SPECText[1]"/>
    <w:basedOn w:val="Normal"/>
    <w:semiHidden/>
    <w:rsid w:val="00D341E2"/>
    <w:pPr>
      <w:keepNext/>
      <w:numPr>
        <w:numId w:val="4"/>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D341E2"/>
    <w:pPr>
      <w:keepNext/>
      <w:numPr>
        <w:ilvl w:val="1"/>
        <w:numId w:val="4"/>
      </w:numPr>
      <w:spacing w:before="240"/>
      <w:outlineLvl w:val="1"/>
    </w:pPr>
    <w:rPr>
      <w:rFonts w:ascii="Times New Roman Bold" w:hAnsi="Times New Roman Bold"/>
      <w:b/>
      <w:snapToGrid w:val="0"/>
    </w:rPr>
  </w:style>
  <w:style w:type="paragraph" w:customStyle="1" w:styleId="SPECText3">
    <w:name w:val="SPECText[3]"/>
    <w:basedOn w:val="Normal"/>
    <w:semiHidden/>
    <w:rsid w:val="00D341E2"/>
    <w:pPr>
      <w:numPr>
        <w:ilvl w:val="2"/>
        <w:numId w:val="4"/>
      </w:numPr>
      <w:spacing w:before="240"/>
      <w:outlineLvl w:val="2"/>
    </w:pPr>
    <w:rPr>
      <w:snapToGrid w:val="0"/>
    </w:rPr>
  </w:style>
  <w:style w:type="paragraph" w:customStyle="1" w:styleId="SPECText4">
    <w:name w:val="SPECText[4]"/>
    <w:basedOn w:val="Normal"/>
    <w:semiHidden/>
    <w:rsid w:val="00D341E2"/>
    <w:pPr>
      <w:numPr>
        <w:ilvl w:val="3"/>
        <w:numId w:val="4"/>
      </w:numPr>
      <w:spacing w:before="240"/>
      <w:outlineLvl w:val="3"/>
    </w:pPr>
    <w:rPr>
      <w:snapToGrid w:val="0"/>
    </w:rPr>
  </w:style>
  <w:style w:type="paragraph" w:customStyle="1" w:styleId="SPECText5">
    <w:name w:val="SPECText[5]"/>
    <w:basedOn w:val="Normal"/>
    <w:semiHidden/>
    <w:rsid w:val="00D341E2"/>
    <w:pPr>
      <w:numPr>
        <w:ilvl w:val="4"/>
        <w:numId w:val="4"/>
      </w:numPr>
      <w:spacing w:before="240"/>
      <w:outlineLvl w:val="4"/>
    </w:pPr>
    <w:rPr>
      <w:snapToGrid w:val="0"/>
    </w:rPr>
  </w:style>
  <w:style w:type="paragraph" w:customStyle="1" w:styleId="SPECText6">
    <w:name w:val="SPECText[6]"/>
    <w:basedOn w:val="Normal"/>
    <w:semiHidden/>
    <w:rsid w:val="00D341E2"/>
    <w:pPr>
      <w:numPr>
        <w:ilvl w:val="5"/>
        <w:numId w:val="4"/>
      </w:numPr>
      <w:outlineLvl w:val="5"/>
    </w:pPr>
    <w:rPr>
      <w:snapToGrid w:val="0"/>
    </w:rPr>
  </w:style>
  <w:style w:type="paragraph" w:customStyle="1" w:styleId="SPECText7">
    <w:name w:val="SPECText[7]"/>
    <w:basedOn w:val="Normal"/>
    <w:semiHidden/>
    <w:rsid w:val="00D341E2"/>
    <w:pPr>
      <w:numPr>
        <w:ilvl w:val="6"/>
        <w:numId w:val="4"/>
      </w:numPr>
      <w:outlineLvl w:val="6"/>
    </w:pPr>
    <w:rPr>
      <w:snapToGrid w:val="0"/>
    </w:rPr>
  </w:style>
  <w:style w:type="paragraph" w:customStyle="1" w:styleId="SPECText8">
    <w:name w:val="SPECText[8]"/>
    <w:basedOn w:val="Normal"/>
    <w:semiHidden/>
    <w:rsid w:val="00D341E2"/>
    <w:pPr>
      <w:numPr>
        <w:ilvl w:val="7"/>
        <w:numId w:val="4"/>
      </w:numPr>
      <w:outlineLvl w:val="7"/>
    </w:pPr>
    <w:rPr>
      <w:snapToGrid w:val="0"/>
    </w:rPr>
  </w:style>
  <w:style w:type="paragraph" w:customStyle="1" w:styleId="SPECText9">
    <w:name w:val="SPECText[9]"/>
    <w:basedOn w:val="Normal"/>
    <w:semiHidden/>
    <w:rsid w:val="00D341E2"/>
    <w:pPr>
      <w:numPr>
        <w:ilvl w:val="8"/>
        <w:numId w:val="4"/>
      </w:numPr>
      <w:outlineLvl w:val="8"/>
    </w:pPr>
    <w:rPr>
      <w:snapToGrid w:val="0"/>
    </w:rPr>
  </w:style>
  <w:style w:type="paragraph" w:customStyle="1" w:styleId="STEditOR">
    <w:name w:val="STEdit[OR]"/>
    <w:basedOn w:val="Normal"/>
    <w:semiHidden/>
    <w:rsid w:val="00D341E2"/>
    <w:pPr>
      <w:widowControl w:val="0"/>
      <w:spacing w:before="240"/>
      <w:jc w:val="center"/>
    </w:pPr>
    <w:rPr>
      <w:snapToGrid w:val="0"/>
    </w:rPr>
  </w:style>
  <w:style w:type="paragraph" w:customStyle="1" w:styleId="STFooter">
    <w:name w:val="STFooter"/>
    <w:basedOn w:val="Normal"/>
    <w:semiHidden/>
    <w:rsid w:val="00D341E2"/>
    <w:pPr>
      <w:widowControl w:val="0"/>
      <w:tabs>
        <w:tab w:val="center" w:pos="4680"/>
        <w:tab w:val="right" w:pos="9360"/>
      </w:tabs>
    </w:pPr>
    <w:rPr>
      <w:snapToGrid w:val="0"/>
    </w:rPr>
  </w:style>
  <w:style w:type="paragraph" w:customStyle="1" w:styleId="STHeader">
    <w:name w:val="STHeader"/>
    <w:basedOn w:val="Normal"/>
    <w:semiHidden/>
    <w:rsid w:val="00D341E2"/>
    <w:pPr>
      <w:widowControl w:val="0"/>
      <w:tabs>
        <w:tab w:val="center" w:pos="4680"/>
        <w:tab w:val="right" w:pos="9360"/>
      </w:tabs>
    </w:pPr>
    <w:rPr>
      <w:snapToGrid w:val="0"/>
    </w:rPr>
  </w:style>
  <w:style w:type="paragraph" w:customStyle="1" w:styleId="STNoteProj">
    <w:name w:val="STNoteProj"/>
    <w:basedOn w:val="Normal"/>
    <w:semiHidden/>
    <w:rsid w:val="00D341E2"/>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D341E2"/>
    <w:rPr>
      <w:snapToGrid w:val="0"/>
      <w:color w:val="008000"/>
    </w:rPr>
  </w:style>
  <w:style w:type="paragraph" w:customStyle="1" w:styleId="STSectEnd">
    <w:name w:val="STSectEnd"/>
    <w:basedOn w:val="Normal"/>
    <w:next w:val="Normal"/>
    <w:semiHidden/>
    <w:rsid w:val="00D341E2"/>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D341E2"/>
    <w:pPr>
      <w:widowControl w:val="0"/>
      <w:jc w:val="center"/>
    </w:pPr>
    <w:rPr>
      <w:snapToGrid w:val="0"/>
    </w:rPr>
  </w:style>
  <w:style w:type="paragraph" w:customStyle="1" w:styleId="STSectTitle">
    <w:name w:val="STSectTitle"/>
    <w:basedOn w:val="Normal"/>
    <w:next w:val="SPECText1"/>
    <w:semiHidden/>
    <w:rsid w:val="00D341E2"/>
    <w:pPr>
      <w:widowControl w:val="0"/>
      <w:spacing w:after="480"/>
      <w:jc w:val="center"/>
    </w:pPr>
    <w:rPr>
      <w:rFonts w:ascii="Times New Roman Bold" w:hAnsi="Times New Roman Bold"/>
      <w:b/>
      <w:snapToGrid w:val="0"/>
    </w:rPr>
  </w:style>
  <w:style w:type="character" w:customStyle="1" w:styleId="STUnitIP">
    <w:name w:val="STUnitIP"/>
    <w:semiHidden/>
    <w:rsid w:val="00D341E2"/>
    <w:rPr>
      <w:color w:val="800000"/>
    </w:rPr>
  </w:style>
  <w:style w:type="character" w:customStyle="1" w:styleId="STUnitSI">
    <w:name w:val="STUnitSI"/>
    <w:semiHidden/>
    <w:rsid w:val="00D341E2"/>
    <w:rPr>
      <w:color w:val="0000FF"/>
    </w:rPr>
  </w:style>
  <w:style w:type="paragraph" w:customStyle="1" w:styleId="ReportTitle3">
    <w:name w:val="Report Title 3"/>
    <w:rsid w:val="00D341E2"/>
    <w:pPr>
      <w:jc w:val="right"/>
    </w:pPr>
    <w:rPr>
      <w:rFonts w:ascii="Century Gothic" w:hAnsi="Century Gothic"/>
    </w:rPr>
  </w:style>
  <w:style w:type="paragraph" w:customStyle="1" w:styleId="ReportTitle2">
    <w:name w:val="Report Title 2"/>
    <w:basedOn w:val="Heading1"/>
    <w:unhideWhenUsed/>
    <w:rsid w:val="00D341E2"/>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D341E2"/>
    <w:pPr>
      <w:numPr>
        <w:numId w:val="1"/>
      </w:numPr>
    </w:pPr>
  </w:style>
  <w:style w:type="paragraph" w:styleId="List">
    <w:name w:val="List"/>
    <w:basedOn w:val="Normal"/>
    <w:semiHidden/>
    <w:rsid w:val="00D341E2"/>
    <w:pPr>
      <w:ind w:left="360" w:hanging="360"/>
    </w:pPr>
  </w:style>
  <w:style w:type="paragraph" w:customStyle="1" w:styleId="SCSDash2-LineFlush">
    <w:name w:val="SCS Dash 2-Line Flush"/>
    <w:basedOn w:val="List"/>
    <w:semiHidden/>
    <w:rsid w:val="00D341E2"/>
    <w:pPr>
      <w:numPr>
        <w:numId w:val="2"/>
      </w:numPr>
      <w:spacing w:before="240"/>
    </w:pPr>
  </w:style>
  <w:style w:type="paragraph" w:styleId="BalloonText">
    <w:name w:val="Balloon Text"/>
    <w:basedOn w:val="Normal"/>
    <w:link w:val="BalloonTextChar"/>
    <w:uiPriority w:val="99"/>
    <w:semiHidden/>
    <w:unhideWhenUsed/>
    <w:rsid w:val="00D341E2"/>
    <w:pPr>
      <w:spacing w:after="0"/>
    </w:pPr>
    <w:rPr>
      <w:rFonts w:ascii="Segoe UI" w:hAnsi="Segoe UI" w:cs="Segoe UI"/>
      <w:sz w:val="18"/>
      <w:szCs w:val="18"/>
    </w:rPr>
  </w:style>
  <w:style w:type="table" w:styleId="TableGrid">
    <w:name w:val="Table Grid"/>
    <w:basedOn w:val="TableNormal"/>
    <w:rsid w:val="00D34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41E2"/>
    <w:rPr>
      <w:noProof/>
      <w:color w:val="0000FF" w:themeColor="hyperlink"/>
      <w:u w:val="single"/>
    </w:rPr>
  </w:style>
  <w:style w:type="paragraph" w:styleId="TOAHeading">
    <w:name w:val="toa heading"/>
    <w:basedOn w:val="Normal"/>
    <w:next w:val="Normal"/>
    <w:semiHidden/>
    <w:rsid w:val="00D341E2"/>
    <w:pPr>
      <w:spacing w:before="120"/>
    </w:pPr>
    <w:rPr>
      <w:rFonts w:ascii="Tw Cen MT" w:hAnsi="Tw Cen MT" w:cs="Arial"/>
      <w:b/>
      <w:bCs/>
      <w:szCs w:val="24"/>
    </w:rPr>
  </w:style>
  <w:style w:type="paragraph" w:styleId="Signature">
    <w:name w:val="Signature"/>
    <w:basedOn w:val="Normal"/>
    <w:semiHidden/>
    <w:rsid w:val="00D341E2"/>
    <w:pPr>
      <w:ind w:left="4320"/>
    </w:pPr>
  </w:style>
  <w:style w:type="table" w:styleId="Table3Deffects1">
    <w:name w:val="Table 3D effects 1"/>
    <w:basedOn w:val="TableNormal"/>
    <w:semiHidden/>
    <w:rsid w:val="00D341E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41E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D341E2"/>
    <w:pPr>
      <w:numPr>
        <w:numId w:val="3"/>
      </w:numPr>
    </w:pPr>
  </w:style>
  <w:style w:type="paragraph" w:styleId="BlockText">
    <w:name w:val="Block Text"/>
    <w:basedOn w:val="Normal"/>
    <w:semiHidden/>
    <w:rsid w:val="00D341E2"/>
    <w:pPr>
      <w:ind w:left="1440" w:right="1440"/>
    </w:pPr>
  </w:style>
  <w:style w:type="paragraph" w:styleId="Closing">
    <w:name w:val="Closing"/>
    <w:basedOn w:val="Normal"/>
    <w:semiHidden/>
    <w:rsid w:val="00D341E2"/>
    <w:pPr>
      <w:ind w:left="4320"/>
    </w:pPr>
  </w:style>
  <w:style w:type="paragraph" w:styleId="Date">
    <w:name w:val="Date"/>
    <w:basedOn w:val="Normal"/>
    <w:next w:val="Normal"/>
    <w:semiHidden/>
    <w:rsid w:val="00D341E2"/>
  </w:style>
  <w:style w:type="paragraph" w:styleId="E-mailSignature">
    <w:name w:val="E-mail Signature"/>
    <w:basedOn w:val="Normal"/>
    <w:semiHidden/>
    <w:rsid w:val="00D341E2"/>
  </w:style>
  <w:style w:type="paragraph" w:styleId="EnvelopeReturn">
    <w:name w:val="envelope return"/>
    <w:basedOn w:val="Normal"/>
    <w:semiHidden/>
    <w:rsid w:val="00D341E2"/>
    <w:rPr>
      <w:rFonts w:ascii="Arial" w:hAnsi="Arial" w:cs="Arial"/>
    </w:rPr>
  </w:style>
  <w:style w:type="paragraph" w:customStyle="1" w:styleId="Figures">
    <w:name w:val="Figures"/>
    <w:basedOn w:val="Normal"/>
    <w:next w:val="Normal"/>
    <w:semiHidden/>
    <w:rsid w:val="00D341E2"/>
    <w:pPr>
      <w:jc w:val="center"/>
    </w:pPr>
    <w:rPr>
      <w:rFonts w:ascii="Tw Cen MT" w:hAnsi="Tw Cen MT"/>
      <w:b/>
      <w:spacing w:val="40"/>
    </w:rPr>
  </w:style>
  <w:style w:type="character" w:styleId="FollowedHyperlink">
    <w:name w:val="FollowedHyperlink"/>
    <w:basedOn w:val="DefaultParagraphFont"/>
    <w:uiPriority w:val="99"/>
    <w:semiHidden/>
    <w:unhideWhenUsed/>
    <w:rsid w:val="00D341E2"/>
    <w:rPr>
      <w:color w:val="5E6669" w:themeColor="followedHyperlink"/>
      <w:u w:val="single"/>
    </w:rPr>
  </w:style>
  <w:style w:type="character" w:styleId="HTMLAcronym">
    <w:name w:val="HTML Acronym"/>
    <w:basedOn w:val="DefaultParagraphFont"/>
    <w:semiHidden/>
    <w:rsid w:val="00D341E2"/>
  </w:style>
  <w:style w:type="paragraph" w:styleId="HTMLAddress">
    <w:name w:val="HTML Address"/>
    <w:basedOn w:val="Normal"/>
    <w:semiHidden/>
    <w:rsid w:val="00D341E2"/>
    <w:rPr>
      <w:i/>
      <w:iCs/>
    </w:rPr>
  </w:style>
  <w:style w:type="character" w:styleId="HTMLCite">
    <w:name w:val="HTML Cite"/>
    <w:semiHidden/>
    <w:rsid w:val="00D341E2"/>
    <w:rPr>
      <w:i/>
      <w:iCs/>
    </w:rPr>
  </w:style>
  <w:style w:type="character" w:styleId="HTMLCode">
    <w:name w:val="HTML Code"/>
    <w:semiHidden/>
    <w:rsid w:val="00D341E2"/>
    <w:rPr>
      <w:rFonts w:ascii="Courier New" w:hAnsi="Courier New" w:cs="Courier New"/>
      <w:sz w:val="20"/>
      <w:szCs w:val="20"/>
    </w:rPr>
  </w:style>
  <w:style w:type="character" w:styleId="HTMLDefinition">
    <w:name w:val="HTML Definition"/>
    <w:semiHidden/>
    <w:rsid w:val="00D341E2"/>
    <w:rPr>
      <w:i/>
      <w:iCs/>
    </w:rPr>
  </w:style>
  <w:style w:type="character" w:styleId="HTMLKeyboard">
    <w:name w:val="HTML Keyboard"/>
    <w:semiHidden/>
    <w:rsid w:val="00D341E2"/>
    <w:rPr>
      <w:rFonts w:ascii="Courier New" w:hAnsi="Courier New" w:cs="Courier New"/>
      <w:sz w:val="20"/>
      <w:szCs w:val="20"/>
    </w:rPr>
  </w:style>
  <w:style w:type="paragraph" w:styleId="HTMLPreformatted">
    <w:name w:val="HTML Preformatted"/>
    <w:basedOn w:val="Normal"/>
    <w:semiHidden/>
    <w:rsid w:val="00D341E2"/>
    <w:rPr>
      <w:rFonts w:ascii="Courier New" w:hAnsi="Courier New" w:cs="Courier New"/>
    </w:rPr>
  </w:style>
  <w:style w:type="character" w:styleId="HTMLSample">
    <w:name w:val="HTML Sample"/>
    <w:semiHidden/>
    <w:rsid w:val="00D341E2"/>
    <w:rPr>
      <w:rFonts w:ascii="Courier New" w:hAnsi="Courier New" w:cs="Courier New"/>
    </w:rPr>
  </w:style>
  <w:style w:type="character" w:styleId="HTMLTypewriter">
    <w:name w:val="HTML Typewriter"/>
    <w:semiHidden/>
    <w:rsid w:val="00D341E2"/>
    <w:rPr>
      <w:rFonts w:ascii="Courier New" w:hAnsi="Courier New" w:cs="Courier New"/>
      <w:sz w:val="20"/>
      <w:szCs w:val="20"/>
    </w:rPr>
  </w:style>
  <w:style w:type="character" w:styleId="HTMLVariable">
    <w:name w:val="HTML Variable"/>
    <w:semiHidden/>
    <w:rsid w:val="00D341E2"/>
    <w:rPr>
      <w:i/>
      <w:iCs/>
    </w:rPr>
  </w:style>
  <w:style w:type="character" w:styleId="LineNumber">
    <w:name w:val="line number"/>
    <w:basedOn w:val="DefaultParagraphFont"/>
    <w:semiHidden/>
    <w:rsid w:val="00D341E2"/>
  </w:style>
  <w:style w:type="paragraph" w:styleId="List2">
    <w:name w:val="List 2"/>
    <w:basedOn w:val="Normal"/>
    <w:semiHidden/>
    <w:rsid w:val="00D341E2"/>
    <w:pPr>
      <w:ind w:left="720" w:hanging="360"/>
    </w:pPr>
  </w:style>
  <w:style w:type="paragraph" w:styleId="List3">
    <w:name w:val="List 3"/>
    <w:basedOn w:val="Normal"/>
    <w:semiHidden/>
    <w:rsid w:val="00D341E2"/>
    <w:pPr>
      <w:ind w:left="1080" w:hanging="360"/>
    </w:pPr>
  </w:style>
  <w:style w:type="paragraph" w:styleId="List4">
    <w:name w:val="List 4"/>
    <w:basedOn w:val="Normal"/>
    <w:semiHidden/>
    <w:rsid w:val="00D341E2"/>
    <w:pPr>
      <w:ind w:left="1440" w:hanging="360"/>
    </w:pPr>
  </w:style>
  <w:style w:type="paragraph" w:styleId="List5">
    <w:name w:val="List 5"/>
    <w:basedOn w:val="Normal"/>
    <w:semiHidden/>
    <w:rsid w:val="00D341E2"/>
    <w:pPr>
      <w:ind w:left="1800" w:hanging="360"/>
    </w:pPr>
  </w:style>
  <w:style w:type="paragraph" w:styleId="ListBullet2">
    <w:name w:val="List Bullet 2"/>
    <w:basedOn w:val="Normal"/>
    <w:semiHidden/>
    <w:rsid w:val="00D341E2"/>
    <w:pPr>
      <w:tabs>
        <w:tab w:val="num" w:pos="720"/>
      </w:tabs>
      <w:ind w:left="720" w:hanging="360"/>
    </w:pPr>
  </w:style>
  <w:style w:type="paragraph" w:styleId="ListBullet3">
    <w:name w:val="List Bullet 3"/>
    <w:basedOn w:val="Normal"/>
    <w:semiHidden/>
    <w:rsid w:val="00D341E2"/>
    <w:pPr>
      <w:tabs>
        <w:tab w:val="num" w:pos="1080"/>
      </w:tabs>
      <w:ind w:left="1080" w:hanging="360"/>
    </w:pPr>
  </w:style>
  <w:style w:type="paragraph" w:styleId="ListBullet4">
    <w:name w:val="List Bullet 4"/>
    <w:basedOn w:val="Normal"/>
    <w:semiHidden/>
    <w:rsid w:val="00D341E2"/>
    <w:pPr>
      <w:tabs>
        <w:tab w:val="num" w:pos="1440"/>
      </w:tabs>
      <w:ind w:left="1440" w:hanging="360"/>
    </w:pPr>
  </w:style>
  <w:style w:type="paragraph" w:styleId="ListBullet5">
    <w:name w:val="List Bullet 5"/>
    <w:basedOn w:val="Normal"/>
    <w:semiHidden/>
    <w:rsid w:val="00D341E2"/>
    <w:pPr>
      <w:tabs>
        <w:tab w:val="num" w:pos="1800"/>
      </w:tabs>
      <w:ind w:left="1800" w:hanging="360"/>
    </w:pPr>
  </w:style>
  <w:style w:type="paragraph" w:styleId="ListContinue">
    <w:name w:val="List Continue"/>
    <w:basedOn w:val="Normal"/>
    <w:semiHidden/>
    <w:rsid w:val="00D341E2"/>
    <w:pPr>
      <w:ind w:left="360"/>
    </w:pPr>
  </w:style>
  <w:style w:type="paragraph" w:styleId="ListContinue2">
    <w:name w:val="List Continue 2"/>
    <w:basedOn w:val="Normal"/>
    <w:semiHidden/>
    <w:rsid w:val="00D341E2"/>
    <w:pPr>
      <w:ind w:left="720"/>
    </w:pPr>
  </w:style>
  <w:style w:type="paragraph" w:styleId="ListContinue3">
    <w:name w:val="List Continue 3"/>
    <w:basedOn w:val="Normal"/>
    <w:semiHidden/>
    <w:rsid w:val="00D341E2"/>
    <w:pPr>
      <w:ind w:left="1080"/>
    </w:pPr>
  </w:style>
  <w:style w:type="paragraph" w:styleId="ListContinue4">
    <w:name w:val="List Continue 4"/>
    <w:basedOn w:val="Normal"/>
    <w:semiHidden/>
    <w:rsid w:val="00D341E2"/>
    <w:pPr>
      <w:ind w:left="1440"/>
    </w:pPr>
  </w:style>
  <w:style w:type="paragraph" w:styleId="ListContinue5">
    <w:name w:val="List Continue 5"/>
    <w:basedOn w:val="Normal"/>
    <w:semiHidden/>
    <w:rsid w:val="00D341E2"/>
    <w:pPr>
      <w:ind w:left="1800"/>
    </w:pPr>
  </w:style>
  <w:style w:type="paragraph" w:styleId="ListNumber2">
    <w:name w:val="List Number 2"/>
    <w:basedOn w:val="Normal"/>
    <w:semiHidden/>
    <w:rsid w:val="00D341E2"/>
    <w:pPr>
      <w:tabs>
        <w:tab w:val="num" w:pos="720"/>
      </w:tabs>
      <w:ind w:left="720" w:hanging="360"/>
    </w:pPr>
  </w:style>
  <w:style w:type="paragraph" w:styleId="ListNumber3">
    <w:name w:val="List Number 3"/>
    <w:basedOn w:val="Normal"/>
    <w:semiHidden/>
    <w:rsid w:val="00D341E2"/>
    <w:pPr>
      <w:tabs>
        <w:tab w:val="num" w:pos="1080"/>
      </w:tabs>
      <w:ind w:left="1080" w:hanging="360"/>
    </w:pPr>
  </w:style>
  <w:style w:type="paragraph" w:styleId="ListNumber4">
    <w:name w:val="List Number 4"/>
    <w:basedOn w:val="Normal"/>
    <w:semiHidden/>
    <w:rsid w:val="00D341E2"/>
    <w:pPr>
      <w:tabs>
        <w:tab w:val="num" w:pos="1440"/>
      </w:tabs>
      <w:ind w:left="1440" w:hanging="360"/>
    </w:pPr>
  </w:style>
  <w:style w:type="paragraph" w:styleId="ListNumber5">
    <w:name w:val="List Number 5"/>
    <w:basedOn w:val="Normal"/>
    <w:semiHidden/>
    <w:rsid w:val="00D341E2"/>
    <w:pPr>
      <w:tabs>
        <w:tab w:val="num" w:pos="1800"/>
      </w:tabs>
      <w:ind w:left="1800" w:hanging="360"/>
    </w:pPr>
  </w:style>
  <w:style w:type="paragraph" w:styleId="MessageHeader">
    <w:name w:val="Message Header"/>
    <w:basedOn w:val="Normal"/>
    <w:semiHidden/>
    <w:rsid w:val="00D341E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D341E2"/>
    <w:rPr>
      <w:szCs w:val="24"/>
    </w:rPr>
  </w:style>
  <w:style w:type="paragraph" w:styleId="NormalIndent">
    <w:name w:val="Normal Indent"/>
    <w:basedOn w:val="Normal"/>
    <w:semiHidden/>
    <w:rsid w:val="00D341E2"/>
    <w:pPr>
      <w:ind w:left="720"/>
    </w:pPr>
  </w:style>
  <w:style w:type="paragraph" w:styleId="NoteHeading">
    <w:name w:val="Note Heading"/>
    <w:basedOn w:val="Normal"/>
    <w:next w:val="Normal"/>
    <w:semiHidden/>
    <w:rsid w:val="00D341E2"/>
  </w:style>
  <w:style w:type="paragraph" w:styleId="PlainText">
    <w:name w:val="Plain Text"/>
    <w:basedOn w:val="Normal"/>
    <w:semiHidden/>
    <w:rsid w:val="00D341E2"/>
    <w:rPr>
      <w:rFonts w:ascii="Courier New" w:hAnsi="Courier New" w:cs="Courier New"/>
    </w:rPr>
  </w:style>
  <w:style w:type="paragraph" w:styleId="Salutation">
    <w:name w:val="Salutation"/>
    <w:basedOn w:val="Normal"/>
    <w:next w:val="Normal"/>
    <w:semiHidden/>
    <w:rsid w:val="00D341E2"/>
  </w:style>
  <w:style w:type="table" w:styleId="Table3Deffects3">
    <w:name w:val="Table 3D effects 3"/>
    <w:basedOn w:val="TableNormal"/>
    <w:semiHidden/>
    <w:rsid w:val="00D341E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41E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41E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41E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41E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41E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41E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41E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41E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41E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41E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41E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41E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41E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41E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D341E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41E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41E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41E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41E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41E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41E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41E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41E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41E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41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41E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41E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41E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41E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41E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41E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41E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41E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41E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41E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41E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4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341E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41E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41E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D341E2"/>
    <w:rPr>
      <w:rFonts w:ascii="Univers" w:hAnsi="Univers"/>
      <w:sz w:val="22"/>
    </w:rPr>
  </w:style>
  <w:style w:type="character" w:customStyle="1" w:styleId="CommentTextChar">
    <w:name w:val="Comment Text Char"/>
    <w:basedOn w:val="DefaultParagraphFont"/>
    <w:link w:val="CommentText"/>
    <w:semiHidden/>
    <w:rsid w:val="00D341E2"/>
    <w:rPr>
      <w:rFonts w:ascii="Franklin Gothic Book" w:hAnsi="Franklin Gothic Book"/>
      <w:sz w:val="22"/>
    </w:rPr>
  </w:style>
  <w:style w:type="character" w:customStyle="1" w:styleId="Heading4Char">
    <w:name w:val="Heading 4 Char"/>
    <w:basedOn w:val="DefaultParagraphFont"/>
    <w:link w:val="Heading4"/>
    <w:rsid w:val="00D341E2"/>
    <w:rPr>
      <w:rFonts w:ascii="Century Gothic" w:hAnsi="Century Gothic"/>
      <w:b/>
      <w:sz w:val="24"/>
    </w:rPr>
  </w:style>
  <w:style w:type="paragraph" w:customStyle="1" w:styleId="Bullet1-line">
    <w:name w:val="Bullet 1-line"/>
    <w:link w:val="Bullet1-lineChar"/>
    <w:rsid w:val="00D341E2"/>
    <w:pPr>
      <w:numPr>
        <w:numId w:val="7"/>
      </w:numPr>
    </w:pPr>
    <w:rPr>
      <w:rFonts w:ascii="Franklin Gothic Book" w:hAnsi="Franklin Gothic Book"/>
      <w:sz w:val="22"/>
    </w:rPr>
  </w:style>
  <w:style w:type="paragraph" w:customStyle="1" w:styleId="Bullet2-line">
    <w:name w:val="Bullet 2-line"/>
    <w:basedOn w:val="Bullet1-line"/>
    <w:link w:val="Bullet2-lineChar"/>
    <w:qFormat/>
    <w:rsid w:val="00D341E2"/>
    <w:pPr>
      <w:spacing w:after="240"/>
    </w:pPr>
  </w:style>
  <w:style w:type="character" w:customStyle="1" w:styleId="Heading5Char">
    <w:name w:val="Heading 5 Char"/>
    <w:basedOn w:val="DefaultParagraphFont"/>
    <w:link w:val="Heading5"/>
    <w:rsid w:val="00D341E2"/>
    <w:rPr>
      <w:rFonts w:ascii="Century Gothic" w:hAnsi="Century Gothic"/>
      <w:sz w:val="24"/>
    </w:rPr>
  </w:style>
  <w:style w:type="paragraph" w:customStyle="1" w:styleId="ResumeName">
    <w:name w:val="Resume Name"/>
    <w:basedOn w:val="Heading2"/>
    <w:link w:val="ResumeNameChar"/>
    <w:unhideWhenUsed/>
    <w:qFormat/>
    <w:rsid w:val="00D341E2"/>
    <w:rPr>
      <w:color w:val="5F5F5F"/>
    </w:rPr>
  </w:style>
  <w:style w:type="character" w:customStyle="1" w:styleId="ResumeNameChar">
    <w:name w:val="Resume Name Char"/>
    <w:link w:val="ResumeName"/>
    <w:rsid w:val="00D341E2"/>
    <w:rPr>
      <w:rFonts w:ascii="Century Gothic" w:hAnsi="Century Gothic"/>
      <w:b/>
      <w:caps/>
      <w:color w:val="5F5F5F"/>
      <w:sz w:val="28"/>
    </w:rPr>
  </w:style>
  <w:style w:type="character" w:customStyle="1" w:styleId="Heading3Char">
    <w:name w:val="Heading 3 Char"/>
    <w:basedOn w:val="DefaultParagraphFont"/>
    <w:link w:val="Heading3"/>
    <w:rsid w:val="00D341E2"/>
    <w:rPr>
      <w:rFonts w:ascii="Century Gothic" w:hAnsi="Century Gothic"/>
      <w:sz w:val="28"/>
    </w:rPr>
  </w:style>
  <w:style w:type="paragraph" w:customStyle="1" w:styleId="ResumeHeading1">
    <w:name w:val="Resume Heading1"/>
    <w:basedOn w:val="Heading2"/>
    <w:link w:val="ResumeHeading1Char"/>
    <w:qFormat/>
    <w:rsid w:val="00D341E2"/>
    <w:rPr>
      <w:b w:val="0"/>
    </w:rPr>
  </w:style>
  <w:style w:type="character" w:customStyle="1" w:styleId="ResumeHeading1Char">
    <w:name w:val="Resume Heading1 Char"/>
    <w:basedOn w:val="Heading4Char"/>
    <w:link w:val="ResumeHeading1"/>
    <w:rsid w:val="00D341E2"/>
    <w:rPr>
      <w:rFonts w:ascii="Century Gothic" w:hAnsi="Century Gothic"/>
      <w:b w:val="0"/>
      <w:caps/>
      <w:color w:val="000000" w:themeColor="text1"/>
      <w:sz w:val="28"/>
    </w:rPr>
  </w:style>
  <w:style w:type="paragraph" w:styleId="TOC2">
    <w:name w:val="toc 2"/>
    <w:basedOn w:val="Normal"/>
    <w:next w:val="Normal"/>
    <w:uiPriority w:val="39"/>
    <w:unhideWhenUsed/>
    <w:rsid w:val="00D341E2"/>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D341E2"/>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D341E2"/>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D341E2"/>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D341E2"/>
    <w:pPr>
      <w:spacing w:after="100"/>
    </w:pPr>
  </w:style>
  <w:style w:type="paragraph" w:styleId="TOCHeading">
    <w:name w:val="TOC Heading"/>
    <w:basedOn w:val="Heading1"/>
    <w:next w:val="Normal"/>
    <w:uiPriority w:val="39"/>
    <w:semiHidden/>
    <w:unhideWhenUsed/>
    <w:qFormat/>
    <w:rsid w:val="00D341E2"/>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D341E2"/>
    <w:pPr>
      <w:numPr>
        <w:numId w:val="6"/>
      </w:numPr>
    </w:pPr>
  </w:style>
  <w:style w:type="paragraph" w:styleId="TOC6">
    <w:name w:val="toc 6"/>
    <w:basedOn w:val="Normal"/>
    <w:next w:val="Normal"/>
    <w:autoRedefine/>
    <w:uiPriority w:val="39"/>
    <w:unhideWhenUsed/>
    <w:rsid w:val="00D341E2"/>
    <w:pPr>
      <w:spacing w:after="100"/>
      <w:ind w:left="1100"/>
    </w:pPr>
  </w:style>
  <w:style w:type="character" w:customStyle="1" w:styleId="Heading1Char">
    <w:name w:val="Heading 1 Char"/>
    <w:basedOn w:val="DefaultParagraphFont"/>
    <w:link w:val="Heading1"/>
    <w:rsid w:val="00D341E2"/>
    <w:rPr>
      <w:rFonts w:ascii="Century Gothic" w:hAnsi="Century Gothic"/>
      <w:b/>
      <w:caps/>
      <w:color w:val="000000" w:themeColor="text1"/>
      <w:sz w:val="30"/>
      <w:szCs w:val="30"/>
    </w:rPr>
  </w:style>
  <w:style w:type="table" w:customStyle="1" w:styleId="Top">
    <w:name w:val="Top"/>
    <w:basedOn w:val="TableNormal"/>
    <w:uiPriority w:val="99"/>
    <w:rsid w:val="00D341E2"/>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D341E2"/>
    <w:rPr>
      <w:b/>
      <w:bCs/>
    </w:rPr>
  </w:style>
  <w:style w:type="character" w:customStyle="1" w:styleId="CommentSubjectChar">
    <w:name w:val="Comment Subject Char"/>
    <w:basedOn w:val="CommentTextChar"/>
    <w:link w:val="CommentSubject"/>
    <w:rsid w:val="00D341E2"/>
    <w:rPr>
      <w:rFonts w:ascii="Franklin Gothic Book" w:hAnsi="Franklin Gothic Book"/>
      <w:b/>
      <w:bCs/>
      <w:sz w:val="22"/>
    </w:rPr>
  </w:style>
  <w:style w:type="paragraph" w:customStyle="1" w:styleId="CaptionText">
    <w:name w:val="Caption Text"/>
    <w:basedOn w:val="Normal"/>
    <w:rsid w:val="00D341E2"/>
    <w:pPr>
      <w:spacing w:after="0"/>
    </w:pPr>
    <w:rPr>
      <w:rFonts w:eastAsia="Calibri"/>
      <w:i/>
      <w:sz w:val="20"/>
    </w:rPr>
  </w:style>
  <w:style w:type="character" w:styleId="Emphasis">
    <w:name w:val="Emphasis"/>
    <w:basedOn w:val="Heading5Char"/>
    <w:rsid w:val="00D341E2"/>
    <w:rPr>
      <w:rFonts w:ascii="Franklin Gothic Book" w:hAnsi="Franklin Gothic Book"/>
      <w:b/>
      <w:spacing w:val="0"/>
      <w:sz w:val="20"/>
      <w:szCs w:val="22"/>
    </w:rPr>
  </w:style>
  <w:style w:type="paragraph" w:styleId="Header">
    <w:name w:val="header"/>
    <w:basedOn w:val="Normal"/>
    <w:link w:val="HeaderChar"/>
    <w:uiPriority w:val="99"/>
    <w:rsid w:val="00D341E2"/>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D341E2"/>
    <w:rPr>
      <w:rFonts w:asciiTheme="majorHAnsi" w:hAnsiTheme="majorHAnsi"/>
      <w:sz w:val="22"/>
    </w:rPr>
  </w:style>
  <w:style w:type="paragraph" w:customStyle="1" w:styleId="Figure">
    <w:name w:val="Figure"/>
    <w:basedOn w:val="TableofFigures"/>
    <w:next w:val="Normal"/>
    <w:rsid w:val="00D341E2"/>
    <w:pPr>
      <w:keepNext/>
      <w:numPr>
        <w:numId w:val="9"/>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D341E2"/>
    <w:pPr>
      <w:keepNext/>
      <w:numPr>
        <w:numId w:val="42"/>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D341E2"/>
    <w:pPr>
      <w:spacing w:after="0"/>
      <w:outlineLvl w:val="9"/>
    </w:pPr>
    <w:rPr>
      <w:b w:val="0"/>
      <w:caps w:val="0"/>
      <w:sz w:val="32"/>
    </w:rPr>
  </w:style>
  <w:style w:type="paragraph" w:customStyle="1" w:styleId="SCSTableText">
    <w:name w:val="SCS Table Text"/>
    <w:rsid w:val="00D341E2"/>
    <w:rPr>
      <w:rFonts w:ascii="Century Gothic" w:hAnsi="Century Gothic"/>
    </w:rPr>
  </w:style>
  <w:style w:type="paragraph" w:styleId="ListNumber">
    <w:name w:val="List Number"/>
    <w:basedOn w:val="Normal"/>
    <w:rsid w:val="00D341E2"/>
    <w:pPr>
      <w:tabs>
        <w:tab w:val="num" w:pos="360"/>
      </w:tabs>
      <w:ind w:left="360" w:hanging="360"/>
    </w:pPr>
  </w:style>
  <w:style w:type="paragraph" w:styleId="ListParagraph">
    <w:name w:val="List Paragraph"/>
    <w:basedOn w:val="Normal"/>
    <w:uiPriority w:val="34"/>
    <w:rsid w:val="00D341E2"/>
    <w:pPr>
      <w:numPr>
        <w:numId w:val="11"/>
      </w:numPr>
    </w:pPr>
  </w:style>
  <w:style w:type="paragraph" w:styleId="FootnoteText">
    <w:name w:val="footnote text"/>
    <w:basedOn w:val="Normal"/>
    <w:link w:val="FootnoteTextChar"/>
    <w:uiPriority w:val="99"/>
    <w:unhideWhenUsed/>
    <w:rsid w:val="00D341E2"/>
    <w:pPr>
      <w:spacing w:after="0"/>
    </w:pPr>
    <w:rPr>
      <w:sz w:val="20"/>
    </w:rPr>
  </w:style>
  <w:style w:type="character" w:customStyle="1" w:styleId="FootnoteTextChar">
    <w:name w:val="Footnote Text Char"/>
    <w:basedOn w:val="DefaultParagraphFont"/>
    <w:link w:val="FootnoteText"/>
    <w:uiPriority w:val="99"/>
    <w:rsid w:val="00D341E2"/>
    <w:rPr>
      <w:rFonts w:ascii="Franklin Gothic Book" w:hAnsi="Franklin Gothic Book"/>
    </w:rPr>
  </w:style>
  <w:style w:type="paragraph" w:styleId="Caption">
    <w:name w:val="caption"/>
    <w:basedOn w:val="Normal"/>
    <w:next w:val="Normal"/>
    <w:uiPriority w:val="35"/>
    <w:unhideWhenUsed/>
    <w:rsid w:val="00D341E2"/>
    <w:pPr>
      <w:spacing w:after="200"/>
    </w:pPr>
    <w:rPr>
      <w:i/>
      <w:iCs/>
      <w:color w:val="000000" w:themeColor="text1"/>
      <w:sz w:val="20"/>
      <w:szCs w:val="18"/>
    </w:rPr>
  </w:style>
  <w:style w:type="paragraph" w:customStyle="1" w:styleId="SCSNUMH1">
    <w:name w:val="SCS NUM H1"/>
    <w:basedOn w:val="Heading1"/>
    <w:next w:val="Normal"/>
    <w:link w:val="SCSNUMH1Char"/>
    <w:rsid w:val="00D341E2"/>
    <w:pPr>
      <w:numPr>
        <w:numId w:val="10"/>
      </w:numPr>
      <w:tabs>
        <w:tab w:val="clear" w:pos="1152"/>
        <w:tab w:val="num" w:pos="1080"/>
      </w:tabs>
      <w:ind w:left="1080" w:hanging="1080"/>
    </w:pPr>
    <w:rPr>
      <w:kern w:val="28"/>
    </w:rPr>
  </w:style>
  <w:style w:type="paragraph" w:customStyle="1" w:styleId="SCSNUMH2">
    <w:name w:val="SCS NUM H2"/>
    <w:next w:val="Normal"/>
    <w:link w:val="SCSNUMH2Char"/>
    <w:rsid w:val="00D341E2"/>
    <w:pPr>
      <w:keepNext/>
      <w:numPr>
        <w:ilvl w:val="1"/>
        <w:numId w:val="1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D341E2"/>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D341E2"/>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D341E2"/>
    <w:rPr>
      <w:rFonts w:ascii="Century Gothic" w:hAnsi="Century Gothic"/>
      <w:b/>
      <w:caps/>
      <w:sz w:val="28"/>
      <w:szCs w:val="26"/>
    </w:rPr>
  </w:style>
  <w:style w:type="paragraph" w:customStyle="1" w:styleId="SCSNumH4">
    <w:name w:val="SCS Num H4"/>
    <w:basedOn w:val="SCSNumH3"/>
    <w:next w:val="Normal"/>
    <w:link w:val="SCSNumH4Char"/>
    <w:rsid w:val="00D341E2"/>
    <w:pPr>
      <w:numPr>
        <w:ilvl w:val="3"/>
      </w:numPr>
      <w:tabs>
        <w:tab w:val="clear" w:pos="1152"/>
        <w:tab w:val="num" w:pos="1440"/>
      </w:tabs>
      <w:ind w:left="1440" w:hanging="1440"/>
    </w:pPr>
  </w:style>
  <w:style w:type="character" w:customStyle="1" w:styleId="SCSNumH3Char">
    <w:name w:val="SCS Num H3 Char"/>
    <w:basedOn w:val="DefaultParagraphFont"/>
    <w:link w:val="SCSNumH3"/>
    <w:rsid w:val="00D341E2"/>
    <w:rPr>
      <w:rFonts w:ascii="Century Gothic" w:hAnsi="Century Gothic"/>
      <w:b/>
      <w:sz w:val="28"/>
    </w:rPr>
  </w:style>
  <w:style w:type="paragraph" w:customStyle="1" w:styleId="SCSNumH5">
    <w:name w:val="SCS Num H5"/>
    <w:basedOn w:val="SCSNumH4"/>
    <w:next w:val="Normal"/>
    <w:link w:val="SCSNumH5Char"/>
    <w:rsid w:val="00D341E2"/>
    <w:pPr>
      <w:numPr>
        <w:ilvl w:val="0"/>
        <w:numId w:val="0"/>
      </w:numPr>
    </w:pPr>
  </w:style>
  <w:style w:type="character" w:customStyle="1" w:styleId="SCSNumH4Char">
    <w:name w:val="SCS Num H4 Char"/>
    <w:basedOn w:val="DefaultParagraphFont"/>
    <w:link w:val="SCSNumH4"/>
    <w:rsid w:val="00D341E2"/>
    <w:rPr>
      <w:rFonts w:ascii="Century Gothic" w:hAnsi="Century Gothic"/>
      <w:b/>
      <w:sz w:val="28"/>
    </w:rPr>
  </w:style>
  <w:style w:type="character" w:customStyle="1" w:styleId="SCSNumH5Char">
    <w:name w:val="SCS Num H5 Char"/>
    <w:basedOn w:val="DefaultParagraphFont"/>
    <w:link w:val="SCSNumH5"/>
    <w:rsid w:val="00D341E2"/>
    <w:rPr>
      <w:rFonts w:ascii="Century Gothic" w:hAnsi="Century Gothic"/>
      <w:b/>
      <w:sz w:val="28"/>
    </w:rPr>
  </w:style>
  <w:style w:type="paragraph" w:customStyle="1" w:styleId="Bullet2-lineindentdash">
    <w:name w:val="Bullet 2-line indent dash"/>
    <w:basedOn w:val="Normal"/>
    <w:link w:val="Bullet2-lineindentdashChar"/>
    <w:rsid w:val="00D341E2"/>
    <w:pPr>
      <w:numPr>
        <w:ilvl w:val="1"/>
        <w:numId w:val="7"/>
      </w:numPr>
    </w:pPr>
  </w:style>
  <w:style w:type="paragraph" w:customStyle="1" w:styleId="Bullet1-lineindentdash">
    <w:name w:val="Bullet 1-line indent dash"/>
    <w:basedOn w:val="Bullet2-lineindentdash"/>
    <w:link w:val="Bullet1-lineindentdashChar"/>
    <w:rsid w:val="00D341E2"/>
    <w:pPr>
      <w:spacing w:after="0"/>
    </w:pPr>
  </w:style>
  <w:style w:type="character" w:customStyle="1" w:styleId="Bullet1-lineChar">
    <w:name w:val="Bullet 1-line Char"/>
    <w:basedOn w:val="DefaultParagraphFont"/>
    <w:link w:val="Bullet1-line"/>
    <w:rsid w:val="00D341E2"/>
    <w:rPr>
      <w:rFonts w:ascii="Franklin Gothic Book" w:hAnsi="Franklin Gothic Book"/>
      <w:sz w:val="22"/>
    </w:rPr>
  </w:style>
  <w:style w:type="character" w:customStyle="1" w:styleId="Bullet2-lineChar">
    <w:name w:val="Bullet 2-line Char"/>
    <w:basedOn w:val="Bullet1-lineChar"/>
    <w:link w:val="Bullet2-line"/>
    <w:rsid w:val="00D341E2"/>
    <w:rPr>
      <w:rFonts w:ascii="Franklin Gothic Book" w:hAnsi="Franklin Gothic Book"/>
      <w:sz w:val="22"/>
    </w:rPr>
  </w:style>
  <w:style w:type="character" w:customStyle="1" w:styleId="Bullet2-lineindentdashChar">
    <w:name w:val="Bullet 2-line indent dash Char"/>
    <w:basedOn w:val="Bullet2-lineChar"/>
    <w:link w:val="Bullet2-lineindentdash"/>
    <w:rsid w:val="00D341E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D341E2"/>
    <w:rPr>
      <w:rFonts w:ascii="Franklin Gothic Book" w:hAnsi="Franklin Gothic Book"/>
      <w:sz w:val="22"/>
    </w:rPr>
  </w:style>
  <w:style w:type="paragraph" w:customStyle="1" w:styleId="SCSText">
    <w:name w:val="SCS Text"/>
    <w:basedOn w:val="Normal"/>
    <w:semiHidden/>
    <w:unhideWhenUsed/>
    <w:rsid w:val="00D341E2"/>
  </w:style>
  <w:style w:type="paragraph" w:customStyle="1" w:styleId="ResumeHeading2">
    <w:name w:val="Resume Heading2"/>
    <w:basedOn w:val="Heading3"/>
    <w:qFormat/>
    <w:rsid w:val="00D341E2"/>
  </w:style>
  <w:style w:type="paragraph" w:customStyle="1" w:styleId="ResumeHeading3">
    <w:name w:val="Resume Heading3"/>
    <w:basedOn w:val="Heading4"/>
    <w:qFormat/>
    <w:rsid w:val="00D341E2"/>
  </w:style>
  <w:style w:type="paragraph" w:customStyle="1" w:styleId="ReportTitle1">
    <w:name w:val="Report Title 1"/>
    <w:rsid w:val="00D341E2"/>
    <w:rPr>
      <w:rFonts w:ascii="Century Gothic" w:hAnsi="Century Gothic"/>
      <w:sz w:val="48"/>
      <w:szCs w:val="48"/>
    </w:rPr>
  </w:style>
  <w:style w:type="paragraph" w:customStyle="1" w:styleId="ReportTitle2ClientAddress">
    <w:name w:val="Report Title 2 Client Address"/>
    <w:rsid w:val="00D341E2"/>
    <w:rPr>
      <w:rFonts w:ascii="Century Gothic" w:hAnsi="Century Gothic"/>
      <w:sz w:val="32"/>
      <w:szCs w:val="32"/>
    </w:rPr>
  </w:style>
  <w:style w:type="character" w:customStyle="1" w:styleId="Heading6Char">
    <w:name w:val="Heading 6 Char"/>
    <w:basedOn w:val="DefaultParagraphFont"/>
    <w:link w:val="Heading6"/>
    <w:rsid w:val="00D341E2"/>
    <w:rPr>
      <w:rFonts w:ascii="Century Gothic" w:hAnsi="Century Gothic"/>
      <w:b/>
      <w:bCs/>
      <w:sz w:val="22"/>
    </w:rPr>
  </w:style>
  <w:style w:type="character" w:customStyle="1" w:styleId="Heading7Char">
    <w:name w:val="Heading 7 Char"/>
    <w:basedOn w:val="DefaultParagraphFont"/>
    <w:link w:val="Heading7"/>
    <w:rsid w:val="00D341E2"/>
    <w:rPr>
      <w:rFonts w:ascii="Century Gothic" w:hAnsi="Century Gothic"/>
      <w:bCs/>
      <w:sz w:val="22"/>
    </w:rPr>
  </w:style>
  <w:style w:type="character" w:customStyle="1" w:styleId="Heading8Char">
    <w:name w:val="Heading 8 Char"/>
    <w:basedOn w:val="DefaultParagraphFont"/>
    <w:link w:val="Heading8"/>
    <w:rsid w:val="00D341E2"/>
    <w:rPr>
      <w:rFonts w:ascii="Century Gothic" w:hAnsi="Century Gothic"/>
      <w:b/>
      <w:iCs/>
      <w:szCs w:val="24"/>
    </w:rPr>
  </w:style>
  <w:style w:type="paragraph" w:customStyle="1" w:styleId="Appendix">
    <w:name w:val="Appendix"/>
    <w:basedOn w:val="Normal"/>
    <w:rsid w:val="00D341E2"/>
    <w:pPr>
      <w:tabs>
        <w:tab w:val="left" w:pos="720"/>
      </w:tabs>
      <w:spacing w:before="240"/>
      <w:jc w:val="center"/>
    </w:pPr>
    <w:rPr>
      <w:color w:val="000000" w:themeColor="text1"/>
      <w:sz w:val="32"/>
      <w:szCs w:val="30"/>
    </w:rPr>
  </w:style>
  <w:style w:type="paragraph" w:customStyle="1" w:styleId="SCSEmphasis">
    <w:name w:val="SCS Emphasis"/>
    <w:basedOn w:val="Heading7"/>
    <w:rsid w:val="00D341E2"/>
    <w:pPr>
      <w:spacing w:before="0" w:after="240"/>
      <w:jc w:val="center"/>
    </w:pPr>
  </w:style>
  <w:style w:type="paragraph" w:customStyle="1" w:styleId="Bullet1-lineIndentdash0">
    <w:name w:val="Bullet 1-line Indent dash"/>
    <w:basedOn w:val="Bullet2-lineindentdash"/>
    <w:rsid w:val="00D341E2"/>
    <w:pPr>
      <w:spacing w:after="0"/>
    </w:pPr>
  </w:style>
  <w:style w:type="paragraph" w:styleId="Footer">
    <w:name w:val="footer"/>
    <w:link w:val="FooterChar"/>
    <w:uiPriority w:val="99"/>
    <w:unhideWhenUsed/>
    <w:rsid w:val="00D341E2"/>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D341E2"/>
    <w:rPr>
      <w:rFonts w:ascii="Century Gothic" w:eastAsiaTheme="minorHAnsi" w:hAnsi="Century Gothic" w:cstheme="minorBidi"/>
      <w:sz w:val="18"/>
      <w:szCs w:val="22"/>
    </w:rPr>
  </w:style>
  <w:style w:type="paragraph" w:styleId="TableofFigures">
    <w:name w:val="table of figures"/>
    <w:basedOn w:val="Normal"/>
    <w:uiPriority w:val="99"/>
    <w:unhideWhenUsed/>
    <w:rsid w:val="00D341E2"/>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D341E2"/>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D341E2"/>
    <w:rPr>
      <w:rFonts w:asciiTheme="majorHAnsi" w:eastAsiaTheme="majorEastAsia" w:hAnsiTheme="majorHAnsi" w:cstheme="majorBidi"/>
      <w:i/>
      <w:iCs/>
      <w:color w:val="272727" w:themeColor="text1" w:themeTint="D8"/>
      <w:sz w:val="21"/>
      <w:szCs w:val="21"/>
    </w:rPr>
  </w:style>
  <w:style w:type="paragraph" w:customStyle="1" w:styleId="ListTOC">
    <w:name w:val="List TOC"/>
    <w:rsid w:val="00D341E2"/>
    <w:pPr>
      <w:spacing w:after="40"/>
    </w:pPr>
    <w:rPr>
      <w:rFonts w:ascii="Franklin Gothic Book" w:hAnsi="Franklin Gothic Book"/>
      <w:sz w:val="22"/>
    </w:rPr>
  </w:style>
  <w:style w:type="paragraph" w:customStyle="1" w:styleId="Body-Text-Para">
    <w:name w:val="Body-Text-Para"/>
    <w:basedOn w:val="Normal"/>
    <w:rsid w:val="00556EF7"/>
    <w:pPr>
      <w:tabs>
        <w:tab w:val="left" w:pos="1260"/>
        <w:tab w:val="left" w:pos="162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86398">
      <w:bodyDiv w:val="1"/>
      <w:marLeft w:val="0"/>
      <w:marRight w:val="0"/>
      <w:marTop w:val="0"/>
      <w:marBottom w:val="0"/>
      <w:divBdr>
        <w:top w:val="none" w:sz="0" w:space="0" w:color="auto"/>
        <w:left w:val="none" w:sz="0" w:space="0" w:color="auto"/>
        <w:bottom w:val="none" w:sz="0" w:space="0" w:color="auto"/>
        <w:right w:val="none" w:sz="0" w:space="0" w:color="auto"/>
      </w:divBdr>
    </w:div>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777869">
      <w:bodyDiv w:val="1"/>
      <w:marLeft w:val="0"/>
      <w:marRight w:val="0"/>
      <w:marTop w:val="0"/>
      <w:marBottom w:val="0"/>
      <w:divBdr>
        <w:top w:val="none" w:sz="0" w:space="0" w:color="auto"/>
        <w:left w:val="none" w:sz="0" w:space="0" w:color="auto"/>
        <w:bottom w:val="none" w:sz="0" w:space="0" w:color="auto"/>
        <w:right w:val="none" w:sz="0" w:space="0" w:color="auto"/>
      </w:divBdr>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63l_g\Documents\Custom%20Office%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453C72-0AAE-4485-8A21-A6AEC8F616A9}">
  <ds:schemaRefs>
    <ds:schemaRef ds:uri="http://schemas.openxmlformats.org/officeDocument/2006/bibliography"/>
  </ds:schemaRefs>
</ds:datastoreItem>
</file>

<file path=customXml/itemProps2.xml><?xml version="1.0" encoding="utf-8"?>
<ds:datastoreItem xmlns:ds="http://schemas.openxmlformats.org/officeDocument/2006/customXml" ds:itemID="{03F1E6E4-5E90-48D2-BB66-437AD6622D3F}"/>
</file>

<file path=customXml/itemProps3.xml><?xml version="1.0" encoding="utf-8"?>
<ds:datastoreItem xmlns:ds="http://schemas.openxmlformats.org/officeDocument/2006/customXml" ds:itemID="{851D212F-70A0-4125-B9E3-660FBDCE831C}"/>
</file>

<file path=customXml/itemProps4.xml><?xml version="1.0" encoding="utf-8"?>
<ds:datastoreItem xmlns:ds="http://schemas.openxmlformats.org/officeDocument/2006/customXml" ds:itemID="{3B44D734-D3D4-4D10-A3EE-7FF0D08AF939}"/>
</file>

<file path=docProps/app.xml><?xml version="1.0" encoding="utf-8"?>
<Properties xmlns="http://schemas.openxmlformats.org/officeDocument/2006/extended-properties" xmlns:vt="http://schemas.openxmlformats.org/officeDocument/2006/docPropsVTypes">
  <Template>SCS_Resume_Template</Template>
  <TotalTime>0</TotalTime>
  <Pages>7</Pages>
  <Words>2673</Words>
  <Characters>17982</Characters>
  <Application>Microsoft Office Word</Application>
  <DocSecurity>0</DocSecurity>
  <Lines>321</Lines>
  <Paragraphs>151</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20504</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subject/>
  <dc:creator>Blake, Heather</dc:creator>
  <cp:keywords/>
  <dc:description/>
  <cp:lastModifiedBy>Blake, Heather</cp:lastModifiedBy>
  <cp:revision>2</cp:revision>
  <cp:lastPrinted>2018-07-23T13:51:00Z</cp:lastPrinted>
  <dcterms:created xsi:type="dcterms:W3CDTF">2023-02-15T20:42:00Z</dcterms:created>
  <dcterms:modified xsi:type="dcterms:W3CDTF">2023-02-15T20:42:00Z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2c87b90dacad26a11827554af176a238bb82cdca46b0fdf498d7403a5505cd78</vt:lpwstr>
  </property>
  <property fmtid="{D5CDD505-2E9C-101B-9397-08002B2CF9AE}" pid="3" name="ContentTypeId">
    <vt:lpwstr>0x01010049123141C7725848BF08037A7A7A178A</vt:lpwstr>
  </property>
</Properties>
</file>