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717" w:rsidRDefault="007D6717" w:rsidP="007D6717">
      <w:pPr>
        <w:pStyle w:val="ResumeHeading1"/>
      </w:pPr>
      <w:r>
        <w:rPr>
          <w:noProof/>
        </w:rPr>
        <w:drawing>
          <wp:anchor distT="0" distB="0" distL="0" distR="0" simplePos="0" relativeHeight="251659264" behindDoc="0" locked="0" layoutInCell="1" allowOverlap="1">
            <wp:simplePos x="0" y="0"/>
            <wp:positionH relativeFrom="page">
              <wp:posOffset>5848350</wp:posOffset>
            </wp:positionH>
            <wp:positionV relativeFrom="paragraph">
              <wp:posOffset>61620</wp:posOffset>
            </wp:positionV>
            <wp:extent cx="948689" cy="118871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948689" cy="1188719"/>
                    </a:xfrm>
                    <a:prstGeom prst="rect">
                      <a:avLst/>
                    </a:prstGeom>
                  </pic:spPr>
                </pic:pic>
              </a:graphicData>
            </a:graphic>
          </wp:anchor>
        </w:drawing>
      </w:r>
      <w:bookmarkStart w:id="0" w:name="DAVID_S._GREENE,_PE"/>
      <w:bookmarkEnd w:id="0"/>
      <w:r>
        <w:t>DAVID S. GREENE, PE</w:t>
      </w:r>
    </w:p>
    <w:p w:rsidR="007D6717" w:rsidRDefault="007D6717" w:rsidP="007D6717">
      <w:pPr>
        <w:pStyle w:val="ResumeHeading2"/>
      </w:pPr>
      <w:bookmarkStart w:id="1" w:name="Education"/>
      <w:bookmarkEnd w:id="1"/>
      <w:r>
        <w:t>Education</w:t>
      </w:r>
    </w:p>
    <w:p w:rsidR="007D6717" w:rsidRDefault="007D6717" w:rsidP="007D6717">
      <w:r>
        <w:t xml:space="preserve">MS – Environmental Engineering, University of Tennessee </w:t>
      </w:r>
      <w:r>
        <w:br/>
        <w:t>MBA – University of Tennessee</w:t>
      </w:r>
      <w:r>
        <w:br/>
        <w:t>BS – Industrial Engineering, University of Tennessee</w:t>
      </w:r>
    </w:p>
    <w:p w:rsidR="007D6717" w:rsidRDefault="007D6717" w:rsidP="007D6717">
      <w:pPr>
        <w:pStyle w:val="ResumeHeading2"/>
      </w:pPr>
      <w:bookmarkStart w:id="2" w:name="Professional_Licenses"/>
      <w:bookmarkEnd w:id="2"/>
      <w:r>
        <w:t>Professional Licenses</w:t>
      </w:r>
    </w:p>
    <w:p w:rsidR="007D6717" w:rsidRDefault="007D6717" w:rsidP="007D6717">
      <w:r>
        <w:t>Professional Engineer – North Carolina, South Carolina</w:t>
      </w:r>
    </w:p>
    <w:p w:rsidR="007D6717" w:rsidRDefault="007D6717" w:rsidP="007D6717">
      <w:pPr>
        <w:pStyle w:val="ResumeHeading2"/>
      </w:pPr>
      <w:bookmarkStart w:id="3" w:name="Professional_Affiliations"/>
      <w:bookmarkEnd w:id="3"/>
      <w:r>
        <w:t>Professional Affiliations</w:t>
      </w:r>
    </w:p>
    <w:p w:rsidR="007D6717" w:rsidRDefault="007D6717" w:rsidP="007D6717">
      <w:r>
        <w:t>Air and Waste Management Association (Chair, Waste Management Division)</w:t>
      </w:r>
    </w:p>
    <w:p w:rsidR="007D6717" w:rsidRDefault="007D6717" w:rsidP="007D6717">
      <w:pPr>
        <w:pStyle w:val="ResumeHeading2"/>
      </w:pPr>
      <w:bookmarkStart w:id="4" w:name="Professional_Experience"/>
      <w:bookmarkEnd w:id="4"/>
      <w:r>
        <w:t>Professional Experience</w:t>
      </w:r>
    </w:p>
    <w:p w:rsidR="007D6717" w:rsidRDefault="007D6717" w:rsidP="007D6717">
      <w:r w:rsidRPr="007D6717">
        <w:t>Mr.</w:t>
      </w:r>
      <w:r>
        <w:t xml:space="preserve"> Greene is a project manager with a variety of solid waste related envir</w:t>
      </w:r>
      <w:r w:rsidR="000B125B">
        <w:t xml:space="preserve">onmental engineering experience </w:t>
      </w:r>
      <w:r>
        <w:t xml:space="preserve">including air permitting, landfill gas, financial analysis, landfill due diligence efforts, regulatory development and analysis, compliance planning, greenhouse gas monitoring, emission inventory including emission factor development, SPCC and SWPPP development. Mr. Greene has consulted internationally in Southeast Asia focusing on the areas of training and evaluating the feasibility of LFG energy projects at solid waste disposal sites. Since joining SCS in 2009, he has completed numerous </w:t>
      </w:r>
      <w:proofErr w:type="gramStart"/>
      <w:r>
        <w:t>air</w:t>
      </w:r>
      <w:proofErr w:type="gramEnd"/>
      <w:r>
        <w:t xml:space="preserve"> permitting applications for landfills, environmental assessments, landfill due diligence projects, and other environmental study projects for municipal and private clients as well as the federal government.</w:t>
      </w:r>
      <w:r w:rsidR="000B125B">
        <w:t xml:space="preserve">  </w:t>
      </w:r>
      <w:r>
        <w:t>Notable project</w:t>
      </w:r>
      <w:r w:rsidR="000B125B">
        <w:t xml:space="preserve"> experience </w:t>
      </w:r>
      <w:r>
        <w:t xml:space="preserve">that Mr. Greene has </w:t>
      </w:r>
      <w:r w:rsidR="000B125B">
        <w:t>worked on include the following:</w:t>
      </w:r>
    </w:p>
    <w:p w:rsidR="007D6717" w:rsidRDefault="007D6717" w:rsidP="007D6717">
      <w:pPr>
        <w:pStyle w:val="ResumeHeading3"/>
      </w:pPr>
      <w:bookmarkStart w:id="5" w:name="Landfill_Air_Permitting_and_Compliance"/>
      <w:bookmarkEnd w:id="5"/>
      <w:r>
        <w:t>Landfill Air Permitting and Compliance</w:t>
      </w:r>
    </w:p>
    <w:p w:rsidR="00817810" w:rsidRDefault="00817810" w:rsidP="00817810">
      <w:r w:rsidRPr="007D6717">
        <w:rPr>
          <w:b/>
        </w:rPr>
        <w:t>New Hanover County Landfill, NC</w:t>
      </w:r>
      <w:r>
        <w:t>. Conducted feasibility study for energy development, performed air permitting, developed initial GCCS design plan, responded to state regulators on behalf of the Landfill, managed federal GHG reporting for Landfill, prepared air emissions inventory submittals.  Assisted with LFG planning including managing gas well installations and initial GCCS buildout. Developed planning scenarios for implementation for NSPS Subpart XXX requirements.</w:t>
      </w:r>
    </w:p>
    <w:p w:rsidR="00817810" w:rsidRDefault="00817810" w:rsidP="00817810">
      <w:r w:rsidRPr="007D6717">
        <w:rPr>
          <w:b/>
        </w:rPr>
        <w:t>LFG Feasibility Study, Wake County, NC</w:t>
      </w:r>
      <w:r>
        <w:t xml:space="preserve">. Developed financial </w:t>
      </w:r>
      <w:r>
        <w:rPr>
          <w:i/>
        </w:rPr>
        <w:t xml:space="preserve">pro forma </w:t>
      </w:r>
      <w:r>
        <w:t>analyses and energy option feasibility study for landfill gas to energy project. Responsibilities included investigating proximate industrial facilities for direct-use potential of landfill gas, obtaining steam and energy-use information for potential energy users. Further assisted County with evaluation of the technical component of a landfill gas developer agreement contract and examined various ownership options for the</w:t>
      </w:r>
      <w:r>
        <w:rPr>
          <w:spacing w:val="-29"/>
        </w:rPr>
        <w:t xml:space="preserve"> </w:t>
      </w:r>
      <w:r>
        <w:t>County</w:t>
      </w:r>
    </w:p>
    <w:p w:rsidR="00817810" w:rsidRDefault="00817810" w:rsidP="00817810">
      <w:r w:rsidRPr="007D6717">
        <w:rPr>
          <w:b/>
        </w:rPr>
        <w:t>Cumberland County Ann Street Landfill, NC</w:t>
      </w:r>
      <w:r>
        <w:t>. Assisted landfill planning and implementation for NSPS Subpart XXX requirements. Prepared emissions inventory submittal and federal greenhouse gas reporting for Landfill as well as developed planning scenarios for NSPS Subpart XXX</w:t>
      </w:r>
      <w:r>
        <w:rPr>
          <w:spacing w:val="-33"/>
        </w:rPr>
        <w:t xml:space="preserve"> </w:t>
      </w:r>
      <w:r>
        <w:t>requirements.</w:t>
      </w:r>
    </w:p>
    <w:p w:rsidR="00817810" w:rsidRDefault="00817810" w:rsidP="00817810">
      <w:r w:rsidRPr="007D6717">
        <w:rPr>
          <w:b/>
        </w:rPr>
        <w:t>Buncombe County Closed Landfill, NC</w:t>
      </w:r>
      <w:r>
        <w:t>. Air consulting for county-owned Landfill. Title V permitting renewal, prepared emissions inventories, managed federal greenhouse gas reporting for Landfill and semi-annual and annual compliance air reporting requirements.</w:t>
      </w:r>
    </w:p>
    <w:p w:rsidR="00817810" w:rsidRDefault="00817810" w:rsidP="00817810">
      <w:r w:rsidRPr="007D6717">
        <w:rPr>
          <w:b/>
        </w:rPr>
        <w:lastRenderedPageBreak/>
        <w:t>White Street Landfill, Greensboro, NC</w:t>
      </w:r>
      <w:r>
        <w:t>. Prepared air emissions inventories, federal greenhouse gas reporting, and regulatory determination for treatment systems for municipal site. Assisted in semi- annual reporting and annual certification statements.</w:t>
      </w:r>
    </w:p>
    <w:p w:rsidR="00817810" w:rsidRDefault="00817810" w:rsidP="00817810">
      <w:r w:rsidRPr="007D6717">
        <w:rPr>
          <w:b/>
        </w:rPr>
        <w:t>Waste Management, Great Oak, and Piedmont, NC, Hickory Hill, Oakridge, Palmetto, Richland County SC, Keene Road/</w:t>
      </w:r>
      <w:proofErr w:type="spellStart"/>
      <w:r w:rsidRPr="007D6717">
        <w:rPr>
          <w:b/>
        </w:rPr>
        <w:t>Visita</w:t>
      </w:r>
      <w:proofErr w:type="spellEnd"/>
      <w:r w:rsidRPr="007D6717">
        <w:rPr>
          <w:b/>
        </w:rPr>
        <w:t xml:space="preserve"> in FL, and R&amp;B Landfill in GA</w:t>
      </w:r>
      <w:r>
        <w:t>. Responsible for a variety of air permitting and air compliance activities. Experience includes air construction permitting of innovative landfill gas fired Leachate Evaporator systems at two landfill sites-including leading initial performance testing efforts, greenfield MSW landfill Title V permitting, and a variety of modifications, Tier 2 sampling/reporting, renewals, and regulatory reporting. Prepared permit applications for landfill gas fired engines, and the preparation of an NSPS exemption demonstration. Prepared a submittal a first-through PSD Title V permit for a C&amp;D landfill. Assisted Environmental Protection staff with implementation for NSPS Subpart XXX requirements. Additionally, prepared a Leachate Evaporator air permitting guidance document for use by Waste Management corporate offices.</w:t>
      </w:r>
    </w:p>
    <w:p w:rsidR="007D6717" w:rsidRDefault="007D6717" w:rsidP="007D6717">
      <w:r w:rsidRPr="007D6717">
        <w:rPr>
          <w:b/>
        </w:rPr>
        <w:t>Berkeley County Water and Sanitation Landfill, SC</w:t>
      </w:r>
      <w:r>
        <w:t>. Air consulting for county-owned Landfill. Title V permitting renewal and flare modification. Prepared emissions inventories, managed federal greenhouse gas reporting for Landfill and semi-annual air reporting requirements. Supervised Tier 2 NMOC sampling and testing activities under federal NSPS regulation.</w:t>
      </w:r>
    </w:p>
    <w:p w:rsidR="00817810" w:rsidRDefault="00817810" w:rsidP="00817810">
      <w:r w:rsidRPr="007D6717">
        <w:rPr>
          <w:b/>
        </w:rPr>
        <w:t xml:space="preserve">Greenville County, Twin Chimneys, </w:t>
      </w:r>
      <w:proofErr w:type="spellStart"/>
      <w:r w:rsidRPr="007D6717">
        <w:rPr>
          <w:b/>
        </w:rPr>
        <w:t>Enoree</w:t>
      </w:r>
      <w:proofErr w:type="spellEnd"/>
      <w:r w:rsidRPr="007D6717">
        <w:rPr>
          <w:b/>
        </w:rPr>
        <w:t xml:space="preserve"> Landfills, SC</w:t>
      </w:r>
      <w:r>
        <w:t xml:space="preserve">. Air consulting for Twin Chimneys Landfill including permitting, preparing air emissions inventories, federal greenhouse gas reporting, and regulatory determinations, and other reporting obligations. Assisted with leachate evaporator project. Prepared and submitted greenhouse gas reports for </w:t>
      </w:r>
      <w:proofErr w:type="spellStart"/>
      <w:r>
        <w:t>Enoree</w:t>
      </w:r>
      <w:proofErr w:type="spellEnd"/>
      <w:r>
        <w:t xml:space="preserve"> Landfill, a closed landfill owned by the County.</w:t>
      </w:r>
    </w:p>
    <w:p w:rsidR="00817810" w:rsidRPr="00233433" w:rsidRDefault="00817810" w:rsidP="00817810">
      <w:r w:rsidRPr="007D6717">
        <w:rPr>
          <w:b/>
        </w:rPr>
        <w:t>Lockhart Power Landfill Gas to Energy Projects, SC</w:t>
      </w:r>
      <w:r>
        <w:t>. Prepared Title V air permit applications for two separate landfill gas to energy projects utilizing engines to generate electricity for sale on the local grid. Other responsibilities included developing landfill gas sampling protocol, analyzing landfill gas and submitting test results to state regulatory agency for permitting purpose.</w:t>
      </w:r>
    </w:p>
    <w:p w:rsidR="007D6717" w:rsidRDefault="007D6717" w:rsidP="007D6717">
      <w:r w:rsidRPr="007D6717">
        <w:rPr>
          <w:b/>
        </w:rPr>
        <w:t>Three Rivers Solid Waste Authority Landfill, SC</w:t>
      </w:r>
      <w:r>
        <w:t xml:space="preserve">. Managed Title V permitting efforts. Prepared air emissions inventories, federal greenhouse gas reporting, and permitting and initial performance testing for an open flare. Assisted in semi-annual reporting and annual certification statements and in evaluating leachate evaporation treatment options, including a mechanical evaporation unit and air permitting for </w:t>
      </w:r>
      <w:proofErr w:type="gramStart"/>
      <w:r>
        <w:t>a</w:t>
      </w:r>
      <w:proofErr w:type="gramEnd"/>
      <w:r>
        <w:t xml:space="preserve"> LFG-fired leachate evaporator.</w:t>
      </w:r>
    </w:p>
    <w:p w:rsidR="007D6717" w:rsidRDefault="007D6717" w:rsidP="007D6717">
      <w:r w:rsidRPr="007D6717">
        <w:rPr>
          <w:b/>
        </w:rPr>
        <w:t>Republic Services, Upstate Landfill, SC</w:t>
      </w:r>
      <w:r>
        <w:t>. Air permitting of large disposal area expansion, NSPS Subpart XXX permitting, assembled and submitted GCCS design plan under Subpart XXX requirements, prepared air emissions inventories, federal greenhouse gas reporting, and regulatory determination for treatment systems. Supervised air dispersion modeling for site. Assisted in semi- annual reporting and annual certification statements.</w:t>
      </w:r>
    </w:p>
    <w:p w:rsidR="00817810" w:rsidRDefault="00817810" w:rsidP="00817810">
      <w:r w:rsidRPr="007D6717">
        <w:rPr>
          <w:b/>
        </w:rPr>
        <w:t>Republic Services, Foothills, NC</w:t>
      </w:r>
      <w:r>
        <w:t>. Managed Title V permitting efforts Prepared air emissions inventories, federal greenhouse gas reporting, and permitting and initial performance testing for an open flare. Assisted in semi-annual reporting and annual certification statements and in evaluating leachate treatment options.</w:t>
      </w:r>
    </w:p>
    <w:p w:rsidR="00817810" w:rsidRDefault="00817810" w:rsidP="007D6717">
      <w:r w:rsidRPr="007D6717">
        <w:rPr>
          <w:b/>
        </w:rPr>
        <w:t>Republic Services, Charlotte Motor Speedway Landfill, NC</w:t>
      </w:r>
      <w:r>
        <w:t>. Permitted enclosed flare, prepared air emissions inventories, federal greenhouse gas reporting, and regulatory determination for treatment systems. Assisted in semi-annual reporting and annual certification statements.</w:t>
      </w:r>
    </w:p>
    <w:p w:rsidR="00DB63E9" w:rsidRDefault="00DB63E9" w:rsidP="00DB63E9">
      <w:pPr>
        <w:rPr>
          <w:rFonts w:cs="Franklin Gothic Book"/>
          <w:szCs w:val="22"/>
        </w:rPr>
      </w:pPr>
      <w:r w:rsidRPr="00FC2120">
        <w:rPr>
          <w:rFonts w:cs="Franklin Gothic Book"/>
          <w:b/>
          <w:szCs w:val="22"/>
        </w:rPr>
        <w:lastRenderedPageBreak/>
        <w:t xml:space="preserve">Republic Services, </w:t>
      </w:r>
      <w:proofErr w:type="spellStart"/>
      <w:r w:rsidRPr="00FC2120">
        <w:rPr>
          <w:rFonts w:cs="Franklin Gothic Book"/>
          <w:b/>
          <w:szCs w:val="22"/>
        </w:rPr>
        <w:t>Uwharrie</w:t>
      </w:r>
      <w:proofErr w:type="spellEnd"/>
      <w:r>
        <w:rPr>
          <w:rFonts w:cs="Franklin Gothic Book"/>
          <w:szCs w:val="22"/>
        </w:rPr>
        <w:t xml:space="preserve">. Prepared air emissions inventories, federal greenhouse gas reporting, and permitting and initial performance testing for an enclosed flare, permitting of leachate treatment system. Assisted in semi-annual reporting and annual certification statements. Worked with site partner to permit LFGE facility beneficially utilizing gas from </w:t>
      </w:r>
      <w:proofErr w:type="spellStart"/>
      <w:r>
        <w:rPr>
          <w:rFonts w:cs="Franklin Gothic Book"/>
          <w:szCs w:val="22"/>
        </w:rPr>
        <w:t>Uwharrie</w:t>
      </w:r>
      <w:proofErr w:type="spellEnd"/>
      <w:r>
        <w:rPr>
          <w:rFonts w:cs="Franklin Gothic Book"/>
          <w:szCs w:val="22"/>
        </w:rPr>
        <w:t xml:space="preserve"> Landfill. </w:t>
      </w:r>
    </w:p>
    <w:p w:rsidR="00DB63E9" w:rsidRDefault="00DB63E9" w:rsidP="00DB63E9">
      <w:pPr>
        <w:rPr>
          <w:rFonts w:cs="Franklin Gothic Book"/>
          <w:szCs w:val="22"/>
        </w:rPr>
      </w:pPr>
      <w:r w:rsidRPr="00FC2120">
        <w:rPr>
          <w:rFonts w:cs="Franklin Gothic Book"/>
          <w:b/>
          <w:szCs w:val="22"/>
        </w:rPr>
        <w:t>Republic Services, Upper Piedmont, NC</w:t>
      </w:r>
      <w:r>
        <w:rPr>
          <w:rFonts w:cs="Franklin Gothic Book"/>
          <w:szCs w:val="22"/>
        </w:rPr>
        <w:t xml:space="preserve">. Permitted new flare, prepared and submitted Air Emissions Inventories for facility, federal greenhouse gas </w:t>
      </w:r>
      <w:r>
        <w:rPr>
          <w:rFonts w:cs="Franklin Gothic Book"/>
          <w:szCs w:val="22"/>
        </w:rPr>
        <w:t>reporting,</w:t>
      </w:r>
      <w:r>
        <w:rPr>
          <w:rFonts w:cs="Franklin Gothic Book"/>
          <w:szCs w:val="22"/>
        </w:rPr>
        <w:t xml:space="preserve"> Other activities included Title V compliance certification efforts. </w:t>
      </w:r>
    </w:p>
    <w:p w:rsidR="00DB63E9" w:rsidRDefault="00DB63E9" w:rsidP="00DB63E9">
      <w:pPr>
        <w:rPr>
          <w:rFonts w:cs="Franklin Gothic Book"/>
          <w:szCs w:val="22"/>
        </w:rPr>
      </w:pPr>
      <w:r w:rsidRPr="00FC2120">
        <w:rPr>
          <w:rFonts w:cs="Franklin Gothic Book"/>
          <w:b/>
          <w:szCs w:val="22"/>
        </w:rPr>
        <w:t>Republic Services, East Carolina, NC</w:t>
      </w:r>
      <w:r>
        <w:rPr>
          <w:rFonts w:cs="Franklin Gothic Book"/>
          <w:szCs w:val="22"/>
        </w:rPr>
        <w:t xml:space="preserve">. Prepared and submitted Air Emissions Inventories for facility, federal greenhouse gas reporting, permitting expanded flare capacity Other activities included Title V compliance certification efforts. </w:t>
      </w:r>
    </w:p>
    <w:p w:rsidR="00DB63E9" w:rsidRDefault="00DB63E9" w:rsidP="00DB63E9">
      <w:pPr>
        <w:rPr>
          <w:rFonts w:cs="Franklin Gothic Book"/>
          <w:szCs w:val="22"/>
        </w:rPr>
      </w:pPr>
      <w:r w:rsidRPr="00FC2120">
        <w:rPr>
          <w:rFonts w:cs="Franklin Gothic Book"/>
          <w:b/>
          <w:szCs w:val="22"/>
        </w:rPr>
        <w:t>Republic Services, Twin Oaks, TN</w:t>
      </w:r>
      <w:r>
        <w:rPr>
          <w:rFonts w:cs="Franklin Gothic Book"/>
          <w:szCs w:val="22"/>
        </w:rPr>
        <w:t xml:space="preserve">. Prepared permitting documents, air emissions inventories, assisted with responses to local regulator regarding air compliance. </w:t>
      </w:r>
    </w:p>
    <w:p w:rsidR="00DB63E9" w:rsidRDefault="00DB63E9" w:rsidP="00DB63E9">
      <w:pPr>
        <w:rPr>
          <w:szCs w:val="22"/>
        </w:rPr>
      </w:pPr>
      <w:r w:rsidRPr="00FC2120">
        <w:rPr>
          <w:rFonts w:cs="Franklin Gothic Book"/>
          <w:b/>
          <w:szCs w:val="22"/>
        </w:rPr>
        <w:t>Element Markets Landfill Gas to Energy Project, NC</w:t>
      </w:r>
      <w:r>
        <w:rPr>
          <w:rFonts w:cs="Franklin Gothic Book"/>
          <w:szCs w:val="22"/>
        </w:rPr>
        <w:t xml:space="preserve">. Prepared Title V air permit applications for landfill gas to energy projects utilizing </w:t>
      </w:r>
      <w:r>
        <w:rPr>
          <w:rFonts w:cs="Franklin Gothic Book"/>
          <w:szCs w:val="22"/>
        </w:rPr>
        <w:t>engines</w:t>
      </w:r>
      <w:bookmarkStart w:id="6" w:name="_GoBack"/>
      <w:bookmarkEnd w:id="6"/>
      <w:r>
        <w:rPr>
          <w:rFonts w:cs="Franklin Gothic Book"/>
          <w:szCs w:val="22"/>
        </w:rPr>
        <w:t xml:space="preserve"> to generate electricity for sale on the local grid. </w:t>
      </w:r>
    </w:p>
    <w:p w:rsidR="00DB63E9" w:rsidRDefault="00DB63E9" w:rsidP="00DB63E9">
      <w:pPr>
        <w:rPr>
          <w:rFonts w:cs="Franklin Gothic Book"/>
          <w:szCs w:val="22"/>
        </w:rPr>
      </w:pPr>
      <w:r w:rsidRPr="00FC2120">
        <w:rPr>
          <w:rFonts w:cs="Franklin Gothic Book"/>
          <w:b/>
          <w:szCs w:val="22"/>
        </w:rPr>
        <w:t xml:space="preserve">UGI Energy Services Landfill Gas to Energy Project, </w:t>
      </w:r>
      <w:proofErr w:type="spellStart"/>
      <w:r w:rsidRPr="00FC2120">
        <w:rPr>
          <w:rFonts w:cs="Franklin Gothic Book"/>
          <w:b/>
          <w:szCs w:val="22"/>
        </w:rPr>
        <w:t>Hegins</w:t>
      </w:r>
      <w:proofErr w:type="spellEnd"/>
      <w:r w:rsidRPr="00FC2120">
        <w:rPr>
          <w:rFonts w:cs="Franklin Gothic Book"/>
          <w:b/>
          <w:szCs w:val="22"/>
        </w:rPr>
        <w:t>, PA</w:t>
      </w:r>
      <w:r>
        <w:rPr>
          <w:rFonts w:cs="Franklin Gothic Book"/>
          <w:szCs w:val="22"/>
        </w:rPr>
        <w:t xml:space="preserve">. Prepared Title V permit application and Startup, Shutdown, Malfunction (SSM) Plan for a Turbine-based landfill gas to energy project; worked with project officials and regulators. Prepared Title V renewal for the site </w:t>
      </w:r>
    </w:p>
    <w:p w:rsidR="00DB63E9" w:rsidRDefault="00DB63E9" w:rsidP="00DB63E9">
      <w:pPr>
        <w:pStyle w:val="ResumeHeading3"/>
      </w:pPr>
      <w:r>
        <w:t xml:space="preserve">Additional Landfill Experience </w:t>
      </w:r>
    </w:p>
    <w:p w:rsidR="00DB63E9" w:rsidRDefault="00DB63E9" w:rsidP="00DB63E9">
      <w:r w:rsidRPr="00FC2120">
        <w:rPr>
          <w:b/>
        </w:rPr>
        <w:t>International Finance Corporation</w:t>
      </w:r>
      <w:r>
        <w:t xml:space="preserve">. Conducted landfill and market due diligence as technical mission participant for a municipal solid waste landfill project in Southeast Asia. Activities included landfill gas projection evaluation, solid waste market evaluation, electric sales assessment, and assessment of the technical component of waste delivery contract. Worked closely with IFC team and landfill owner and met with local environmental and solid waste officials. </w:t>
      </w:r>
    </w:p>
    <w:p w:rsidR="00DB63E9" w:rsidRDefault="00DB63E9" w:rsidP="00DB63E9">
      <w:r w:rsidRPr="00FC2120">
        <w:rPr>
          <w:b/>
        </w:rPr>
        <w:t>Confidential Client, US</w:t>
      </w:r>
      <w:r>
        <w:t xml:space="preserve">. Conducted landfill environmental and operational due diligence for three municipal solid waste landfills projects. Investigation included records review, site visits, mobile equipment court, and evaluation of potential environmental liabilities. </w:t>
      </w:r>
    </w:p>
    <w:p w:rsidR="00DB63E9" w:rsidRDefault="00DB63E9" w:rsidP="00DB63E9">
      <w:r w:rsidRPr="00FC2120">
        <w:rPr>
          <w:b/>
        </w:rPr>
        <w:t>U.S. Environmental Protection Agency, Landfill Methane Outreach Program (LMOP) – Global Methane Initiative (GMI) and Climate and Clean Air Coalition (CCAC)</w:t>
      </w:r>
      <w:r>
        <w:t xml:space="preserve">. Served as GMI Landfill Sector Country contractor manager for Indonesia and CCAC contractor manager for Jakarta. Facilitated meetings with government officials and private parties to gain understanding of solid waste sector in Indonesia, organizational dynamics impacting landfill energy development, and other factors impacting GMI success in the country. Managed Indonesian subcontractors and managed and delivered technical landfill maintenance and operations workshop targeted to landfill operators. Visited numerous landfill sites in Indonesia including landfill-gas-to-energy projects. </w:t>
      </w:r>
    </w:p>
    <w:p w:rsidR="00DB63E9" w:rsidRDefault="00DB63E9" w:rsidP="00DB63E9">
      <w:pPr>
        <w:rPr>
          <w:rFonts w:cs="Franklin Gothic Book"/>
          <w:szCs w:val="22"/>
        </w:rPr>
      </w:pPr>
      <w:r w:rsidRPr="00FC2120">
        <w:rPr>
          <w:b/>
        </w:rPr>
        <w:t>U.S. Environmental Protection Agency, Landfill Methane Outreach Program (LMOP) – Additional Projects</w:t>
      </w:r>
      <w:r>
        <w:t>. Provided support for domestic (U.S.) and international outreach activities. Assisted with international feasibility studies for potential landfill gas energy projects landfill gas modeling, assisted the development of domestic fact sheets for greenhouse gas markets overview and High-</w:t>
      </w:r>
      <w:r>
        <w:rPr>
          <w:rFonts w:cs="Franklin Gothic Book"/>
          <w:szCs w:val="22"/>
        </w:rPr>
        <w:t xml:space="preserve">BTU project descriptions. Developed tools and conducted financial </w:t>
      </w:r>
      <w:r>
        <w:rPr>
          <w:rFonts w:cs="Franklin Gothic Book"/>
          <w:i/>
          <w:iCs/>
          <w:szCs w:val="22"/>
        </w:rPr>
        <w:t xml:space="preserve">pro forma </w:t>
      </w:r>
      <w:r>
        <w:rPr>
          <w:rFonts w:cs="Franklin Gothic Book"/>
          <w:szCs w:val="22"/>
        </w:rPr>
        <w:t xml:space="preserve">analysis for an LFGE project in Brazil. </w:t>
      </w:r>
    </w:p>
    <w:p w:rsidR="00DB63E9" w:rsidRDefault="00DB63E9" w:rsidP="00DB63E9">
      <w:pPr>
        <w:pStyle w:val="ResumeHeading3"/>
      </w:pPr>
      <w:r>
        <w:lastRenderedPageBreak/>
        <w:t xml:space="preserve">Industrial Experience </w:t>
      </w:r>
    </w:p>
    <w:p w:rsidR="00DB63E9" w:rsidRDefault="00DB63E9" w:rsidP="00DB63E9">
      <w:r w:rsidRPr="00FC2120">
        <w:rPr>
          <w:b/>
        </w:rPr>
        <w:t>Mercury Paper, VA</w:t>
      </w:r>
      <w:r>
        <w:t xml:space="preserve">. Provided support in developing particulate matter (PM) emissions estimates for production line as well as permitting and impact analysis in a paper converting facility. Assistance included designing and supervising dust collection study which included analysis of filtered material. </w:t>
      </w:r>
    </w:p>
    <w:p w:rsidR="00DB63E9" w:rsidRDefault="00DB63E9" w:rsidP="00DB63E9">
      <w:r w:rsidRPr="00FC2120">
        <w:rPr>
          <w:b/>
        </w:rPr>
        <w:t>Fumigation Industry NC, NJ, SC, GA, TN</w:t>
      </w:r>
      <w:r>
        <w:t xml:space="preserve">. Assisted providers of fumigation services for commodities involved in exporting or importing in locations from NJ, NC, SC and GA. Activities included examining air permitting requirements for various locations, estimating emissions from fumigation activities and in discussions with state regulators regarding air permitting of fumigation facilities. </w:t>
      </w:r>
    </w:p>
    <w:p w:rsidR="00DB63E9" w:rsidRDefault="00DB63E9" w:rsidP="00DB63E9">
      <w:r w:rsidRPr="00FC2120">
        <w:rPr>
          <w:b/>
        </w:rPr>
        <w:t>Scotts Miracle-Gro, SC</w:t>
      </w:r>
      <w:r>
        <w:t xml:space="preserve">. Assisted with emissions estimates and site review. </w:t>
      </w:r>
    </w:p>
    <w:p w:rsidR="00DB63E9" w:rsidRDefault="00DB63E9" w:rsidP="00DB63E9">
      <w:r w:rsidRPr="00FC2120">
        <w:rPr>
          <w:b/>
        </w:rPr>
        <w:t>Strategic Material Incorporated, NC</w:t>
      </w:r>
      <w:r>
        <w:t xml:space="preserve">. Conducted environmental due diligence for asset purchase, and follow-up air regulatory assistance </w:t>
      </w:r>
    </w:p>
    <w:p w:rsidR="00DB63E9" w:rsidRDefault="00DB63E9" w:rsidP="00DB63E9">
      <w:r w:rsidRPr="00FC2120">
        <w:rPr>
          <w:b/>
        </w:rPr>
        <w:t>Schweitzer Engineering Laboratories, Pullman, WA</w:t>
      </w:r>
      <w:r>
        <w:t xml:space="preserve">. Assisted manufacturing facility with an urgent, regulatory-driven feasibility study and equipment selection of VOC emission control system for process lines. </w:t>
      </w:r>
    </w:p>
    <w:p w:rsidR="00DB63E9" w:rsidRDefault="00DB63E9" w:rsidP="00DB63E9">
      <w:r w:rsidRPr="00FC2120">
        <w:rPr>
          <w:b/>
        </w:rPr>
        <w:t>Lockhart Power, SC</w:t>
      </w:r>
      <w:r>
        <w:t xml:space="preserve">. Prepared Spill Prevention Control and Countermeasures (SPCC) plans for variety of facilities, including two hydroelectric dams and two diesel peak electric power generation stations. </w:t>
      </w:r>
    </w:p>
    <w:p w:rsidR="00DB63E9" w:rsidRDefault="00DB63E9" w:rsidP="00DB63E9">
      <w:r w:rsidRPr="00FC2120">
        <w:rPr>
          <w:b/>
        </w:rPr>
        <w:t>Evergreen Packaging-Blue Ridge Paper Products, Canton, NC</w:t>
      </w:r>
      <w:r>
        <w:t xml:space="preserve">. Environmental Projects and Compliance Engineer. Supported daily evaluation of mill operations (pulping and bleaching processes, chemical recovery processes, and boiler operations) in order to maintain compliance with applicable federal, State, and local emission standards. SPCC certification responsibilities. Managed external contract to develop site-specific GHG emissions attributable to Industrial Landfill. Responsible for the creation and assembly of corporate-wide greenhouse gas inventory. Contributed to the development of air toxics modeling submittal which required investigation, review, and verification of over 1,000 data points and the interpreted relevant state regulations. Coordinated with mill personnel to improve efficiency and minimize air emissions and other environmental aspects. Responsible for mill Environmental Management System (EMS) and the delivery of environmental awareness for mill employees. Familiar with Kraft pulping processes and applicable environmental requirements at pulp and paper mills. </w:t>
      </w:r>
    </w:p>
    <w:p w:rsidR="00DB63E9" w:rsidRDefault="00DB63E9" w:rsidP="00DB63E9">
      <w:r w:rsidRPr="00FC2120">
        <w:rPr>
          <w:b/>
        </w:rPr>
        <w:t>Tennessee Valley Authority. Manger Bondholder Relations</w:t>
      </w:r>
      <w:r>
        <w:t xml:space="preserve">. Responsible for ensuring effective communication with bondholders and related parties including institutional and individual investors and financial analysts. Coordinated all activities with corporate Treasury department managing approximately $25B in debt. Experience includes authoring press releases and international road-shows. Regularly communicated with senior executives. Experience in international business travel. Familiar with electric utility industry from technical and economic perspectives including issues involving grid supply. </w:t>
      </w:r>
    </w:p>
    <w:p w:rsidR="00DB63E9" w:rsidRDefault="00DB63E9" w:rsidP="007D6717"/>
    <w:sectPr w:rsidR="00DB63E9"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7D6717">
      <w:t>Greene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82114C">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B0832E"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457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4CDC"/>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125B"/>
    <w:rsid w:val="000B3107"/>
    <w:rsid w:val="000B47A1"/>
    <w:rsid w:val="000C0073"/>
    <w:rsid w:val="000C0CEA"/>
    <w:rsid w:val="000C310C"/>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16FC5"/>
    <w:rsid w:val="00120C3C"/>
    <w:rsid w:val="0012239F"/>
    <w:rsid w:val="00123670"/>
    <w:rsid w:val="00125957"/>
    <w:rsid w:val="00126494"/>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187C"/>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295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0413"/>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075E"/>
    <w:rsid w:val="003611B0"/>
    <w:rsid w:val="00362EBD"/>
    <w:rsid w:val="00365E3C"/>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4D9A"/>
    <w:rsid w:val="00406DF6"/>
    <w:rsid w:val="00407EE9"/>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2E8C"/>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717"/>
    <w:rsid w:val="007D6C91"/>
    <w:rsid w:val="007D7224"/>
    <w:rsid w:val="007D7D36"/>
    <w:rsid w:val="007E0C6A"/>
    <w:rsid w:val="007E58D8"/>
    <w:rsid w:val="007F2147"/>
    <w:rsid w:val="007F4D6C"/>
    <w:rsid w:val="007F5A37"/>
    <w:rsid w:val="007F7A4E"/>
    <w:rsid w:val="00803AD7"/>
    <w:rsid w:val="00803F2A"/>
    <w:rsid w:val="0080408E"/>
    <w:rsid w:val="00804AA7"/>
    <w:rsid w:val="008052F3"/>
    <w:rsid w:val="00806959"/>
    <w:rsid w:val="00806CA2"/>
    <w:rsid w:val="008106E5"/>
    <w:rsid w:val="00814CE6"/>
    <w:rsid w:val="00815517"/>
    <w:rsid w:val="008163BD"/>
    <w:rsid w:val="008173D9"/>
    <w:rsid w:val="00817810"/>
    <w:rsid w:val="00820D54"/>
    <w:rsid w:val="0082114C"/>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2B3F"/>
    <w:rsid w:val="008733D9"/>
    <w:rsid w:val="00873CA7"/>
    <w:rsid w:val="00874429"/>
    <w:rsid w:val="00876A3A"/>
    <w:rsid w:val="00876FE6"/>
    <w:rsid w:val="00883F61"/>
    <w:rsid w:val="00884B0F"/>
    <w:rsid w:val="008854C9"/>
    <w:rsid w:val="0088764A"/>
    <w:rsid w:val="00890DCA"/>
    <w:rsid w:val="00890EC1"/>
    <w:rsid w:val="008939B8"/>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5F5B"/>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2B07"/>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569"/>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7F37"/>
    <w:rsid w:val="00BB0E20"/>
    <w:rsid w:val="00BB2407"/>
    <w:rsid w:val="00BB7E87"/>
    <w:rsid w:val="00BC0681"/>
    <w:rsid w:val="00BC0E47"/>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6DF1"/>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47BD"/>
    <w:rsid w:val="00C67D06"/>
    <w:rsid w:val="00C704CF"/>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569"/>
    <w:rsid w:val="00CE7E30"/>
    <w:rsid w:val="00CF4C9E"/>
    <w:rsid w:val="00CF5C09"/>
    <w:rsid w:val="00CF64EC"/>
    <w:rsid w:val="00D01688"/>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86944"/>
    <w:rsid w:val="00D91C8D"/>
    <w:rsid w:val="00D9505F"/>
    <w:rsid w:val="00D961BC"/>
    <w:rsid w:val="00D969BD"/>
    <w:rsid w:val="00D97F0F"/>
    <w:rsid w:val="00DA11EE"/>
    <w:rsid w:val="00DA145B"/>
    <w:rsid w:val="00DA32DB"/>
    <w:rsid w:val="00DA3F55"/>
    <w:rsid w:val="00DA5AD4"/>
    <w:rsid w:val="00DA717E"/>
    <w:rsid w:val="00DA799B"/>
    <w:rsid w:val="00DB20B7"/>
    <w:rsid w:val="00DB44D6"/>
    <w:rsid w:val="00DB63E9"/>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0BE1"/>
    <w:rsid w:val="00EA411B"/>
    <w:rsid w:val="00EA476F"/>
    <w:rsid w:val="00EB0654"/>
    <w:rsid w:val="00EB105A"/>
    <w:rsid w:val="00EB41E8"/>
    <w:rsid w:val="00EB4DC7"/>
    <w:rsid w:val="00EB51EF"/>
    <w:rsid w:val="00EB5626"/>
    <w:rsid w:val="00EB663F"/>
    <w:rsid w:val="00EB6BB9"/>
    <w:rsid w:val="00EB77C0"/>
    <w:rsid w:val="00EC189C"/>
    <w:rsid w:val="00EC616E"/>
    <w:rsid w:val="00EC62E2"/>
    <w:rsid w:val="00ED0438"/>
    <w:rsid w:val="00ED33DD"/>
    <w:rsid w:val="00ED4270"/>
    <w:rsid w:val="00ED4E82"/>
    <w:rsid w:val="00ED53CD"/>
    <w:rsid w:val="00ED6AE6"/>
    <w:rsid w:val="00ED7498"/>
    <w:rsid w:val="00EE08B8"/>
    <w:rsid w:val="00EE1AD2"/>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48A"/>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5CF7"/>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cec896,#eaefdb,#5f8f8d,#090,#690,#69f,#36c,#369"/>
    </o:shapedefaults>
    <o:shapelayout v:ext="edit">
      <o:idmap v:ext="edit" data="1"/>
    </o:shapelayout>
  </w:shapeDefaults>
  <w:decimalSymbol w:val="."/>
  <w:listSeparator w:val=","/>
  <w14:docId w14:val="4CA6B460"/>
  <w15:docId w15:val="{BEF92C4D-FB6B-4BC7-B85B-3FF7A802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0F4E46"/>
    <w:pPr>
      <w:spacing w:after="240"/>
    </w:pPr>
    <w:rPr>
      <w:rFonts w:ascii="Franklin Gothic Book" w:hAnsi="Franklin Gothic Book"/>
      <w:sz w:val="22"/>
    </w:rPr>
  </w:style>
  <w:style w:type="paragraph" w:styleId="Heading1">
    <w:name w:val="heading 1"/>
    <w:next w:val="Normal"/>
    <w:link w:val="Heading1Char"/>
    <w:uiPriority w:val="1"/>
    <w:qFormat/>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uiPriority w:val="1"/>
    <w:qFormat/>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qFormat/>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872B3F"/>
    <w:pPr>
      <w:tabs>
        <w:tab w:val="left" w:pos="720"/>
      </w:tabs>
      <w:spacing w:after="40"/>
      <w:ind w:left="720" w:hanging="720"/>
    </w:pPr>
  </w:style>
  <w:style w:type="character" w:customStyle="1" w:styleId="SCSTextChar">
    <w:name w:val="SCS Text Char"/>
    <w:link w:val="SCSText"/>
    <w:rsid w:val="00FE5CF7"/>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DE3E1-7A91-485E-AD44-9D8AF4C05D26}">
  <ds:schemaRefs>
    <ds:schemaRef ds:uri="http://schemas.openxmlformats.org/officeDocument/2006/bibliography"/>
  </ds:schemaRefs>
</ds:datastoreItem>
</file>

<file path=customXml/itemProps2.xml><?xml version="1.0" encoding="utf-8"?>
<ds:datastoreItem xmlns:ds="http://schemas.openxmlformats.org/officeDocument/2006/customXml" ds:itemID="{8F508566-4901-44E5-A0A7-F98D5E283768}"/>
</file>

<file path=customXml/itemProps3.xml><?xml version="1.0" encoding="utf-8"?>
<ds:datastoreItem xmlns:ds="http://schemas.openxmlformats.org/officeDocument/2006/customXml" ds:itemID="{5EEA9791-1960-4704-8CAF-13169CBCCE79}"/>
</file>

<file path=customXml/itemProps4.xml><?xml version="1.0" encoding="utf-8"?>
<ds:datastoreItem xmlns:ds="http://schemas.openxmlformats.org/officeDocument/2006/customXml" ds:itemID="{13D19937-7B54-4F06-B232-014CF77FBC3E}"/>
</file>

<file path=docProps/app.xml><?xml version="1.0" encoding="utf-8"?>
<Properties xmlns="http://schemas.openxmlformats.org/officeDocument/2006/extended-properties" xmlns:vt="http://schemas.openxmlformats.org/officeDocument/2006/docPropsVTypes">
  <Template>Normal</Template>
  <TotalTime>0</TotalTime>
  <Pages>4</Pages>
  <Words>1701</Words>
  <Characters>11526</Characters>
  <Application>Microsoft Office Word</Application>
  <DocSecurity>0</DocSecurity>
  <Lines>160</Lines>
  <Paragraphs>52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13175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2022-02-16T14:52:00Z</cp:lastPrinted>
  <dcterms:created xsi:type="dcterms:W3CDTF">2023-02-15T17:45:00Z</dcterms:created>
  <dcterms:modified xsi:type="dcterms:W3CDTF">2023-02-15T17:45:00Z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085dab29dff2d8f8634b4ae14d30e735660c0f37ee90dbcdaccac9b766e73667</vt:lpwstr>
  </property>
  <property fmtid="{D5CDD505-2E9C-101B-9397-08002B2CF9AE}" pid="3" name="ContentTypeId">
    <vt:lpwstr>0x01010049123141C7725848BF08037A7A7A178A</vt:lpwstr>
  </property>
</Properties>
</file>