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27B84" w14:textId="561B0D8A" w:rsidR="00B20CDD" w:rsidRPr="00FF46EC" w:rsidRDefault="00DC388F" w:rsidP="00723489">
      <w:pPr>
        <w:pStyle w:val="Heading2"/>
        <w:spacing w:after="240"/>
      </w:pPr>
      <w:r>
        <w:rPr>
          <w:noProof/>
        </w:rPr>
        <w:drawing>
          <wp:anchor distT="0" distB="0" distL="114300" distR="114300" simplePos="0" relativeHeight="251659264" behindDoc="0" locked="0" layoutInCell="1" allowOverlap="1" wp14:anchorId="66FF2EA6" wp14:editId="66E33EF2">
            <wp:simplePos x="0" y="0"/>
            <wp:positionH relativeFrom="margin">
              <wp:align>right</wp:align>
            </wp:positionH>
            <wp:positionV relativeFrom="paragraph">
              <wp:posOffset>-235</wp:posOffset>
            </wp:positionV>
            <wp:extent cx="1412240" cy="1412240"/>
            <wp:effectExtent l="0" t="0" r="0" b="0"/>
            <wp:wrapNone/>
            <wp:docPr id="436841025"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1025" name="Picture 1" descr="A close-up of a person smil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2240" cy="1412240"/>
                    </a:xfrm>
                    <a:prstGeom prst="rect">
                      <a:avLst/>
                    </a:prstGeom>
                  </pic:spPr>
                </pic:pic>
              </a:graphicData>
            </a:graphic>
            <wp14:sizeRelH relativeFrom="margin">
              <wp14:pctWidth>0</wp14:pctWidth>
            </wp14:sizeRelH>
            <wp14:sizeRelV relativeFrom="margin">
              <wp14:pctHeight>0</wp14:pctHeight>
            </wp14:sizeRelV>
          </wp:anchor>
        </w:drawing>
      </w:r>
      <w:r w:rsidR="00453C7B">
        <w:rPr>
          <w:b w:val="0"/>
        </w:rPr>
        <w:t>Julia M. Hunter</w:t>
      </w:r>
    </w:p>
    <w:p w14:paraId="74D93238" w14:textId="03FB2DDC" w:rsidR="00233433" w:rsidRPr="00723489" w:rsidRDefault="00233433" w:rsidP="00723489">
      <w:pPr>
        <w:pStyle w:val="Heading3"/>
        <w:spacing w:after="240"/>
        <w:rPr>
          <w:b/>
          <w:color w:val="235E9F"/>
          <w:sz w:val="24"/>
        </w:rPr>
      </w:pPr>
      <w:r w:rsidRPr="00723489">
        <w:rPr>
          <w:b/>
          <w:color w:val="235E9F"/>
          <w:sz w:val="24"/>
        </w:rPr>
        <w:t>Education</w:t>
      </w:r>
    </w:p>
    <w:p w14:paraId="1F96A655" w14:textId="77777777" w:rsidR="00453C7B" w:rsidRPr="00233433" w:rsidRDefault="00453C7B" w:rsidP="00453C7B">
      <w:pPr>
        <w:spacing w:after="0"/>
      </w:pPr>
      <w:bookmarkStart w:id="0" w:name="_Toc154490600"/>
      <w:bookmarkStart w:id="1" w:name="_Toc154491277"/>
      <w:bookmarkStart w:id="2" w:name="_Toc154491407"/>
      <w:r w:rsidRPr="00233433">
        <w:t>M</w:t>
      </w:r>
      <w:r>
        <w:t>Sc</w:t>
      </w:r>
      <w:r w:rsidRPr="00233433">
        <w:t xml:space="preserve"> – </w:t>
      </w:r>
      <w:r>
        <w:t>Environmental Geoscience, Saint Louis University, 2018</w:t>
      </w:r>
    </w:p>
    <w:p w14:paraId="7177D44E" w14:textId="77777777" w:rsidR="00453C7B" w:rsidRDefault="00453C7B" w:rsidP="00453C7B">
      <w:pPr>
        <w:spacing w:after="0"/>
      </w:pPr>
      <w:r w:rsidRPr="00233433">
        <w:t>B</w:t>
      </w:r>
      <w:r>
        <w:t>Sc</w:t>
      </w:r>
      <w:r w:rsidRPr="00233433">
        <w:t xml:space="preserve"> – </w:t>
      </w:r>
      <w:r>
        <w:t>Environmental Studies and Geography, Florida State University, 2014</w:t>
      </w:r>
    </w:p>
    <w:p w14:paraId="3F415494" w14:textId="77777777" w:rsidR="00233433" w:rsidRPr="00233433" w:rsidRDefault="00233433" w:rsidP="00233433"/>
    <w:p w14:paraId="485686A9" w14:textId="77777777" w:rsidR="00233433" w:rsidRPr="00723489" w:rsidRDefault="00233433" w:rsidP="00723489">
      <w:pPr>
        <w:pStyle w:val="Heading3"/>
        <w:spacing w:after="240"/>
        <w:rPr>
          <w:b/>
          <w:color w:val="235E9F"/>
          <w:sz w:val="24"/>
        </w:rPr>
      </w:pPr>
      <w:r w:rsidRPr="00723489">
        <w:rPr>
          <w:b/>
          <w:color w:val="235E9F"/>
          <w:sz w:val="24"/>
        </w:rPr>
        <w:t>Professional License</w:t>
      </w:r>
      <w:bookmarkEnd w:id="0"/>
      <w:bookmarkEnd w:id="1"/>
      <w:bookmarkEnd w:id="2"/>
      <w:r w:rsidRPr="00723489">
        <w:rPr>
          <w:b/>
          <w:color w:val="235E9F"/>
          <w:sz w:val="24"/>
        </w:rPr>
        <w:t>s</w:t>
      </w:r>
    </w:p>
    <w:p w14:paraId="2A936C5A" w14:textId="77777777" w:rsidR="00453C7B" w:rsidRPr="00233433" w:rsidRDefault="00453C7B" w:rsidP="00453C7B">
      <w:pPr>
        <w:spacing w:after="0"/>
      </w:pPr>
      <w:bookmarkStart w:id="3" w:name="_Toc154490601"/>
      <w:bookmarkStart w:id="4" w:name="_Toc154491278"/>
      <w:bookmarkStart w:id="5" w:name="_Toc154491408"/>
      <w:r>
        <w:t xml:space="preserve">NREP </w:t>
      </w:r>
      <w:r w:rsidRPr="00281106">
        <w:t>Registered Environmental Professional</w:t>
      </w:r>
      <w:r>
        <w:t xml:space="preserve"> – </w:t>
      </w:r>
      <w:r w:rsidRPr="00281106">
        <w:t>18238029924240408</w:t>
      </w:r>
      <w:r>
        <w:t xml:space="preserve"> </w:t>
      </w:r>
    </w:p>
    <w:p w14:paraId="48574BCA" w14:textId="77777777" w:rsidR="00233433" w:rsidRPr="00233433" w:rsidRDefault="00233433" w:rsidP="00233433"/>
    <w:p w14:paraId="5803603E" w14:textId="77777777" w:rsidR="00233433" w:rsidRPr="00723489" w:rsidRDefault="00233433" w:rsidP="00723489">
      <w:pPr>
        <w:pStyle w:val="Heading3"/>
        <w:spacing w:after="240"/>
        <w:rPr>
          <w:b/>
          <w:color w:val="235E9F"/>
          <w:sz w:val="24"/>
        </w:rPr>
      </w:pPr>
      <w:r w:rsidRPr="00723489">
        <w:rPr>
          <w:b/>
          <w:color w:val="235E9F"/>
          <w:sz w:val="24"/>
        </w:rPr>
        <w:t>Specialty Certifications</w:t>
      </w:r>
      <w:bookmarkEnd w:id="3"/>
      <w:bookmarkEnd w:id="4"/>
      <w:bookmarkEnd w:id="5"/>
    </w:p>
    <w:p w14:paraId="7BBB00B2" w14:textId="77777777" w:rsidR="00453C7B" w:rsidRDefault="00453C7B" w:rsidP="00453C7B">
      <w:pPr>
        <w:spacing w:after="0"/>
      </w:pPr>
      <w:r>
        <w:t>HAZWOPER 40-hour</w:t>
      </w:r>
    </w:p>
    <w:p w14:paraId="50169DBB" w14:textId="77777777" w:rsidR="00453C7B" w:rsidRDefault="00453C7B" w:rsidP="00453C7B">
      <w:pPr>
        <w:spacing w:after="0"/>
      </w:pPr>
      <w:r>
        <w:t xml:space="preserve">Missouri Asbestos Building Inspector – 7118031523MOII22730 </w:t>
      </w:r>
    </w:p>
    <w:p w14:paraId="0EADEC86" w14:textId="77777777" w:rsidR="00453C7B" w:rsidRDefault="00453C7B" w:rsidP="00453C7B">
      <w:pPr>
        <w:spacing w:after="0"/>
      </w:pPr>
      <w:r>
        <w:t>MSHA New Miner Initial – 30 CFR Part 46</w:t>
      </w:r>
    </w:p>
    <w:p w14:paraId="41577F23" w14:textId="77777777" w:rsidR="00453C7B" w:rsidRDefault="00453C7B" w:rsidP="00453C7B">
      <w:pPr>
        <w:spacing w:after="0"/>
      </w:pPr>
      <w:r>
        <w:t>Dam &amp; Impoundment Initial – MIIN M36333040</w:t>
      </w:r>
    </w:p>
    <w:p w14:paraId="77FDC7AC" w14:textId="77777777" w:rsidR="00233433" w:rsidRPr="00233433" w:rsidRDefault="00233433" w:rsidP="00233433"/>
    <w:p w14:paraId="5DE21030" w14:textId="77777777" w:rsidR="00233433" w:rsidRPr="00723489" w:rsidRDefault="00233433" w:rsidP="00723489">
      <w:pPr>
        <w:pStyle w:val="Heading3"/>
        <w:spacing w:after="240"/>
        <w:rPr>
          <w:b/>
          <w:color w:val="235E9F"/>
          <w:sz w:val="24"/>
        </w:rPr>
      </w:pPr>
      <w:r w:rsidRPr="00723489">
        <w:rPr>
          <w:b/>
          <w:color w:val="235E9F"/>
          <w:sz w:val="24"/>
        </w:rPr>
        <w:t>Professional Affiliations</w:t>
      </w:r>
    </w:p>
    <w:p w14:paraId="6CBAD092" w14:textId="77777777" w:rsidR="00453C7B" w:rsidRDefault="00453C7B" w:rsidP="00453C7B">
      <w:pPr>
        <w:spacing w:after="0"/>
      </w:pPr>
      <w:r>
        <w:t>Environmental Bankers Association</w:t>
      </w:r>
    </w:p>
    <w:p w14:paraId="55E06DA5" w14:textId="77777777" w:rsidR="00453C7B" w:rsidRPr="00233433" w:rsidRDefault="00453C7B" w:rsidP="00453C7B">
      <w:pPr>
        <w:spacing w:after="0"/>
      </w:pPr>
      <w:r>
        <w:t>Gateway Society of Hazardous Materials Managers (GSHMM)</w:t>
      </w:r>
    </w:p>
    <w:p w14:paraId="0EC36C25" w14:textId="77777777" w:rsidR="00233433" w:rsidRPr="00233433" w:rsidRDefault="00233433" w:rsidP="00233433"/>
    <w:p w14:paraId="7A187EBC" w14:textId="77777777" w:rsidR="00233433" w:rsidRPr="00723489" w:rsidRDefault="00233433" w:rsidP="00723489">
      <w:pPr>
        <w:pStyle w:val="Heading3"/>
        <w:spacing w:after="240"/>
        <w:rPr>
          <w:b/>
          <w:color w:val="235E9F"/>
          <w:sz w:val="24"/>
        </w:rPr>
      </w:pPr>
      <w:r w:rsidRPr="00723489">
        <w:rPr>
          <w:b/>
          <w:color w:val="235E9F"/>
          <w:sz w:val="24"/>
        </w:rPr>
        <w:t>Professional Experience</w:t>
      </w:r>
    </w:p>
    <w:p w14:paraId="528F0902" w14:textId="77777777" w:rsidR="00453C7B" w:rsidRDefault="00453C7B" w:rsidP="00453C7B">
      <w:pPr>
        <w:jc w:val="both"/>
      </w:pPr>
      <w:r w:rsidRPr="00233433">
        <w:t xml:space="preserve">As </w:t>
      </w:r>
      <w:r>
        <w:t xml:space="preserve">an Environmental Professional (EP), Julia Hunter is responsible for conducting/preparing environmental due diligence projects </w:t>
      </w:r>
      <w:r w:rsidRPr="005E512A">
        <w:t>(Phase I and II Environmental Site Assessments) and National Environmental Policy Act (NEPA) environmental assessments,</w:t>
      </w:r>
      <w:r>
        <w:t xml:space="preserve"> as well as conducting remedial action projects, vapor studies, asbestos and radon surveys, stormwater and leachate sampling, and other work performed out of the St. Louis, Missouri regional office for Business Unit 27 (Central US)</w:t>
      </w:r>
      <w:r w:rsidRPr="00233433">
        <w:t>.</w:t>
      </w:r>
      <w:r>
        <w:t xml:space="preserve"> </w:t>
      </w:r>
    </w:p>
    <w:p w14:paraId="54597FF2" w14:textId="77777777" w:rsidR="00453C7B" w:rsidRDefault="00453C7B" w:rsidP="00453C7B">
      <w:pPr>
        <w:jc w:val="both"/>
      </w:pPr>
      <w:r w:rsidRPr="00233433">
        <w:t>Projects</w:t>
      </w:r>
      <w:r>
        <w:t xml:space="preserve"> Ms. Hunter has been involved in at SCS and in her prior consulting career</w:t>
      </w:r>
      <w:r w:rsidRPr="00233433">
        <w:t xml:space="preserve"> typically have involved</w:t>
      </w:r>
      <w:r>
        <w:t xml:space="preserve"> </w:t>
      </w:r>
      <w:r w:rsidRPr="00233433">
        <w:t>due diligence investigations</w:t>
      </w:r>
      <w:r>
        <w:t xml:space="preserve">, </w:t>
      </w:r>
      <w:r w:rsidRPr="00233433">
        <w:t xml:space="preserve">site investigations, environmental studies, </w:t>
      </w:r>
      <w:r>
        <w:t>and telecommunications projects</w:t>
      </w:r>
      <w:r w:rsidRPr="00233433">
        <w:t>.</w:t>
      </w:r>
      <w:r>
        <w:t xml:space="preserve"> </w:t>
      </w:r>
      <w:r w:rsidRPr="00233433">
        <w:t xml:space="preserve">Facilities have included </w:t>
      </w:r>
      <w:r>
        <w:t>a wide range of residential, commercial, industrial, and cellular tower sites throughout the United States.</w:t>
      </w:r>
      <w:r w:rsidRPr="00233433">
        <w:t xml:space="preserve"> Project sites have</w:t>
      </w:r>
      <w:r>
        <w:t xml:space="preserve"> also</w:t>
      </w:r>
      <w:r w:rsidRPr="00233433">
        <w:t xml:space="preserve"> included </w:t>
      </w:r>
      <w:r>
        <w:t>gas station</w:t>
      </w:r>
      <w:r w:rsidRPr="00233433">
        <w:t xml:space="preserve"> facilities, vehicle maintenance facilities, chemical processing</w:t>
      </w:r>
      <w:r>
        <w:t>, and large-scale manufacturing</w:t>
      </w:r>
      <w:r w:rsidRPr="00233433">
        <w:t xml:space="preserve"> plants. Chemical contamination encountered in soil</w:t>
      </w:r>
      <w:r>
        <w:t>, soil vapor,</w:t>
      </w:r>
      <w:r w:rsidRPr="00233433">
        <w:t xml:space="preserve"> and groundwater media has included petroleum, heavy metals, pesticides</w:t>
      </w:r>
      <w:r>
        <w:t xml:space="preserve">, </w:t>
      </w:r>
      <w:r w:rsidRPr="00233433">
        <w:t xml:space="preserve">PCBs, and solvents.  </w:t>
      </w:r>
    </w:p>
    <w:p w14:paraId="42F68743" w14:textId="66149B7A" w:rsidR="00233433" w:rsidRPr="00723489" w:rsidRDefault="00453C7B" w:rsidP="001369FF">
      <w:pPr>
        <w:pStyle w:val="ResumeHeading3"/>
        <w:rPr>
          <w:color w:val="235E9F"/>
        </w:rPr>
      </w:pPr>
      <w:r>
        <w:rPr>
          <w:color w:val="235E9F"/>
        </w:rPr>
        <w:t>Private Sector</w:t>
      </w:r>
    </w:p>
    <w:p w14:paraId="7E922983" w14:textId="61730B6C" w:rsidR="007F24DD" w:rsidRDefault="007F24DD" w:rsidP="00453C7B">
      <w:pPr>
        <w:jc w:val="both"/>
        <w:rPr>
          <w:bCs/>
        </w:rPr>
      </w:pPr>
      <w:r>
        <w:rPr>
          <w:b/>
          <w:color w:val="235E9F"/>
        </w:rPr>
        <w:t>D.R. Horton</w:t>
      </w:r>
      <w:r w:rsidR="00DC388F" w:rsidRPr="00CF42BB">
        <w:rPr>
          <w:b/>
          <w:color w:val="235E9F"/>
        </w:rPr>
        <w:t>:</w:t>
      </w:r>
      <w:r w:rsidR="00DC388F" w:rsidRPr="00CF42BB">
        <w:rPr>
          <w:bCs/>
          <w:color w:val="235E9F"/>
        </w:rPr>
        <w:t xml:space="preserve"> </w:t>
      </w:r>
      <w:r w:rsidR="00DC388F" w:rsidRPr="00A0275D">
        <w:rPr>
          <w:bCs/>
        </w:rPr>
        <w:t xml:space="preserve">Writer </w:t>
      </w:r>
      <w:r>
        <w:rPr>
          <w:bCs/>
        </w:rPr>
        <w:t xml:space="preserve">and reviewer for D.R. Horton’s Phase I ESAs and ensuring timely delivery of reports associated with the proposed </w:t>
      </w:r>
      <w:r w:rsidR="004526B2">
        <w:rPr>
          <w:bCs/>
        </w:rPr>
        <w:t xml:space="preserve">new build residential </w:t>
      </w:r>
      <w:r>
        <w:rPr>
          <w:bCs/>
        </w:rPr>
        <w:t>subdivision</w:t>
      </w:r>
      <w:r w:rsidR="004526B2">
        <w:rPr>
          <w:bCs/>
        </w:rPr>
        <w:t>s</w:t>
      </w:r>
      <w:r>
        <w:rPr>
          <w:bCs/>
        </w:rPr>
        <w:t xml:space="preserve"> throughout the United States. </w:t>
      </w:r>
      <w:r w:rsidR="004526B2">
        <w:rPr>
          <w:bCs/>
        </w:rPr>
        <w:t xml:space="preserve">Reports included identifying non-scope items related to wetlands, floodplains, karst features, </w:t>
      </w:r>
      <w:r w:rsidR="004526B2" w:rsidRPr="004526B2">
        <w:rPr>
          <w:bCs/>
        </w:rPr>
        <w:t>asbestos-containing material (ACM)</w:t>
      </w:r>
      <w:r w:rsidR="004526B2">
        <w:rPr>
          <w:bCs/>
        </w:rPr>
        <w:t>,</w:t>
      </w:r>
      <w:r w:rsidR="004526B2" w:rsidRPr="004526B2">
        <w:rPr>
          <w:bCs/>
        </w:rPr>
        <w:t xml:space="preserve"> lead-based paint (LBP)</w:t>
      </w:r>
      <w:r w:rsidR="004526B2">
        <w:rPr>
          <w:bCs/>
        </w:rPr>
        <w:t xml:space="preserve">, oil and gas wells, endangered species, and cemeteries. </w:t>
      </w:r>
    </w:p>
    <w:p w14:paraId="2D1B8515" w14:textId="43D1BD14" w:rsidR="007F24DD" w:rsidRDefault="007F24DD" w:rsidP="00453C7B">
      <w:pPr>
        <w:jc w:val="both"/>
        <w:rPr>
          <w:bCs/>
        </w:rPr>
      </w:pPr>
      <w:r w:rsidRPr="00DC388F">
        <w:rPr>
          <w:b/>
          <w:color w:val="235E9F"/>
        </w:rPr>
        <w:lastRenderedPageBreak/>
        <w:t>Prairie State Generating Company</w:t>
      </w:r>
      <w:r>
        <w:rPr>
          <w:b/>
          <w:color w:val="235E9F"/>
        </w:rPr>
        <w:t xml:space="preserve"> (PSGC)</w:t>
      </w:r>
      <w:r w:rsidRPr="00CF42BB">
        <w:rPr>
          <w:b/>
          <w:color w:val="235E9F"/>
        </w:rPr>
        <w:t>:</w:t>
      </w:r>
      <w:r w:rsidRPr="00CF42BB">
        <w:rPr>
          <w:bCs/>
          <w:color w:val="235E9F"/>
        </w:rPr>
        <w:t xml:space="preserve"> </w:t>
      </w:r>
      <w:r w:rsidRPr="00A0275D">
        <w:rPr>
          <w:bCs/>
        </w:rPr>
        <w:t xml:space="preserve">Writer and </w:t>
      </w:r>
      <w:r>
        <w:rPr>
          <w:bCs/>
        </w:rPr>
        <w:t>onsite Supervisor</w:t>
      </w:r>
      <w:r w:rsidRPr="00A0275D">
        <w:rPr>
          <w:bCs/>
        </w:rPr>
        <w:t xml:space="preserve"> responsible </w:t>
      </w:r>
      <w:r>
        <w:rPr>
          <w:bCs/>
        </w:rPr>
        <w:t xml:space="preserve">for supervising and writing the 2023 and 2024 annual Fall-Off Tests (FOT) for PSGC’s Class I Underground Injection Well (WWDW #1). </w:t>
      </w:r>
      <w:r w:rsidRPr="00DC388F">
        <w:rPr>
          <w:bCs/>
        </w:rPr>
        <w:t>The Illinois Environmental Protection Agency (IEPA) requires Class I well permittees/operators to monitor the pressure buildup in the injection zone prior to placing a well into service and then annually, thereafter.</w:t>
      </w:r>
      <w:r>
        <w:rPr>
          <w:bCs/>
        </w:rPr>
        <w:t xml:space="preserve"> Additionally, was responsible for the supervision and writing of the 2023 external Mechanical Integrity Test (MIT) of the well. </w:t>
      </w:r>
    </w:p>
    <w:p w14:paraId="4A15B16A" w14:textId="77777777" w:rsidR="000D51BE" w:rsidRDefault="000D51BE" w:rsidP="000D51BE">
      <w:pPr>
        <w:jc w:val="both"/>
        <w:rPr>
          <w:bCs/>
        </w:rPr>
      </w:pPr>
      <w:r>
        <w:rPr>
          <w:b/>
          <w:color w:val="235E9F"/>
        </w:rPr>
        <w:t>Champ Landfill</w:t>
      </w:r>
      <w:r w:rsidRPr="00CF42BB">
        <w:rPr>
          <w:b/>
          <w:color w:val="235E9F"/>
        </w:rPr>
        <w:t>:</w:t>
      </w:r>
      <w:r w:rsidRPr="00CF42BB">
        <w:rPr>
          <w:bCs/>
          <w:color w:val="235E9F"/>
        </w:rPr>
        <w:t xml:space="preserve"> </w:t>
      </w:r>
      <w:r>
        <w:rPr>
          <w:bCs/>
        </w:rPr>
        <w:t xml:space="preserve">Field Technician and Sampler for Champ Landfill’s stormwater and groundwater compliance. Groundwater sampling occurs semi-annually and includes 32 total groundwater compliance wells. Stormwater sampling occurs quarterly and includes two outfall sampling locations.  </w:t>
      </w:r>
    </w:p>
    <w:p w14:paraId="23BF2808" w14:textId="0359F607" w:rsidR="00453C7B" w:rsidRDefault="00453C7B" w:rsidP="00453C7B">
      <w:pPr>
        <w:jc w:val="both"/>
        <w:rPr>
          <w:bCs/>
        </w:rPr>
      </w:pPr>
      <w:r w:rsidRPr="00453C7B">
        <w:rPr>
          <w:b/>
          <w:color w:val="235E9F"/>
        </w:rPr>
        <w:t xml:space="preserve">Verizon Wireless: </w:t>
      </w:r>
      <w:r w:rsidRPr="00A0275D">
        <w:rPr>
          <w:bCs/>
        </w:rPr>
        <w:t>Writer and Project Manager responsible for staffing projects, writing and reviewing reports, and ensuring timely delivery of Phase I ESA and NEPA checklist reports associated with the bulk installation of small cell 5G telecommunications nodes throughout the Denver, Colorado</w:t>
      </w:r>
      <w:r>
        <w:rPr>
          <w:bCs/>
        </w:rPr>
        <w:t>,</w:t>
      </w:r>
      <w:r w:rsidRPr="00A0275D">
        <w:rPr>
          <w:bCs/>
        </w:rPr>
        <w:t xml:space="preserve"> and Salt Lake City, Utah regions. This included extensive coordination with the Colorado and Utah State Historic Preservation Offices for nodes proposed within historic districts.</w:t>
      </w:r>
      <w:r>
        <w:rPr>
          <w:bCs/>
        </w:rPr>
        <w:t xml:space="preserve"> Additionally, this included writing and reviewing reports that included ACM and</w:t>
      </w:r>
      <w:r w:rsidR="004526B2">
        <w:rPr>
          <w:bCs/>
        </w:rPr>
        <w:t xml:space="preserve"> </w:t>
      </w:r>
      <w:r>
        <w:rPr>
          <w:bCs/>
        </w:rPr>
        <w:t xml:space="preserve">LBP sampling for telecommunication sites. </w:t>
      </w:r>
    </w:p>
    <w:p w14:paraId="5C205BD9" w14:textId="77777777" w:rsidR="00CF42BB" w:rsidRPr="00A0275D" w:rsidRDefault="00CF42BB" w:rsidP="00CF42BB">
      <w:pPr>
        <w:jc w:val="both"/>
        <w:rPr>
          <w:bCs/>
        </w:rPr>
      </w:pPr>
      <w:r w:rsidRPr="00CF42BB">
        <w:rPr>
          <w:b/>
          <w:color w:val="235E9F"/>
        </w:rPr>
        <w:t>AT&amp;T:</w:t>
      </w:r>
      <w:r w:rsidRPr="00CF42BB">
        <w:rPr>
          <w:bCs/>
          <w:color w:val="235E9F"/>
        </w:rPr>
        <w:t xml:space="preserve"> </w:t>
      </w:r>
      <w:r w:rsidRPr="00A0275D">
        <w:rPr>
          <w:bCs/>
        </w:rPr>
        <w:t>Writer and Project Manager responsible for all aspects of NEPA compliance in accordance with FCC regulations for telecommunication towers from cradle to grave including staffing projects, client and subcontractor liaison, report writing</w:t>
      </w:r>
      <w:r>
        <w:rPr>
          <w:bCs/>
        </w:rPr>
        <w:t>,</w:t>
      </w:r>
      <w:r w:rsidRPr="00A0275D">
        <w:rPr>
          <w:bCs/>
        </w:rPr>
        <w:t xml:space="preserve"> and reviews.</w:t>
      </w:r>
    </w:p>
    <w:p w14:paraId="607087AB" w14:textId="77777777" w:rsidR="00CF42BB" w:rsidRPr="00A0275D" w:rsidRDefault="00CF42BB" w:rsidP="00CF42BB">
      <w:pPr>
        <w:jc w:val="both"/>
        <w:rPr>
          <w:bCs/>
        </w:rPr>
      </w:pPr>
      <w:r w:rsidRPr="00CF42BB">
        <w:rPr>
          <w:b/>
          <w:color w:val="235E9F"/>
        </w:rPr>
        <w:t>American Tower Corporation:</w:t>
      </w:r>
      <w:r w:rsidRPr="00CF42BB">
        <w:rPr>
          <w:bCs/>
          <w:color w:val="235E9F"/>
        </w:rPr>
        <w:t xml:space="preserve"> </w:t>
      </w:r>
      <w:r w:rsidRPr="00A0275D">
        <w:rPr>
          <w:bCs/>
        </w:rPr>
        <w:t xml:space="preserve">Writer responsible for all aspects of Phase I ESAs and NEPA compliance in accordance with FCC regulators for telecommunication towers. </w:t>
      </w:r>
    </w:p>
    <w:p w14:paraId="5811A447" w14:textId="77777777" w:rsidR="00CF42BB" w:rsidRPr="00A0275D" w:rsidRDefault="00CF42BB" w:rsidP="00CF42BB">
      <w:pPr>
        <w:jc w:val="both"/>
        <w:rPr>
          <w:bCs/>
        </w:rPr>
      </w:pPr>
      <w:r w:rsidRPr="00CF42BB">
        <w:rPr>
          <w:b/>
          <w:color w:val="235E9F"/>
        </w:rPr>
        <w:t>Culver’s Restaurant:</w:t>
      </w:r>
      <w:r w:rsidRPr="00CF42BB">
        <w:rPr>
          <w:bCs/>
          <w:color w:val="235E9F"/>
        </w:rPr>
        <w:t xml:space="preserve"> </w:t>
      </w:r>
      <w:r w:rsidRPr="00A0275D">
        <w:rPr>
          <w:bCs/>
        </w:rPr>
        <w:t xml:space="preserve">Writer </w:t>
      </w:r>
      <w:r w:rsidRPr="00A0275D">
        <w:t xml:space="preserve">responsible for conducting Phase I ESAs for </w:t>
      </w:r>
      <w:r w:rsidRPr="00A0275D">
        <w:rPr>
          <w:bCs/>
        </w:rPr>
        <w:t>multiple</w:t>
      </w:r>
      <w:r w:rsidRPr="00A0275D">
        <w:t xml:space="preserve"> Culver locations throughout the Indianapolis, IN metropolitan area. </w:t>
      </w:r>
    </w:p>
    <w:p w14:paraId="37D82CFB" w14:textId="77777777" w:rsidR="00CF42BB" w:rsidRPr="00A0275D" w:rsidRDefault="00CF42BB" w:rsidP="00CF42BB">
      <w:pPr>
        <w:jc w:val="both"/>
        <w:rPr>
          <w:bCs/>
        </w:rPr>
      </w:pPr>
      <w:r w:rsidRPr="00CF42BB">
        <w:rPr>
          <w:b/>
          <w:color w:val="235E9F"/>
        </w:rPr>
        <w:t>The Michaels Organization:</w:t>
      </w:r>
      <w:r w:rsidRPr="00CF42BB">
        <w:rPr>
          <w:bCs/>
          <w:color w:val="235E9F"/>
        </w:rPr>
        <w:t xml:space="preserve"> </w:t>
      </w:r>
      <w:r w:rsidRPr="00A0275D">
        <w:rPr>
          <w:bCs/>
        </w:rPr>
        <w:t xml:space="preserve">Writer responsible for conducting Phase I ESAs for multiple multi-family apartment buildings throughout the State of Illinois. </w:t>
      </w:r>
    </w:p>
    <w:p w14:paraId="7B427651" w14:textId="77777777" w:rsidR="00CF42BB" w:rsidRPr="00A0275D" w:rsidRDefault="00CF42BB" w:rsidP="00CF42BB">
      <w:pPr>
        <w:jc w:val="both"/>
        <w:rPr>
          <w:bCs/>
        </w:rPr>
      </w:pPr>
      <w:r w:rsidRPr="00CF42BB">
        <w:rPr>
          <w:b/>
          <w:color w:val="235E9F"/>
        </w:rPr>
        <w:t>Midland States Bank:</w:t>
      </w:r>
      <w:r w:rsidRPr="00CF42BB">
        <w:rPr>
          <w:bCs/>
          <w:color w:val="235E9F"/>
        </w:rPr>
        <w:t xml:space="preserve"> </w:t>
      </w:r>
      <w:r w:rsidRPr="00A0275D">
        <w:rPr>
          <w:bCs/>
        </w:rPr>
        <w:t xml:space="preserve">Writer responsible for conducting Phase I ESAs for multiple car dealerships throughout the State of Illinois. </w:t>
      </w:r>
    </w:p>
    <w:p w14:paraId="3FC1F929" w14:textId="77777777" w:rsidR="00CF42BB" w:rsidRPr="00A0275D" w:rsidRDefault="00CF42BB" w:rsidP="00CF42BB">
      <w:pPr>
        <w:spacing w:after="0"/>
        <w:jc w:val="both"/>
        <w:rPr>
          <w:bCs/>
        </w:rPr>
      </w:pPr>
      <w:r w:rsidRPr="00CF42BB">
        <w:rPr>
          <w:rFonts w:cs="Calibri"/>
          <w:b/>
          <w:bCs/>
          <w:color w:val="235E9F"/>
          <w:szCs w:val="22"/>
        </w:rPr>
        <w:t>Realty Income Corporation:</w:t>
      </w:r>
      <w:r w:rsidRPr="00CF42BB">
        <w:rPr>
          <w:rFonts w:cs="Calibri"/>
          <w:color w:val="235E9F"/>
          <w:szCs w:val="22"/>
        </w:rPr>
        <w:t xml:space="preserve"> </w:t>
      </w:r>
      <w:r w:rsidRPr="00A0275D">
        <w:rPr>
          <w:bCs/>
        </w:rPr>
        <w:t xml:space="preserve">Writer responsible for conducting Phase I ESAs for Crown Mart gas stations in the St. Louis Metropolitan area. </w:t>
      </w:r>
    </w:p>
    <w:p w14:paraId="0F807DED" w14:textId="77777777" w:rsidR="00CF42BB" w:rsidRPr="00A0275D" w:rsidRDefault="00CF42BB" w:rsidP="00CF42BB">
      <w:pPr>
        <w:spacing w:after="0"/>
        <w:jc w:val="both"/>
        <w:rPr>
          <w:rFonts w:cs="Calibri"/>
          <w:color w:val="000000"/>
          <w:szCs w:val="22"/>
        </w:rPr>
      </w:pPr>
    </w:p>
    <w:p w14:paraId="4F6BB361" w14:textId="77777777" w:rsidR="00CF42BB" w:rsidRPr="00A0275D" w:rsidRDefault="00CF42BB" w:rsidP="00CF42BB">
      <w:pPr>
        <w:spacing w:after="0"/>
        <w:jc w:val="both"/>
        <w:rPr>
          <w:rFonts w:cs="Calibri"/>
          <w:color w:val="000000"/>
          <w:szCs w:val="22"/>
        </w:rPr>
      </w:pPr>
      <w:r w:rsidRPr="00CF42BB">
        <w:rPr>
          <w:rFonts w:cs="Calibri"/>
          <w:b/>
          <w:bCs/>
          <w:color w:val="235E9F"/>
          <w:szCs w:val="22"/>
        </w:rPr>
        <w:t>Inland Real Estate Acquisitions:</w:t>
      </w:r>
      <w:r w:rsidRPr="00CF42BB">
        <w:rPr>
          <w:rFonts w:cs="Calibri"/>
          <w:color w:val="235E9F"/>
          <w:szCs w:val="22"/>
        </w:rPr>
        <w:t xml:space="preserve"> </w:t>
      </w:r>
      <w:r w:rsidRPr="00A0275D">
        <w:rPr>
          <w:rFonts w:cs="Calibri"/>
          <w:color w:val="000000"/>
          <w:szCs w:val="22"/>
        </w:rPr>
        <w:t xml:space="preserve">Writer responsible for conducting radon testing and a Phase I ESA for a multi-tenant residential building in the St. Louis Metropolitan area. </w:t>
      </w:r>
    </w:p>
    <w:p w14:paraId="1586FBA6" w14:textId="77777777" w:rsidR="00CF42BB" w:rsidRPr="00A0275D" w:rsidRDefault="00CF42BB" w:rsidP="00453C7B">
      <w:pPr>
        <w:jc w:val="both"/>
        <w:rPr>
          <w:bCs/>
        </w:rPr>
      </w:pPr>
    </w:p>
    <w:sectPr w:rsidR="00CF42BB" w:rsidRPr="00A0275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6F380" w14:textId="77777777" w:rsidR="00723489" w:rsidRDefault="00723489" w:rsidP="00233433">
      <w:r>
        <w:separator/>
      </w:r>
    </w:p>
    <w:p w14:paraId="5A6861C5" w14:textId="77777777" w:rsidR="00723489" w:rsidRDefault="00723489" w:rsidP="00233433"/>
  </w:endnote>
  <w:endnote w:type="continuationSeparator" w:id="0">
    <w:p w14:paraId="30E0D449" w14:textId="77777777" w:rsidR="00723489" w:rsidRDefault="00723489" w:rsidP="00233433">
      <w:r>
        <w:continuationSeparator/>
      </w:r>
    </w:p>
    <w:p w14:paraId="3C3CD241" w14:textId="77777777" w:rsidR="00723489" w:rsidRDefault="0072348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AFF" w14:textId="60BF840B"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 </w:t>
    </w:r>
    <w:r w:rsidR="00453C7B">
      <w:rPr>
        <w:rFonts w:ascii="Century Gothic" w:eastAsia="Century Gothic" w:hAnsi="Century Gothic"/>
        <w:color w:val="A6A6A6"/>
        <w:sz w:val="18"/>
      </w:rPr>
      <w:t>Hunter</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1C802750"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FA31" w14:textId="77777777" w:rsidR="00723489" w:rsidRDefault="00723489" w:rsidP="00233433">
      <w:r>
        <w:separator/>
      </w:r>
    </w:p>
    <w:p w14:paraId="3159E3DF" w14:textId="77777777" w:rsidR="00723489" w:rsidRDefault="00723489" w:rsidP="00233433"/>
  </w:footnote>
  <w:footnote w:type="continuationSeparator" w:id="0">
    <w:p w14:paraId="50EE1AFF" w14:textId="77777777" w:rsidR="00723489" w:rsidRDefault="00723489" w:rsidP="00233433">
      <w:r>
        <w:continuationSeparator/>
      </w:r>
    </w:p>
    <w:p w14:paraId="598E97D4" w14:textId="77777777" w:rsidR="00723489" w:rsidRDefault="0072348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016D" w14:textId="77777777" w:rsidR="00A63105" w:rsidRDefault="00723489">
    <w:pPr>
      <w:pStyle w:val="Header"/>
    </w:pPr>
    <w:r>
      <w:rPr>
        <w:noProof/>
      </w:rPr>
      <w:drawing>
        <wp:anchor distT="0" distB="0" distL="114300" distR="114300" simplePos="0" relativeHeight="251658240" behindDoc="1" locked="0" layoutInCell="1" allowOverlap="1" wp14:anchorId="7340D9C5" wp14:editId="19EF4052">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083177">
    <w:abstractNumId w:val="25"/>
  </w:num>
  <w:num w:numId="2" w16cid:durableId="1171679759">
    <w:abstractNumId w:val="18"/>
  </w:num>
  <w:num w:numId="3" w16cid:durableId="1649556920">
    <w:abstractNumId w:val="27"/>
  </w:num>
  <w:num w:numId="4" w16cid:durableId="715740361">
    <w:abstractNumId w:val="7"/>
  </w:num>
  <w:num w:numId="5" w16cid:durableId="683285966">
    <w:abstractNumId w:val="6"/>
  </w:num>
  <w:num w:numId="6" w16cid:durableId="651494153">
    <w:abstractNumId w:val="5"/>
  </w:num>
  <w:num w:numId="7" w16cid:durableId="2092698742">
    <w:abstractNumId w:val="4"/>
  </w:num>
  <w:num w:numId="8" w16cid:durableId="1258443247">
    <w:abstractNumId w:val="3"/>
  </w:num>
  <w:num w:numId="9" w16cid:durableId="1021973494">
    <w:abstractNumId w:val="2"/>
  </w:num>
  <w:num w:numId="10" w16cid:durableId="1415399325">
    <w:abstractNumId w:val="1"/>
  </w:num>
  <w:num w:numId="11" w16cid:durableId="882599193">
    <w:abstractNumId w:val="0"/>
  </w:num>
  <w:num w:numId="12" w16cid:durableId="1474831764">
    <w:abstractNumId w:val="37"/>
  </w:num>
  <w:num w:numId="13" w16cid:durableId="1267351384">
    <w:abstractNumId w:val="12"/>
  </w:num>
  <w:num w:numId="14" w16cid:durableId="95292355">
    <w:abstractNumId w:val="30"/>
  </w:num>
  <w:num w:numId="15" w16cid:durableId="771902218">
    <w:abstractNumId w:val="36"/>
  </w:num>
  <w:num w:numId="16" w16cid:durableId="1990934725">
    <w:abstractNumId w:val="17"/>
  </w:num>
  <w:num w:numId="17" w16cid:durableId="1011030977">
    <w:abstractNumId w:val="24"/>
  </w:num>
  <w:num w:numId="18" w16cid:durableId="1421831760">
    <w:abstractNumId w:val="11"/>
  </w:num>
  <w:num w:numId="19" w16cid:durableId="352729540">
    <w:abstractNumId w:val="8"/>
  </w:num>
  <w:num w:numId="20" w16cid:durableId="1085111960">
    <w:abstractNumId w:val="14"/>
  </w:num>
  <w:num w:numId="21" w16cid:durableId="1893928300">
    <w:abstractNumId w:val="13"/>
  </w:num>
  <w:num w:numId="22" w16cid:durableId="198470545">
    <w:abstractNumId w:val="31"/>
  </w:num>
  <w:num w:numId="23" w16cid:durableId="1690251174">
    <w:abstractNumId w:val="31"/>
    <w:lvlOverride w:ilvl="0">
      <w:startOverride w:val="1"/>
    </w:lvlOverride>
  </w:num>
  <w:num w:numId="24" w16cid:durableId="1292857255">
    <w:abstractNumId w:val="32"/>
  </w:num>
  <w:num w:numId="25" w16cid:durableId="1287004770">
    <w:abstractNumId w:val="16"/>
  </w:num>
  <w:num w:numId="26" w16cid:durableId="1414470991">
    <w:abstractNumId w:val="20"/>
  </w:num>
  <w:num w:numId="27" w16cid:durableId="1889875591">
    <w:abstractNumId w:val="35"/>
  </w:num>
  <w:num w:numId="28" w16cid:durableId="389812601">
    <w:abstractNumId w:val="26"/>
  </w:num>
  <w:num w:numId="29" w16cid:durableId="1119103426">
    <w:abstractNumId w:val="19"/>
  </w:num>
  <w:num w:numId="30" w16cid:durableId="1618293473">
    <w:abstractNumId w:val="10"/>
  </w:num>
  <w:num w:numId="31" w16cid:durableId="1869678484">
    <w:abstractNumId w:val="22"/>
  </w:num>
  <w:num w:numId="32" w16cid:durableId="588469507">
    <w:abstractNumId w:val="23"/>
  </w:num>
  <w:num w:numId="33" w16cid:durableId="767700058">
    <w:abstractNumId w:val="34"/>
  </w:num>
  <w:num w:numId="34" w16cid:durableId="1397629861">
    <w:abstractNumId w:val="28"/>
  </w:num>
  <w:num w:numId="35" w16cid:durableId="16085871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73307916">
    <w:abstractNumId w:val="15"/>
  </w:num>
  <w:num w:numId="37" w16cid:durableId="1423377700">
    <w:abstractNumId w:val="29"/>
  </w:num>
  <w:num w:numId="38" w16cid:durableId="609105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592994">
    <w:abstractNumId w:val="33"/>
  </w:num>
  <w:num w:numId="40" w16cid:durableId="1466001859">
    <w:abstractNumId w:val="21"/>
  </w:num>
  <w:num w:numId="41" w16cid:durableId="894509695">
    <w:abstractNumId w:val="38"/>
  </w:num>
  <w:num w:numId="42" w16cid:durableId="91936640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5C94"/>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1BE"/>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4844"/>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3BCD"/>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526B2"/>
    <w:rsid w:val="00453C7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977C5"/>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36B0"/>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17201"/>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24DD"/>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4B47"/>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53FC"/>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2BB"/>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F69"/>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88F"/>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054"/>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ec896,#eaefdb,#5f8f8d,#090,#690,#69f,#36c,#369"/>
    </o:shapedefaults>
    <o:shapelayout v:ext="edit">
      <o:idmap v:ext="edit" data="1"/>
    </o:shapelayout>
  </w:shapeDefaults>
  <w:decimalSymbol w:val="."/>
  <w:listSeparator w:val=","/>
  <w14:docId w14:val="6BAEFEE2"/>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8332">
      <w:bodyDiv w:val="1"/>
      <w:marLeft w:val="0"/>
      <w:marRight w:val="0"/>
      <w:marTop w:val="0"/>
      <w:marBottom w:val="0"/>
      <w:divBdr>
        <w:top w:val="none" w:sz="0" w:space="0" w:color="auto"/>
        <w:left w:val="none" w:sz="0" w:space="0" w:color="auto"/>
        <w:bottom w:val="none" w:sz="0" w:space="0" w:color="auto"/>
        <w:right w:val="none" w:sz="0" w:space="0" w:color="auto"/>
      </w:divBdr>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DAFAF-914E-4443-91D2-69434C53FF19}">
  <ds:schemaRefs>
    <ds:schemaRef ds:uri="http://schemas.openxmlformats.org/officeDocument/2006/bibliography"/>
  </ds:schemaRefs>
</ds:datastoreItem>
</file>

<file path=customXml/itemProps2.xml><?xml version="1.0" encoding="utf-8"?>
<ds:datastoreItem xmlns:ds="http://schemas.openxmlformats.org/officeDocument/2006/customXml" ds:itemID="{99A3E6CC-D2B2-4937-84DA-25EDBAB5CFB6}"/>
</file>

<file path=customXml/itemProps3.xml><?xml version="1.0" encoding="utf-8"?>
<ds:datastoreItem xmlns:ds="http://schemas.openxmlformats.org/officeDocument/2006/customXml" ds:itemID="{AFFA888D-BFEB-4FF8-8E4E-6477A642E99C}">
  <ds:schemaRefs>
    <ds:schemaRef ds:uri="http://schemas.microsoft.com/sharepoint/v3/contenttype/forms"/>
  </ds:schemaRefs>
</ds:datastoreItem>
</file>

<file path=customXml/itemProps4.xml><?xml version="1.0" encoding="utf-8"?>
<ds:datastoreItem xmlns:ds="http://schemas.openxmlformats.org/officeDocument/2006/customXml" ds:itemID="{6643A123-45F3-42FB-A865-0FB2DA12F836}">
  <ds:schemaRefs>
    <ds:schemaRef ds:uri="http://purl.org/dc/terms/"/>
    <ds:schemaRef ds:uri="http://schemas.microsoft.com/office/2006/documentManagement/types"/>
    <ds:schemaRef ds:uri="59fdd324-72cb-44c6-965a-8041d6de2b22"/>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SCS_Resume_Template (1)</Template>
  <TotalTime>35</TotalTime>
  <Pages>2</Pages>
  <Words>627</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4734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Hunter, Julia</cp:lastModifiedBy>
  <cp:revision>6</cp:revision>
  <cp:lastPrinted>2018-07-23T13:51:00Z</cp:lastPrinted>
  <dcterms:created xsi:type="dcterms:W3CDTF">2024-06-13T17:35:00Z</dcterms:created>
  <dcterms:modified xsi:type="dcterms:W3CDTF">2024-06-14T12:30:00Z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y fmtid="{D5CDD505-2E9C-101B-9397-08002B2CF9AE}" pid="3" name="GrammarlyDocumentId">
    <vt:lpwstr>066c59e2576223ab63ff1f421c2c91280dfbeaf6292fdd3baf7e1cba1b0eda4e</vt:lpwstr>
  </property>
</Properties>
</file>