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80"/>
      </w:tblGrid>
      <w:tr w:rsidR="00F04CF4" w:rsidRPr="00F04CF4" w14:paraId="3DE04F09" w14:textId="77777777" w:rsidTr="003A74FA">
        <w:tc>
          <w:tcPr>
            <w:tcW w:w="288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2FEE3F5B">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t="4341" b="4341"/>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3A74FA">
        <w:tc>
          <w:tcPr>
            <w:tcW w:w="288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77C44586">
                      <wp:simplePos x="0" y="0"/>
                      <wp:positionH relativeFrom="margin">
                        <wp:posOffset>-122430</wp:posOffset>
                      </wp:positionH>
                      <wp:positionV relativeFrom="margin">
                        <wp:posOffset>-1969505</wp:posOffset>
                      </wp:positionV>
                      <wp:extent cx="2309495" cy="5323715"/>
                      <wp:effectExtent l="0" t="0" r="0" b="0"/>
                      <wp:wrapNone/>
                      <wp:docPr id="4" name="Rounded Rectangle 4"/>
                      <wp:cNvGraphicFramePr/>
                      <a:graphic xmlns:a="http://schemas.openxmlformats.org/drawingml/2006/main">
                        <a:graphicData uri="http://schemas.microsoft.com/office/word/2010/wordprocessingShape">
                          <wps:wsp>
                            <wps:cNvSpPr/>
                            <wps:spPr>
                              <a:xfrm>
                                <a:off x="0" y="0"/>
                                <a:ext cx="2309495" cy="5323715"/>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FBB8C6" id="Rounded Rectangle 4" o:spid="_x0000_s1026" style="position:absolute;margin-left:-9.65pt;margin-top:-155.1pt;width:181.85pt;height:419.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7FC55E6B" w14:textId="5EDCFC3E" w:rsidR="00885AA3" w:rsidRDefault="003A74FA"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BS, </w:t>
            </w:r>
            <w:r w:rsidR="003B764B">
              <w:rPr>
                <w:rFonts w:ascii="Arial Narrow" w:hAnsi="Arial Narrow"/>
                <w:color w:val="FFFFFF" w:themeColor="background1"/>
                <w:sz w:val="20"/>
              </w:rPr>
              <w:t>Civil Engineering</w:t>
            </w:r>
          </w:p>
          <w:p w14:paraId="686D1E3E" w14:textId="45D16074" w:rsidR="00A4400C" w:rsidRPr="003A74FA" w:rsidRDefault="0051385A" w:rsidP="00A8498E">
            <w:pPr>
              <w:pStyle w:val="Heading3"/>
              <w:spacing w:after="0"/>
              <w:ind w:left="256"/>
              <w:rPr>
                <w:rFonts w:ascii="Arial" w:hAnsi="Arial" w:cs="Arial"/>
                <w:b/>
                <w:color w:val="FFFFFF" w:themeColor="background1"/>
                <w:spacing w:val="-10"/>
                <w:sz w:val="20"/>
              </w:rPr>
            </w:pPr>
            <w:r w:rsidRPr="003A74FA">
              <w:rPr>
                <w:rFonts w:ascii="Arial" w:hAnsi="Arial" w:cs="Arial"/>
                <w:b/>
                <w:noProof/>
                <w:color w:val="FFFFFF" w:themeColor="background1"/>
                <w:spacing w:val="-10"/>
                <w:sz w:val="20"/>
              </w:rPr>
              <w:drawing>
                <wp:anchor distT="0" distB="0" distL="114300" distR="114300" simplePos="0" relativeHeight="251665408" behindDoc="0" locked="0" layoutInCell="1" allowOverlap="1" wp14:anchorId="32D5433F" wp14:editId="63D1A343">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4FA" w:rsidRPr="003A74FA">
              <w:rPr>
                <w:rFonts w:ascii="Arial" w:hAnsi="Arial" w:cs="Arial"/>
                <w:b/>
                <w:color w:val="FFFFFF" w:themeColor="background1"/>
                <w:spacing w:val="-10"/>
                <w:sz w:val="20"/>
              </w:rPr>
              <w:t>Licenses &amp; Certifications</w:t>
            </w:r>
          </w:p>
          <w:p w14:paraId="067A2A6F" w14:textId="13A0463C" w:rsidR="003A74FA" w:rsidRDefault="003A74FA" w:rsidP="00A4400C">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3A74FA">
              <w:rPr>
                <w:rFonts w:ascii="Arial Narrow" w:hAnsi="Arial Narrow"/>
                <w:color w:val="FFFFFF" w:themeColor="background1"/>
                <w:sz w:val="20"/>
              </w:rPr>
              <w:t xml:space="preserve">Professional </w:t>
            </w:r>
            <w:r w:rsidR="00BE2E0A">
              <w:rPr>
                <w:rFonts w:ascii="Arial Narrow" w:hAnsi="Arial Narrow"/>
                <w:color w:val="FFFFFF" w:themeColor="background1"/>
                <w:sz w:val="20"/>
              </w:rPr>
              <w:t>Engineer</w:t>
            </w:r>
            <w:r w:rsidRPr="003A74FA">
              <w:rPr>
                <w:rFonts w:ascii="Arial Narrow" w:hAnsi="Arial Narrow"/>
                <w:color w:val="FFFFFF" w:themeColor="background1"/>
                <w:sz w:val="20"/>
              </w:rPr>
              <w:t xml:space="preserve"> – Florida</w:t>
            </w:r>
            <w:r w:rsidR="00BE2E0A">
              <w:rPr>
                <w:rFonts w:ascii="Arial Narrow" w:hAnsi="Arial Narrow"/>
                <w:color w:val="FFFFFF" w:themeColor="background1"/>
                <w:sz w:val="20"/>
              </w:rPr>
              <w:br/>
            </w:r>
            <w:r w:rsidRPr="003A74FA">
              <w:rPr>
                <w:rFonts w:ascii="Arial Narrow" w:hAnsi="Arial Narrow"/>
                <w:color w:val="FFFFFF" w:themeColor="background1"/>
                <w:sz w:val="20"/>
              </w:rPr>
              <w:t>No.</w:t>
            </w:r>
            <w:r w:rsidR="000A2181">
              <w:rPr>
                <w:rFonts w:ascii="Arial Narrow" w:hAnsi="Arial Narrow"/>
                <w:color w:val="FFFFFF" w:themeColor="background1"/>
                <w:sz w:val="20"/>
              </w:rPr>
              <w:t xml:space="preserve"> </w:t>
            </w:r>
            <w:r w:rsidR="00BE2E0A">
              <w:rPr>
                <w:rFonts w:ascii="Arial Narrow" w:hAnsi="Arial Narrow"/>
                <w:color w:val="FFFFFF" w:themeColor="background1"/>
                <w:sz w:val="20"/>
              </w:rPr>
              <w:t>54810</w:t>
            </w:r>
          </w:p>
          <w:p w14:paraId="0E7B9373" w14:textId="651E26CB" w:rsidR="003A74FA" w:rsidRDefault="00A4400C"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40-hour</w:t>
            </w:r>
            <w:r w:rsidR="003A74FA">
              <w:rPr>
                <w:rFonts w:ascii="Arial Narrow" w:hAnsi="Arial Narrow"/>
                <w:color w:val="FFFFFF" w:themeColor="background1"/>
                <w:sz w:val="20"/>
              </w:rPr>
              <w:t xml:space="preserve"> OSHA </w:t>
            </w:r>
            <w:r w:rsidR="003A74FA" w:rsidRPr="003A74FA">
              <w:rPr>
                <w:rFonts w:ascii="Arial Narrow" w:hAnsi="Arial Narrow"/>
                <w:color w:val="FFFFFF" w:themeColor="background1"/>
                <w:sz w:val="20"/>
              </w:rPr>
              <w:t>HAZWOPER</w:t>
            </w:r>
            <w:r w:rsidR="003A74FA">
              <w:rPr>
                <w:rFonts w:ascii="Arial Narrow" w:hAnsi="Arial Narrow"/>
                <w:color w:val="FFFFFF" w:themeColor="background1"/>
                <w:sz w:val="20"/>
              </w:rPr>
              <w:t xml:space="preserve"> </w:t>
            </w:r>
            <w:r>
              <w:rPr>
                <w:rFonts w:ascii="Arial Narrow" w:hAnsi="Arial Narrow"/>
                <w:color w:val="FFFFFF" w:themeColor="background1"/>
                <w:sz w:val="20"/>
              </w:rPr>
              <w:t>Training</w:t>
            </w:r>
          </w:p>
          <w:p w14:paraId="3B89728F" w14:textId="5899192A" w:rsidR="00A53814" w:rsidRPr="0051385A" w:rsidRDefault="003A74FA" w:rsidP="003A74F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before="240" w:after="40"/>
              <w:ind w:left="173" w:hanging="101"/>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6432" behindDoc="0" locked="0" layoutInCell="1" allowOverlap="1" wp14:anchorId="28064D3F" wp14:editId="48E438B6">
                  <wp:simplePos x="0" y="0"/>
                  <wp:positionH relativeFrom="column">
                    <wp:posOffset>-51435</wp:posOffset>
                  </wp:positionH>
                  <wp:positionV relativeFrom="paragraph">
                    <wp:posOffset>46660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36EDC9AE" w14:textId="35455CF2"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bookmarkStart w:id="0" w:name="_Hlk143256100"/>
            <w:r w:rsidRPr="002771E4">
              <w:rPr>
                <w:rFonts w:ascii="Arial Narrow" w:hAnsi="Arial Narrow"/>
                <w:color w:val="FFFFFF" w:themeColor="background1"/>
                <w:sz w:val="18"/>
                <w:szCs w:val="18"/>
              </w:rPr>
              <w:t xml:space="preserve">Implement </w:t>
            </w:r>
            <w:r w:rsidR="00A8498E" w:rsidRPr="002771E4">
              <w:rPr>
                <w:rFonts w:ascii="Arial Narrow" w:hAnsi="Arial Narrow"/>
                <w:color w:val="FFFFFF" w:themeColor="background1"/>
                <w:sz w:val="18"/>
                <w:szCs w:val="18"/>
              </w:rPr>
              <w:t>and</w:t>
            </w:r>
            <w:r w:rsidRPr="002771E4">
              <w:rPr>
                <w:rFonts w:ascii="Arial Narrow" w:hAnsi="Arial Narrow"/>
                <w:color w:val="FFFFFF" w:themeColor="background1"/>
                <w:sz w:val="18"/>
                <w:szCs w:val="18"/>
              </w:rPr>
              <w:t xml:space="preserve"> interpret biological and/or water quality monitoring data</w:t>
            </w:r>
          </w:p>
          <w:p w14:paraId="119F6323" w14:textId="3D7EE153"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Groundwater flow analysis and/or contaminant fate and transport analysis</w:t>
            </w:r>
          </w:p>
          <w:p w14:paraId="38C7102F" w14:textId="1159C92B"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Scientific and engineering analysis</w:t>
            </w:r>
          </w:p>
          <w:p w14:paraId="0FBA25D4"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on groundwater restoration projects</w:t>
            </w:r>
          </w:p>
          <w:p w14:paraId="0462AD82" w14:textId="77777777" w:rsidR="00A53814" w:rsidRPr="002771E4"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Involvement and understanding of the petroleum cleanup regulatory process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2771E4">
              <w:rPr>
                <w:rFonts w:ascii="Arial Narrow" w:hAnsi="Arial Narrow"/>
                <w:color w:val="FFFFFF" w:themeColor="background1"/>
                <w:sz w:val="18"/>
                <w:szCs w:val="18"/>
              </w:rPr>
              <w:t>Direct participation in authoring documents</w:t>
            </w:r>
            <w:bookmarkEnd w:id="0"/>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5556520A" w:rsidR="00B84988" w:rsidRPr="00A46D2C" w:rsidRDefault="003B764B" w:rsidP="00B84988">
            <w:pPr>
              <w:spacing w:after="0"/>
              <w:rPr>
                <w:rFonts w:ascii="Century Gothic" w:hAnsi="Century Gothic"/>
                <w:b/>
                <w:color w:val="046CA0"/>
                <w:sz w:val="32"/>
                <w:szCs w:val="32"/>
              </w:rPr>
            </w:pPr>
            <w:r>
              <w:rPr>
                <w:rFonts w:ascii="Century Gothic" w:hAnsi="Century Gothic"/>
                <w:b/>
                <w:color w:val="046CA0"/>
                <w:sz w:val="32"/>
                <w:szCs w:val="32"/>
              </w:rPr>
              <w:t>Yudex Hasbun</w:t>
            </w:r>
            <w:r w:rsidR="00F179C6">
              <w:rPr>
                <w:rFonts w:ascii="Century Gothic" w:hAnsi="Century Gothic"/>
                <w:b/>
                <w:color w:val="046CA0"/>
                <w:sz w:val="32"/>
                <w:szCs w:val="32"/>
              </w:rPr>
              <w:t>, P</w:t>
            </w:r>
            <w:r>
              <w:rPr>
                <w:rFonts w:ascii="Century Gothic" w:hAnsi="Century Gothic"/>
                <w:b/>
                <w:color w:val="046CA0"/>
                <w:sz w:val="32"/>
                <w:szCs w:val="32"/>
              </w:rPr>
              <w:t>E</w:t>
            </w:r>
          </w:p>
          <w:p w14:paraId="5E47622C" w14:textId="77777777" w:rsidR="004C7173" w:rsidRDefault="004C7173" w:rsidP="00D64845">
            <w:pPr>
              <w:spacing w:after="0"/>
              <w:rPr>
                <w:rFonts w:ascii="Century Gothic" w:hAnsi="Century Gothic"/>
                <w:color w:val="404040" w:themeColor="text1" w:themeTint="BF"/>
                <w:sz w:val="24"/>
                <w:szCs w:val="24"/>
              </w:rPr>
            </w:pPr>
            <w:r>
              <w:rPr>
                <w:rFonts w:ascii="Century Gothic" w:hAnsi="Century Gothic"/>
                <w:color w:val="404040" w:themeColor="text1" w:themeTint="BF"/>
                <w:sz w:val="24"/>
                <w:szCs w:val="24"/>
              </w:rPr>
              <w:t>Professional Engineer</w:t>
            </w:r>
          </w:p>
          <w:p w14:paraId="2A2D8665" w14:textId="3A72B99C" w:rsidR="00567DBA" w:rsidRDefault="003B764B" w:rsidP="00D64845">
            <w:pPr>
              <w:spacing w:after="0"/>
            </w:pPr>
            <w:r>
              <w:rPr>
                <w:rFonts w:ascii="Century Gothic" w:hAnsi="Century Gothic"/>
                <w:color w:val="404040" w:themeColor="text1" w:themeTint="BF"/>
                <w:sz w:val="24"/>
                <w:szCs w:val="24"/>
              </w:rPr>
              <w:t xml:space="preserve">Remediation/Site Closure </w:t>
            </w:r>
            <w:r w:rsidR="00F179C6">
              <w:rPr>
                <w:rFonts w:ascii="Century Gothic" w:hAnsi="Century Gothic"/>
                <w:color w:val="404040" w:themeColor="text1" w:themeTint="BF"/>
                <w:sz w:val="24"/>
                <w:szCs w:val="24"/>
              </w:rPr>
              <w:t>Lead</w:t>
            </w:r>
          </w:p>
        </w:tc>
        <w:tc>
          <w:tcPr>
            <w:tcW w:w="1170" w:type="dxa"/>
            <w:tcBorders>
              <w:top w:val="nil"/>
              <w:left w:val="nil"/>
              <w:bottom w:val="single" w:sz="18" w:space="0" w:color="92D050"/>
              <w:right w:val="nil"/>
            </w:tcBorders>
            <w:shd w:val="clear" w:color="auto" w:fill="F2F2F2" w:themeFill="background1" w:themeFillShade="F2"/>
          </w:tcPr>
          <w:p w14:paraId="04B58C45" w14:textId="6CAC557D" w:rsidR="00B84988" w:rsidRPr="007F5D90" w:rsidRDefault="003B764B" w:rsidP="00141653">
            <w:pPr>
              <w:spacing w:after="0"/>
              <w:jc w:val="center"/>
              <w:rPr>
                <w:rFonts w:ascii="Arial Black" w:hAnsi="Arial Black" w:cs="Arial"/>
                <w:color w:val="046CA0"/>
                <w:sz w:val="40"/>
                <w:szCs w:val="22"/>
              </w:rPr>
            </w:pPr>
            <w:r>
              <w:rPr>
                <w:rFonts w:ascii="Arial Black" w:hAnsi="Arial Black" w:cs="Arial"/>
                <w:color w:val="046CA0"/>
                <w:sz w:val="40"/>
                <w:szCs w:val="22"/>
              </w:rPr>
              <w:t>33</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75D15E24" w:rsidR="001D5759" w:rsidRDefault="00BE2E0A" w:rsidP="00BE2E0A">
            <w:r>
              <w:t>Yudex</w:t>
            </w:r>
            <w:r w:rsidRPr="00BD1C73">
              <w:t xml:space="preserve"> has performed many site assessments during his career at petroleum impact sites logging lithology during soil boring or monitoring well installation, collection of soil and groundwater samples, performing pumping and slug test to determine aquifer characteristics, surveyed tops of casings and collection of groundwater elevation levels to determine groundwater flow direction. He has also determined horizontal and vertical gradients of water zones and performed modeling to determine groundwater flow and migration of contaminants. </w:t>
            </w:r>
            <w:r>
              <w:t>He h</w:t>
            </w:r>
            <w:r w:rsidRPr="00BD1C73">
              <w:t xml:space="preserve">as performed many </w:t>
            </w:r>
            <w:r>
              <w:t xml:space="preserve">petroleum site assessment </w:t>
            </w:r>
            <w:r w:rsidRPr="00BD1C73">
              <w:t>projects</w:t>
            </w:r>
            <w:r>
              <w:t xml:space="preserve"> including </w:t>
            </w:r>
            <w:r w:rsidRPr="00BD1C73">
              <w:t xml:space="preserve">the </w:t>
            </w:r>
            <w:r>
              <w:t>Miami-Dade Water and Sewer Department South District Wastewater Treatment Plant diesel fuel spill site, numerous gas station sites and for private owners</w:t>
            </w:r>
            <w:r w:rsidRPr="00BD1C73">
              <w:t>.</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F196A">
            <w:pPr>
              <w:pStyle w:val="SCSText"/>
              <w:tabs>
                <w:tab w:val="right" w:pos="7338"/>
              </w:tabs>
              <w:spacing w:before="40" w:after="4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F196A">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4AB435A0" w:rsidR="00A4400C" w:rsidRPr="00A4400C" w:rsidRDefault="003B764B"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33</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53D670E5" w:rsidR="00A4400C" w:rsidRPr="00A4400C" w:rsidRDefault="003B764B"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33</w:t>
            </w:r>
            <w:r w:rsidR="003A74FA">
              <w:rPr>
                <w:rFonts w:ascii="Arial Narrow" w:hAnsi="Arial Narrow"/>
                <w:b/>
                <w:bCs/>
                <w:color w:val="046CA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351BE0C9" w:rsidR="00A4400C" w:rsidRPr="00A4400C" w:rsidRDefault="003B764B" w:rsidP="001F196A">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25</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2389B91A" w14:textId="7688789A" w:rsidR="003B764B" w:rsidRPr="003B764B" w:rsidRDefault="003B764B" w:rsidP="003B764B">
      <w:pPr>
        <w:spacing w:before="240"/>
        <w:rPr>
          <w:bCs/>
        </w:rPr>
      </w:pPr>
      <w:r w:rsidRPr="00BE2E0A">
        <w:rPr>
          <w:rFonts w:ascii="Franklin Gothic Demi" w:hAnsi="Franklin Gothic Demi"/>
          <w:bCs/>
        </w:rPr>
        <w:t>Miami-Dade County Northeast Bus Maintenance Facility, North Miami, Florida</w:t>
      </w:r>
      <w:r w:rsidR="00BE2E0A" w:rsidRPr="00BE2E0A">
        <w:rPr>
          <w:rFonts w:ascii="Franklin Gothic Demi" w:hAnsi="Franklin Gothic Demi"/>
          <w:bCs/>
        </w:rPr>
        <w:t xml:space="preserve">. </w:t>
      </w:r>
      <w:r w:rsidRPr="003B764B">
        <w:rPr>
          <w:bCs/>
        </w:rPr>
        <w:t>Principal in Charge</w:t>
      </w:r>
      <w:r w:rsidR="00BE2E0A">
        <w:rPr>
          <w:bCs/>
        </w:rPr>
        <w:t xml:space="preserve"> c</w:t>
      </w:r>
      <w:r w:rsidRPr="003B764B">
        <w:rPr>
          <w:bCs/>
        </w:rPr>
        <w:t>onducted soil and groundwater assessments to delineate contaminant plumes; conducted petroleum fingerprinting and forensic analysis of the free product; worked with FDEP to rescind and SRCO and enter an area of this site into the preapproval program; currently conducting additional investigations.</w:t>
      </w:r>
    </w:p>
    <w:p w14:paraId="758ED603" w14:textId="3DB43946" w:rsidR="003B764B" w:rsidRPr="003B764B" w:rsidRDefault="003B764B" w:rsidP="003B764B">
      <w:pPr>
        <w:rPr>
          <w:bCs/>
          <w:szCs w:val="22"/>
        </w:rPr>
      </w:pPr>
      <w:r w:rsidRPr="00BE2E0A">
        <w:rPr>
          <w:rFonts w:ascii="Franklin Gothic Demi" w:hAnsi="Franklin Gothic Demi"/>
          <w:bCs/>
        </w:rPr>
        <w:t xml:space="preserve">FDOT District 4. Broward, Palm Beach, St. Lucie, Indian River and Martin Counties, Florida. </w:t>
      </w:r>
      <w:r w:rsidRPr="003B764B">
        <w:rPr>
          <w:bCs/>
        </w:rPr>
        <w:t>Principal in Charge</w:t>
      </w:r>
      <w:r w:rsidR="00BE2E0A">
        <w:rPr>
          <w:bCs/>
        </w:rPr>
        <w:t xml:space="preserve"> c</w:t>
      </w:r>
      <w:r w:rsidRPr="003B764B">
        <w:rPr>
          <w:bCs/>
        </w:rPr>
        <w:t>onducted several petroleum assessments, remedial action plans and remedial action plan modifications, source removals, and fuel spill emergency responses; petroleum remediation systems O&amp;M and reporting and monitoring only plans.</w:t>
      </w:r>
    </w:p>
    <w:p w14:paraId="03B51A71" w14:textId="323DB8B1" w:rsidR="003B764B" w:rsidRPr="003B764B" w:rsidRDefault="003B764B" w:rsidP="003B764B">
      <w:pPr>
        <w:rPr>
          <w:bCs/>
          <w:szCs w:val="22"/>
        </w:rPr>
      </w:pPr>
      <w:r w:rsidRPr="00BE2E0A">
        <w:rPr>
          <w:rFonts w:ascii="Franklin Gothic Demi" w:hAnsi="Franklin Gothic Demi"/>
          <w:bCs/>
          <w:szCs w:val="22"/>
        </w:rPr>
        <w:t>FDOT District 6, Miami-Dade and Monroe Counties, Florida</w:t>
      </w:r>
      <w:r w:rsidR="00BE2E0A" w:rsidRPr="00BE2E0A">
        <w:rPr>
          <w:rFonts w:ascii="Franklin Gothic Demi" w:hAnsi="Franklin Gothic Demi"/>
          <w:bCs/>
          <w:szCs w:val="22"/>
        </w:rPr>
        <w:t>.</w:t>
      </w:r>
      <w:r w:rsidRPr="003B764B">
        <w:rPr>
          <w:bCs/>
          <w:szCs w:val="22"/>
        </w:rPr>
        <w:t xml:space="preserve"> Principle in Charge</w:t>
      </w:r>
      <w:r w:rsidR="00BE2E0A">
        <w:rPr>
          <w:bCs/>
          <w:szCs w:val="22"/>
        </w:rPr>
        <w:t xml:space="preserve"> c</w:t>
      </w:r>
      <w:r w:rsidRPr="003B764B">
        <w:rPr>
          <w:bCs/>
          <w:szCs w:val="22"/>
        </w:rPr>
        <w:t>onducted numerous petroleum assessments, source removals, tank pulls and remedial action plans; pilot tests; infrastructure projects requiring the installation of storm water drainage systems and other subsurface utilities through petroleum contaminated areas; conducted hundreds of roadway emergency responses and source removals related to petroleum spills; evaluation cleanup technologies for sites contaminated with petroleum products.</w:t>
      </w:r>
    </w:p>
    <w:p w14:paraId="55C42383" w14:textId="66868FEC" w:rsidR="003B764B" w:rsidRPr="003B764B" w:rsidRDefault="003B764B" w:rsidP="003B764B">
      <w:pPr>
        <w:rPr>
          <w:bCs/>
          <w:szCs w:val="22"/>
        </w:rPr>
      </w:pPr>
      <w:r w:rsidRPr="00BE2E0A">
        <w:rPr>
          <w:rFonts w:ascii="Franklin Gothic Demi" w:hAnsi="Franklin Gothic Demi"/>
          <w:bCs/>
          <w:szCs w:val="22"/>
        </w:rPr>
        <w:t>Miami International Airport, Miami, Florida</w:t>
      </w:r>
      <w:r w:rsidR="00BE2E0A">
        <w:rPr>
          <w:rFonts w:ascii="Franklin Gothic Demi" w:hAnsi="Franklin Gothic Demi"/>
          <w:bCs/>
          <w:szCs w:val="22"/>
        </w:rPr>
        <w:t>.</w:t>
      </w:r>
      <w:r w:rsidRPr="003B764B">
        <w:rPr>
          <w:bCs/>
          <w:szCs w:val="22"/>
        </w:rPr>
        <w:t xml:space="preserve"> Principal in Charge</w:t>
      </w:r>
      <w:r w:rsidR="00BE2E0A">
        <w:rPr>
          <w:bCs/>
          <w:szCs w:val="22"/>
        </w:rPr>
        <w:t xml:space="preserve"> c</w:t>
      </w:r>
      <w:r w:rsidRPr="003B764B">
        <w:rPr>
          <w:bCs/>
          <w:szCs w:val="22"/>
        </w:rPr>
        <w:t>onducted numerous petroleum contamination assessments related with the expansion projects at the Miami International Airport (MIA); coordination between M-DAD, FDEP, DERM and the tenants for the assessment and remediation projects; data compilation, review and evaluations, field and laboratory services, preparation of FDEP petroleum reimbursement program packages; and submittal of appropriate reports.</w:t>
      </w:r>
    </w:p>
    <w:p w14:paraId="5B1F9B28" w14:textId="568FB674" w:rsidR="003B764B" w:rsidRPr="003B764B" w:rsidRDefault="003B764B" w:rsidP="003B764B">
      <w:pPr>
        <w:rPr>
          <w:rFonts w:ascii="Franklin Gothic Demi" w:hAnsi="Franklin Gothic Demi"/>
          <w:bCs/>
        </w:rPr>
      </w:pPr>
      <w:r w:rsidRPr="00BE2E0A">
        <w:rPr>
          <w:rFonts w:ascii="Franklin Gothic Demi" w:hAnsi="Franklin Gothic Demi"/>
          <w:bCs/>
          <w:szCs w:val="22"/>
        </w:rPr>
        <w:t>Private Clients, State of Florida</w:t>
      </w:r>
      <w:r w:rsidR="00BE2E0A" w:rsidRPr="00BE2E0A">
        <w:rPr>
          <w:rFonts w:ascii="Franklin Gothic Demi" w:hAnsi="Franklin Gothic Demi"/>
          <w:bCs/>
          <w:szCs w:val="22"/>
        </w:rPr>
        <w:t xml:space="preserve">. </w:t>
      </w:r>
      <w:r w:rsidRPr="003B764B">
        <w:rPr>
          <w:bCs/>
          <w:szCs w:val="22"/>
        </w:rPr>
        <w:t xml:space="preserve">Principal </w:t>
      </w:r>
      <w:r w:rsidR="00BE2E0A">
        <w:rPr>
          <w:bCs/>
          <w:szCs w:val="22"/>
        </w:rPr>
        <w:t>i</w:t>
      </w:r>
      <w:r w:rsidRPr="003B764B">
        <w:rPr>
          <w:bCs/>
          <w:szCs w:val="22"/>
        </w:rPr>
        <w:t>n Charge</w:t>
      </w:r>
      <w:r w:rsidR="00BE2E0A">
        <w:rPr>
          <w:bCs/>
          <w:szCs w:val="22"/>
        </w:rPr>
        <w:t xml:space="preserve"> </w:t>
      </w:r>
      <w:r w:rsidRPr="003B764B">
        <w:rPr>
          <w:bCs/>
          <w:szCs w:val="22"/>
        </w:rPr>
        <w:t>petroleum site assessments, slug tests and pump tests to determine aquifer characteristics; petroleum source removals; petroleum remedial action plans design, installation and operations &amp; maintenance; petroleum fuel systems installation, removal and maintenance.</w:t>
      </w:r>
    </w:p>
    <w:sectPr w:rsidR="003B764B" w:rsidRPr="003B764B" w:rsidSect="00831658">
      <w:footerReference w:type="default" r:id="rId16"/>
      <w:pgSz w:w="12240" w:h="15840" w:code="1"/>
      <w:pgMar w:top="720" w:right="720" w:bottom="720" w:left="1080" w:header="432" w:footer="432" w:gutter="0"/>
      <w:pgNumType w:start="2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831658" w14:paraId="7C099E97" w14:textId="77777777" w:rsidTr="00EC7DE0">
      <w:tc>
        <w:tcPr>
          <w:tcW w:w="2515" w:type="dxa"/>
          <w:vAlign w:val="center"/>
          <w:hideMark/>
        </w:tcPr>
        <w:p w14:paraId="0A7E3D8C" w14:textId="77777777" w:rsidR="00831658" w:rsidRDefault="00831658" w:rsidP="00831658">
          <w:pPr>
            <w:pStyle w:val="Footer"/>
            <w:tabs>
              <w:tab w:val="clear" w:pos="9360"/>
              <w:tab w:val="center" w:pos="5040"/>
              <w:tab w:val="right" w:pos="10080"/>
            </w:tabs>
            <w:rPr>
              <w:b/>
              <w:caps/>
              <w:color w:val="404040" w:themeColor="text1" w:themeTint="BF"/>
            </w:rPr>
          </w:pPr>
          <w:r>
            <w:rPr>
              <w:noProof/>
            </w:rPr>
            <w:drawing>
              <wp:inline distT="0" distB="0" distL="0" distR="0" wp14:anchorId="220DC5B2" wp14:editId="05660380">
                <wp:extent cx="1144905" cy="107315"/>
                <wp:effectExtent l="0" t="0" r="0" b="6985"/>
                <wp:docPr id="1307142159"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280BCCEC" w14:textId="77777777" w:rsidR="00831658" w:rsidRDefault="00831658" w:rsidP="00831658">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67C141E3" w14:textId="77777777" w:rsidR="00831658" w:rsidRDefault="00831658" w:rsidP="00831658">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19</w:t>
          </w:r>
          <w:r>
            <w:rPr>
              <w:b/>
              <w:caps/>
              <w:noProof/>
              <w:color w:val="FFFFFF" w:themeColor="background1"/>
            </w:rPr>
            <w:fldChar w:fldCharType="end"/>
          </w:r>
        </w:p>
      </w:tc>
    </w:tr>
  </w:tbl>
  <w:p w14:paraId="18161419" w14:textId="77777777" w:rsidR="00831658" w:rsidRDefault="00831658" w:rsidP="00831658">
    <w:pPr>
      <w:pStyle w:val="Footer"/>
      <w:tabs>
        <w:tab w:val="clear" w:pos="9360"/>
        <w:tab w:val="center" w:pos="5040"/>
        <w:tab w:val="right" w:pos="10080"/>
      </w:tabs>
      <w:rPr>
        <w:caps/>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FD4FF7"/>
    <w:multiLevelType w:val="hybridMultilevel"/>
    <w:tmpl w:val="159432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0" w15:restartNumberingAfterBreak="0">
    <w:nsid w:val="36E767F6"/>
    <w:multiLevelType w:val="hybridMultilevel"/>
    <w:tmpl w:val="0CFEB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3"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6"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8" w15:restartNumberingAfterBreak="0">
    <w:nsid w:val="51527FA5"/>
    <w:multiLevelType w:val="hybridMultilevel"/>
    <w:tmpl w:val="838AD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0"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1"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32"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F5318B"/>
    <w:multiLevelType w:val="hybridMultilevel"/>
    <w:tmpl w:val="07F21684"/>
    <w:lvl w:ilvl="0" w:tplc="35EAE4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243A06"/>
    <w:multiLevelType w:val="hybridMultilevel"/>
    <w:tmpl w:val="53427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1958021429">
    <w:abstractNumId w:val="26"/>
  </w:num>
  <w:num w:numId="2" w16cid:durableId="788016032">
    <w:abstractNumId w:val="38"/>
  </w:num>
  <w:num w:numId="3" w16cid:durableId="1701396378">
    <w:abstractNumId w:val="29"/>
  </w:num>
  <w:num w:numId="4" w16cid:durableId="499662525">
    <w:abstractNumId w:val="18"/>
  </w:num>
  <w:num w:numId="5" w16cid:durableId="1462841126">
    <w:abstractNumId w:val="33"/>
  </w:num>
  <w:num w:numId="6" w16cid:durableId="808670580">
    <w:abstractNumId w:val="11"/>
  </w:num>
  <w:num w:numId="7" w16cid:durableId="1943494111">
    <w:abstractNumId w:val="14"/>
  </w:num>
  <w:num w:numId="8" w16cid:durableId="934482399">
    <w:abstractNumId w:val="39"/>
  </w:num>
  <w:num w:numId="9" w16cid:durableId="1813134422">
    <w:abstractNumId w:val="24"/>
  </w:num>
  <w:num w:numId="10" w16cid:durableId="1502550673">
    <w:abstractNumId w:val="23"/>
  </w:num>
  <w:num w:numId="11" w16cid:durableId="642268963">
    <w:abstractNumId w:val="35"/>
  </w:num>
  <w:num w:numId="12" w16cid:durableId="811024406">
    <w:abstractNumId w:val="13"/>
  </w:num>
  <w:num w:numId="13" w16cid:durableId="769667603">
    <w:abstractNumId w:val="36"/>
  </w:num>
  <w:num w:numId="14" w16cid:durableId="1018233548">
    <w:abstractNumId w:val="32"/>
  </w:num>
  <w:num w:numId="15" w16cid:durableId="1058358300">
    <w:abstractNumId w:val="19"/>
  </w:num>
  <w:num w:numId="16" w16cid:durableId="131022285">
    <w:abstractNumId w:val="12"/>
  </w:num>
  <w:num w:numId="17" w16cid:durableId="1557857867">
    <w:abstractNumId w:val="15"/>
  </w:num>
  <w:num w:numId="18" w16cid:durableId="718407545">
    <w:abstractNumId w:val="9"/>
  </w:num>
  <w:num w:numId="19" w16cid:durableId="1178228216">
    <w:abstractNumId w:val="7"/>
  </w:num>
  <w:num w:numId="20" w16cid:durableId="297535204">
    <w:abstractNumId w:val="6"/>
  </w:num>
  <w:num w:numId="21" w16cid:durableId="437026582">
    <w:abstractNumId w:val="5"/>
  </w:num>
  <w:num w:numId="22" w16cid:durableId="1043870761">
    <w:abstractNumId w:val="4"/>
  </w:num>
  <w:num w:numId="23" w16cid:durableId="1857572866">
    <w:abstractNumId w:val="8"/>
  </w:num>
  <w:num w:numId="24" w16cid:durableId="184683242">
    <w:abstractNumId w:val="3"/>
  </w:num>
  <w:num w:numId="25" w16cid:durableId="1107311193">
    <w:abstractNumId w:val="2"/>
  </w:num>
  <w:num w:numId="26" w16cid:durableId="1760635787">
    <w:abstractNumId w:val="1"/>
  </w:num>
  <w:num w:numId="27" w16cid:durableId="1002123785">
    <w:abstractNumId w:val="0"/>
  </w:num>
  <w:num w:numId="28" w16cid:durableId="401417672">
    <w:abstractNumId w:val="25"/>
  </w:num>
  <w:num w:numId="29" w16cid:durableId="1440101404">
    <w:abstractNumId w:val="21"/>
  </w:num>
  <w:num w:numId="30" w16cid:durableId="1156186884">
    <w:abstractNumId w:val="40"/>
  </w:num>
  <w:num w:numId="31" w16cid:durableId="1087311073">
    <w:abstractNumId w:val="17"/>
  </w:num>
  <w:num w:numId="32" w16cid:durableId="723211753">
    <w:abstractNumId w:val="10"/>
  </w:num>
  <w:num w:numId="33" w16cid:durableId="705643995">
    <w:abstractNumId w:val="27"/>
  </w:num>
  <w:num w:numId="34" w16cid:durableId="1850826276">
    <w:abstractNumId w:val="30"/>
  </w:num>
  <w:num w:numId="35" w16cid:durableId="338582690">
    <w:abstractNumId w:val="31"/>
  </w:num>
  <w:num w:numId="36" w16cid:durableId="723793914">
    <w:abstractNumId w:val="22"/>
  </w:num>
  <w:num w:numId="37" w16cid:durableId="204104550">
    <w:abstractNumId w:val="34"/>
  </w:num>
  <w:num w:numId="38" w16cid:durableId="2019261750">
    <w:abstractNumId w:val="20"/>
  </w:num>
  <w:num w:numId="39" w16cid:durableId="14699496">
    <w:abstractNumId w:val="16"/>
  </w:num>
  <w:num w:numId="40" w16cid:durableId="1855419472">
    <w:abstractNumId w:val="28"/>
  </w:num>
  <w:num w:numId="41" w16cid:durableId="171947058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A2181"/>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754E1"/>
    <w:rsid w:val="00175726"/>
    <w:rsid w:val="001819D7"/>
    <w:rsid w:val="00190338"/>
    <w:rsid w:val="001B58A5"/>
    <w:rsid w:val="001B72AD"/>
    <w:rsid w:val="001C2123"/>
    <w:rsid w:val="001D3219"/>
    <w:rsid w:val="001D5759"/>
    <w:rsid w:val="001F196A"/>
    <w:rsid w:val="001F2667"/>
    <w:rsid w:val="001F57C3"/>
    <w:rsid w:val="001F6112"/>
    <w:rsid w:val="001F68BF"/>
    <w:rsid w:val="00200739"/>
    <w:rsid w:val="00212108"/>
    <w:rsid w:val="002160FF"/>
    <w:rsid w:val="002161C8"/>
    <w:rsid w:val="00225892"/>
    <w:rsid w:val="00231989"/>
    <w:rsid w:val="00241B86"/>
    <w:rsid w:val="00245EBC"/>
    <w:rsid w:val="002477DC"/>
    <w:rsid w:val="0025795B"/>
    <w:rsid w:val="0026428F"/>
    <w:rsid w:val="00267193"/>
    <w:rsid w:val="002771E4"/>
    <w:rsid w:val="00285513"/>
    <w:rsid w:val="002928FA"/>
    <w:rsid w:val="002A01D3"/>
    <w:rsid w:val="002A5C78"/>
    <w:rsid w:val="002C54FB"/>
    <w:rsid w:val="002D0BC0"/>
    <w:rsid w:val="002D45BD"/>
    <w:rsid w:val="002E3C1F"/>
    <w:rsid w:val="002F7146"/>
    <w:rsid w:val="00302B8B"/>
    <w:rsid w:val="00305182"/>
    <w:rsid w:val="00311298"/>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A74FA"/>
    <w:rsid w:val="003B3B0B"/>
    <w:rsid w:val="003B764B"/>
    <w:rsid w:val="003C271A"/>
    <w:rsid w:val="003C5EDF"/>
    <w:rsid w:val="003D3B23"/>
    <w:rsid w:val="003D5BCA"/>
    <w:rsid w:val="003D7767"/>
    <w:rsid w:val="003D7A3D"/>
    <w:rsid w:val="003F101A"/>
    <w:rsid w:val="003F64DC"/>
    <w:rsid w:val="004004C2"/>
    <w:rsid w:val="00424CD3"/>
    <w:rsid w:val="004361DE"/>
    <w:rsid w:val="00437771"/>
    <w:rsid w:val="00446632"/>
    <w:rsid w:val="00462D10"/>
    <w:rsid w:val="00470678"/>
    <w:rsid w:val="0048526A"/>
    <w:rsid w:val="00485757"/>
    <w:rsid w:val="004C7173"/>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5F3CD7"/>
    <w:rsid w:val="00602E2F"/>
    <w:rsid w:val="006060A7"/>
    <w:rsid w:val="006220D0"/>
    <w:rsid w:val="00636921"/>
    <w:rsid w:val="0065747D"/>
    <w:rsid w:val="0067232C"/>
    <w:rsid w:val="006730F6"/>
    <w:rsid w:val="00676512"/>
    <w:rsid w:val="00687380"/>
    <w:rsid w:val="00694125"/>
    <w:rsid w:val="006978BA"/>
    <w:rsid w:val="006A3F08"/>
    <w:rsid w:val="006B0EFB"/>
    <w:rsid w:val="006B5C8E"/>
    <w:rsid w:val="006C64E0"/>
    <w:rsid w:val="006D4172"/>
    <w:rsid w:val="00701D9B"/>
    <w:rsid w:val="00705AC9"/>
    <w:rsid w:val="00722465"/>
    <w:rsid w:val="00725F44"/>
    <w:rsid w:val="0073466F"/>
    <w:rsid w:val="007476AB"/>
    <w:rsid w:val="00747D9D"/>
    <w:rsid w:val="00762DE7"/>
    <w:rsid w:val="007712F6"/>
    <w:rsid w:val="0077240E"/>
    <w:rsid w:val="007734BF"/>
    <w:rsid w:val="0077565E"/>
    <w:rsid w:val="007849FE"/>
    <w:rsid w:val="00784D01"/>
    <w:rsid w:val="00786236"/>
    <w:rsid w:val="007A3E0A"/>
    <w:rsid w:val="007A4892"/>
    <w:rsid w:val="007B0260"/>
    <w:rsid w:val="007D3256"/>
    <w:rsid w:val="007D38CE"/>
    <w:rsid w:val="007D6B4C"/>
    <w:rsid w:val="007F575D"/>
    <w:rsid w:val="007F5D90"/>
    <w:rsid w:val="00800B71"/>
    <w:rsid w:val="008127AE"/>
    <w:rsid w:val="00831658"/>
    <w:rsid w:val="00841D7E"/>
    <w:rsid w:val="008523A3"/>
    <w:rsid w:val="008531F6"/>
    <w:rsid w:val="00854045"/>
    <w:rsid w:val="0086307D"/>
    <w:rsid w:val="00881E05"/>
    <w:rsid w:val="00885AA3"/>
    <w:rsid w:val="00886EE4"/>
    <w:rsid w:val="00894EFE"/>
    <w:rsid w:val="00896AD2"/>
    <w:rsid w:val="008A074A"/>
    <w:rsid w:val="008A4F6E"/>
    <w:rsid w:val="008B1E9C"/>
    <w:rsid w:val="008B4F76"/>
    <w:rsid w:val="008D0F93"/>
    <w:rsid w:val="008E7129"/>
    <w:rsid w:val="008F6FB0"/>
    <w:rsid w:val="009200C9"/>
    <w:rsid w:val="00943E37"/>
    <w:rsid w:val="009471C6"/>
    <w:rsid w:val="00963543"/>
    <w:rsid w:val="00965ED3"/>
    <w:rsid w:val="00966325"/>
    <w:rsid w:val="00971009"/>
    <w:rsid w:val="009759B9"/>
    <w:rsid w:val="00982646"/>
    <w:rsid w:val="00990627"/>
    <w:rsid w:val="009959CF"/>
    <w:rsid w:val="00996D2A"/>
    <w:rsid w:val="009C2DC6"/>
    <w:rsid w:val="009C349F"/>
    <w:rsid w:val="009C351C"/>
    <w:rsid w:val="009D0F89"/>
    <w:rsid w:val="009D267F"/>
    <w:rsid w:val="009E0EC0"/>
    <w:rsid w:val="009E2BC4"/>
    <w:rsid w:val="009F2A3B"/>
    <w:rsid w:val="009F5458"/>
    <w:rsid w:val="00A12FB7"/>
    <w:rsid w:val="00A1445A"/>
    <w:rsid w:val="00A21DC8"/>
    <w:rsid w:val="00A22133"/>
    <w:rsid w:val="00A40E7F"/>
    <w:rsid w:val="00A4400C"/>
    <w:rsid w:val="00A44CB7"/>
    <w:rsid w:val="00A468CD"/>
    <w:rsid w:val="00A46D2C"/>
    <w:rsid w:val="00A477D1"/>
    <w:rsid w:val="00A53814"/>
    <w:rsid w:val="00A563E2"/>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AE3E07"/>
    <w:rsid w:val="00B0769D"/>
    <w:rsid w:val="00B269A7"/>
    <w:rsid w:val="00B35B9D"/>
    <w:rsid w:val="00B46071"/>
    <w:rsid w:val="00B46530"/>
    <w:rsid w:val="00B53B41"/>
    <w:rsid w:val="00B570A8"/>
    <w:rsid w:val="00B84988"/>
    <w:rsid w:val="00B90065"/>
    <w:rsid w:val="00BB0F75"/>
    <w:rsid w:val="00BB2844"/>
    <w:rsid w:val="00BB2C62"/>
    <w:rsid w:val="00BB5B03"/>
    <w:rsid w:val="00BC0A98"/>
    <w:rsid w:val="00BC2AB3"/>
    <w:rsid w:val="00BC4223"/>
    <w:rsid w:val="00BC6522"/>
    <w:rsid w:val="00BC67DF"/>
    <w:rsid w:val="00BD44E4"/>
    <w:rsid w:val="00BE2E0A"/>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0AF"/>
    <w:rsid w:val="00CD56AD"/>
    <w:rsid w:val="00CD6436"/>
    <w:rsid w:val="00CE6E22"/>
    <w:rsid w:val="00CF3B74"/>
    <w:rsid w:val="00CF6253"/>
    <w:rsid w:val="00D00A71"/>
    <w:rsid w:val="00D161DE"/>
    <w:rsid w:val="00D34D16"/>
    <w:rsid w:val="00D42034"/>
    <w:rsid w:val="00D569F7"/>
    <w:rsid w:val="00D57175"/>
    <w:rsid w:val="00D62576"/>
    <w:rsid w:val="00D64845"/>
    <w:rsid w:val="00D73A52"/>
    <w:rsid w:val="00D8477C"/>
    <w:rsid w:val="00D87D82"/>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A4B62"/>
    <w:rsid w:val="00EB49CF"/>
    <w:rsid w:val="00EC7F40"/>
    <w:rsid w:val="00EE088A"/>
    <w:rsid w:val="00F0009D"/>
    <w:rsid w:val="00F02F05"/>
    <w:rsid w:val="00F04CF4"/>
    <w:rsid w:val="00F077D7"/>
    <w:rsid w:val="00F179C6"/>
    <w:rsid w:val="00F21CC6"/>
    <w:rsid w:val="00F4039F"/>
    <w:rsid w:val="00F60867"/>
    <w:rsid w:val="00F61B2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D07E69-AF96-4635-8AC6-2F0AF800002D}">
  <ds:schemaRefs>
    <ds:schemaRef ds:uri="http://schemas.openxmlformats.org/officeDocument/2006/bibliography"/>
  </ds:schemaRefs>
</ds:datastoreItem>
</file>

<file path=customXml/itemProps2.xml><?xml version="1.0" encoding="utf-8"?>
<ds:datastoreItem xmlns:ds="http://schemas.openxmlformats.org/officeDocument/2006/customXml" ds:itemID="{292C5C1E-7A68-46C4-97CC-1AC3ADB90DF8}"/>
</file>

<file path=customXml/itemProps3.xml><?xml version="1.0" encoding="utf-8"?>
<ds:datastoreItem xmlns:ds="http://schemas.openxmlformats.org/officeDocument/2006/customXml" ds:itemID="{00EC2691-734B-4B9C-A5D8-E8A10EEED818}"/>
</file>

<file path=customXml/itemProps4.xml><?xml version="1.0" encoding="utf-8"?>
<ds:datastoreItem xmlns:ds="http://schemas.openxmlformats.org/officeDocument/2006/customXml" ds:itemID="{44990E21-4A9E-48C3-8800-2F53F229E9EF}"/>
</file>

<file path=docProps/app.xml><?xml version="1.0" encoding="utf-8"?>
<Properties xmlns="http://schemas.openxmlformats.org/officeDocument/2006/extended-properties" xmlns:vt="http://schemas.openxmlformats.org/officeDocument/2006/docPropsVTypes">
  <Template>SCS_Report_Proposal_Template</Template>
  <TotalTime>11</TotalTime>
  <Pages>1</Pages>
  <Words>458</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3557</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7</cp:revision>
  <cp:lastPrinted>2023-06-15T19:11:00Z</cp:lastPrinted>
  <dcterms:created xsi:type="dcterms:W3CDTF">2023-08-22T00:41:00Z</dcterms:created>
  <dcterms:modified xsi:type="dcterms:W3CDTF">2023-09-18T15:34:00Z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