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3A74FA">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23E8BD3D">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9414" b="9414"/>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3A74FA">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40BC9438">
                      <wp:simplePos x="0" y="0"/>
                      <wp:positionH relativeFrom="margin">
                        <wp:posOffset>-122430</wp:posOffset>
                      </wp:positionH>
                      <wp:positionV relativeFrom="margin">
                        <wp:posOffset>-1969505</wp:posOffset>
                      </wp:positionV>
                      <wp:extent cx="2309495" cy="5682743"/>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309495" cy="5682743"/>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6113E" id="Rounded Rectangle 4" o:spid="_x0000_s1026" style="position:absolute;margin-left:-9.65pt;margin-top:-155.1pt;width:181.85pt;height:447.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FC55E6B" w14:textId="5B36FE56" w:rsidR="00885AA3" w:rsidRDefault="003A74FA"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BS, </w:t>
            </w:r>
            <w:r w:rsidR="00EE4230">
              <w:rPr>
                <w:rFonts w:ascii="Arial Narrow" w:hAnsi="Arial Narrow"/>
                <w:color w:val="FFFFFF" w:themeColor="background1"/>
                <w:sz w:val="20"/>
              </w:rPr>
              <w:t xml:space="preserve">Civil </w:t>
            </w:r>
            <w:r w:rsidR="003136D7">
              <w:rPr>
                <w:rFonts w:ascii="Arial Narrow" w:hAnsi="Arial Narrow"/>
                <w:color w:val="FFFFFF" w:themeColor="background1"/>
                <w:sz w:val="20"/>
              </w:rPr>
              <w:t>Engineering</w:t>
            </w:r>
          </w:p>
          <w:p w14:paraId="686D1E3E" w14:textId="45D16074" w:rsidR="00A4400C" w:rsidRPr="003A74FA" w:rsidRDefault="0051385A" w:rsidP="00A8498E">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4FA" w:rsidRPr="003A74FA">
              <w:rPr>
                <w:rFonts w:ascii="Arial" w:hAnsi="Arial" w:cs="Arial"/>
                <w:b/>
                <w:color w:val="FFFFFF" w:themeColor="background1"/>
                <w:spacing w:val="-10"/>
                <w:sz w:val="20"/>
              </w:rPr>
              <w:t>Licenses &amp; Certifications</w:t>
            </w:r>
          </w:p>
          <w:p w14:paraId="067A2A6F" w14:textId="2FE9A038" w:rsidR="003A74FA" w:rsidRDefault="003A74FA"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Professional </w:t>
            </w:r>
            <w:r w:rsidR="003136D7">
              <w:rPr>
                <w:rFonts w:ascii="Arial Narrow" w:hAnsi="Arial Narrow"/>
                <w:color w:val="FFFFFF" w:themeColor="background1"/>
                <w:sz w:val="20"/>
              </w:rPr>
              <w:t>Engineer</w:t>
            </w:r>
            <w:r w:rsidRPr="003A74FA">
              <w:rPr>
                <w:rFonts w:ascii="Arial Narrow" w:hAnsi="Arial Narrow"/>
                <w:color w:val="FFFFFF" w:themeColor="background1"/>
                <w:sz w:val="20"/>
              </w:rPr>
              <w:t xml:space="preserve"> – Florida</w:t>
            </w:r>
            <w:r w:rsidR="003136D7">
              <w:rPr>
                <w:rFonts w:ascii="Arial Narrow" w:hAnsi="Arial Narrow"/>
                <w:color w:val="FFFFFF" w:themeColor="background1"/>
                <w:sz w:val="20"/>
              </w:rPr>
              <w:br/>
            </w:r>
            <w:r w:rsidRPr="003A74FA">
              <w:rPr>
                <w:rFonts w:ascii="Arial Narrow" w:hAnsi="Arial Narrow"/>
                <w:color w:val="FFFFFF" w:themeColor="background1"/>
                <w:sz w:val="20"/>
              </w:rPr>
              <w:t>No.</w:t>
            </w:r>
            <w:r w:rsidR="000A2181">
              <w:rPr>
                <w:rFonts w:ascii="Arial Narrow" w:hAnsi="Arial Narrow"/>
                <w:color w:val="FFFFFF" w:themeColor="background1"/>
                <w:sz w:val="20"/>
              </w:rPr>
              <w:t xml:space="preserve"> </w:t>
            </w:r>
            <w:r w:rsidR="00EE4230">
              <w:rPr>
                <w:rFonts w:ascii="Arial Narrow" w:hAnsi="Arial Narrow"/>
                <w:color w:val="FFFFFF" w:themeColor="background1"/>
                <w:sz w:val="20"/>
              </w:rPr>
              <w:t>69202</w:t>
            </w:r>
          </w:p>
          <w:p w14:paraId="4A4944C7" w14:textId="79EF0CDF" w:rsidR="00A4400C" w:rsidRDefault="00A4400C"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40-hour</w:t>
            </w:r>
            <w:r w:rsidR="003A74FA">
              <w:rPr>
                <w:rFonts w:ascii="Arial Narrow" w:hAnsi="Arial Narrow"/>
                <w:color w:val="FFFFFF" w:themeColor="background1"/>
                <w:sz w:val="20"/>
              </w:rPr>
              <w:t xml:space="preserve"> 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Training</w:t>
            </w:r>
          </w:p>
          <w:p w14:paraId="26E76A56" w14:textId="3BDBFF13" w:rsidR="00C5795F" w:rsidRDefault="00A4400C" w:rsidP="009D267F">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w:t>
            </w:r>
            <w:r w:rsidR="003A74FA">
              <w:rPr>
                <w:rFonts w:ascii="Arial Narrow" w:hAnsi="Arial Narrow"/>
                <w:color w:val="FFFFFF" w:themeColor="background1"/>
                <w:sz w:val="20"/>
              </w:rPr>
              <w:t xml:space="preserve">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Refresher</w:t>
            </w:r>
          </w:p>
          <w:p w14:paraId="0FF600A0" w14:textId="7C084F75" w:rsidR="00EE4230" w:rsidRDefault="00EE4230" w:rsidP="009D267F">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FDEP Qualified Stormwater Management Inspector #7071</w:t>
            </w:r>
          </w:p>
          <w:p w14:paraId="3B89728F" w14:textId="5899192A" w:rsidR="00A53814" w:rsidRPr="0051385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before="240" w:after="40"/>
              <w:ind w:left="173" w:hanging="101"/>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6432" behindDoc="0" locked="0" layoutInCell="1" allowOverlap="1" wp14:anchorId="28064D3F" wp14:editId="48E438B6">
                  <wp:simplePos x="0" y="0"/>
                  <wp:positionH relativeFrom="column">
                    <wp:posOffset>-51435</wp:posOffset>
                  </wp:positionH>
                  <wp:positionV relativeFrom="paragraph">
                    <wp:posOffset>46660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bookmarkStart w:id="0" w:name="_Hlk143256100"/>
            <w:r w:rsidRPr="002771E4">
              <w:rPr>
                <w:rFonts w:ascii="Arial Narrow" w:hAnsi="Arial Narrow"/>
                <w:color w:val="FFFFFF" w:themeColor="background1"/>
                <w:sz w:val="18"/>
                <w:szCs w:val="18"/>
              </w:rPr>
              <w:t xml:space="preserve">Implement </w:t>
            </w:r>
            <w:r w:rsidR="00A8498E" w:rsidRPr="002771E4">
              <w:rPr>
                <w:rFonts w:ascii="Arial Narrow" w:hAnsi="Arial Narrow"/>
                <w:color w:val="FFFFFF" w:themeColor="background1"/>
                <w:sz w:val="18"/>
                <w:szCs w:val="18"/>
              </w:rPr>
              <w:t>and</w:t>
            </w:r>
            <w:r w:rsidRPr="002771E4">
              <w:rPr>
                <w:rFonts w:ascii="Arial Narrow" w:hAnsi="Arial Narrow"/>
                <w:color w:val="FFFFFF" w:themeColor="background1"/>
                <w:sz w:val="18"/>
                <w:szCs w:val="18"/>
              </w:rPr>
              <w:t xml:space="preserve"> interpret biological and/or water quality monitoring data</w:t>
            </w:r>
          </w:p>
          <w:p w14:paraId="119F6323" w14:textId="3D7EE153"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Groundwater flow analysis and/or contaminant fate and transport analysis</w:t>
            </w:r>
          </w:p>
          <w:p w14:paraId="38C7102F" w14:textId="1159C92B"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Scientific and engineering analysis</w:t>
            </w:r>
          </w:p>
          <w:p w14:paraId="0FBA25D4"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on groundwater restoration projects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in authoring documents</w:t>
            </w:r>
            <w:bookmarkEnd w:id="0"/>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3000158A" w:rsidR="00B84988" w:rsidRPr="00A46D2C" w:rsidRDefault="00EE4230" w:rsidP="00B84988">
            <w:pPr>
              <w:spacing w:after="0"/>
              <w:rPr>
                <w:rFonts w:ascii="Century Gothic" w:hAnsi="Century Gothic"/>
                <w:b/>
                <w:color w:val="046CA0"/>
                <w:sz w:val="32"/>
                <w:szCs w:val="32"/>
              </w:rPr>
            </w:pPr>
            <w:r>
              <w:rPr>
                <w:rFonts w:ascii="Century Gothic" w:hAnsi="Century Gothic"/>
                <w:b/>
                <w:color w:val="046CA0"/>
                <w:sz w:val="32"/>
                <w:szCs w:val="32"/>
              </w:rPr>
              <w:t xml:space="preserve">Marco Hernandez, </w:t>
            </w:r>
            <w:r w:rsidR="003136D7">
              <w:rPr>
                <w:rFonts w:ascii="Century Gothic" w:hAnsi="Century Gothic"/>
                <w:b/>
                <w:color w:val="046CA0"/>
                <w:sz w:val="32"/>
                <w:szCs w:val="32"/>
              </w:rPr>
              <w:t>PE</w:t>
            </w:r>
          </w:p>
          <w:p w14:paraId="2A2D8665" w14:textId="61AEDECC" w:rsidR="00567DBA" w:rsidRDefault="009C349F" w:rsidP="00D64845">
            <w:pPr>
              <w:spacing w:after="0"/>
            </w:pPr>
            <w:r>
              <w:rPr>
                <w:rFonts w:ascii="Century Gothic" w:hAnsi="Century Gothic"/>
                <w:color w:val="404040" w:themeColor="text1" w:themeTint="BF"/>
                <w:sz w:val="24"/>
                <w:szCs w:val="24"/>
              </w:rPr>
              <w:t>Pro</w:t>
            </w:r>
            <w:r w:rsidR="003136D7">
              <w:rPr>
                <w:rFonts w:ascii="Century Gothic" w:hAnsi="Century Gothic"/>
                <w:color w:val="404040" w:themeColor="text1" w:themeTint="BF"/>
                <w:sz w:val="24"/>
                <w:szCs w:val="24"/>
              </w:rPr>
              <w:t>fessional Engineer</w:t>
            </w:r>
          </w:p>
        </w:tc>
        <w:tc>
          <w:tcPr>
            <w:tcW w:w="1170" w:type="dxa"/>
            <w:tcBorders>
              <w:top w:val="nil"/>
              <w:left w:val="nil"/>
              <w:bottom w:val="single" w:sz="18" w:space="0" w:color="92D050"/>
              <w:right w:val="nil"/>
            </w:tcBorders>
            <w:shd w:val="clear" w:color="auto" w:fill="F2F2F2" w:themeFill="background1" w:themeFillShade="F2"/>
          </w:tcPr>
          <w:p w14:paraId="04B58C45" w14:textId="72F0B47B" w:rsidR="00B84988" w:rsidRPr="007F5D90" w:rsidRDefault="003136D7" w:rsidP="00141653">
            <w:pPr>
              <w:spacing w:after="0"/>
              <w:jc w:val="center"/>
              <w:rPr>
                <w:rFonts w:ascii="Arial Black" w:hAnsi="Arial Black" w:cs="Arial"/>
                <w:color w:val="046CA0"/>
                <w:sz w:val="40"/>
                <w:szCs w:val="22"/>
              </w:rPr>
            </w:pPr>
            <w:r>
              <w:rPr>
                <w:rFonts w:ascii="Arial Black" w:hAnsi="Arial Black" w:cs="Arial"/>
                <w:color w:val="046CA0"/>
                <w:sz w:val="40"/>
                <w:szCs w:val="22"/>
              </w:rPr>
              <w:t>2</w:t>
            </w:r>
            <w:r w:rsidR="00EE4230">
              <w:rPr>
                <w:rFonts w:ascii="Arial Black" w:hAnsi="Arial Black" w:cs="Arial"/>
                <w:color w:val="046CA0"/>
                <w:sz w:val="40"/>
                <w:szCs w:val="22"/>
              </w:rPr>
              <w:t>0</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0A527876" w:rsidR="001D5759" w:rsidRDefault="00436941" w:rsidP="00436941">
            <w:r>
              <w:t xml:space="preserve">Throughout his career, Marco has been engaged in </w:t>
            </w:r>
            <w:r w:rsidRPr="00393131">
              <w:t xml:space="preserve">environmental regulatory compliance, </w:t>
            </w:r>
            <w:r>
              <w:t xml:space="preserve">soil and groundwater </w:t>
            </w:r>
            <w:r w:rsidRPr="00393131">
              <w:t xml:space="preserve">remediation, </w:t>
            </w:r>
            <w:r>
              <w:t xml:space="preserve">redevelopment of contaminated sites, environmental site closures, risk-based corrective action site closures, </w:t>
            </w:r>
            <w:r w:rsidRPr="00393131">
              <w:t xml:space="preserve">storage tank closure assessments, materials testing and construction inspection services. </w:t>
            </w:r>
            <w:r>
              <w:t>Marco</w:t>
            </w:r>
            <w:r w:rsidRPr="00393131">
              <w:t xml:space="preserve"> has prepared </w:t>
            </w:r>
            <w:r>
              <w:t xml:space="preserve">assessment plans/reports and </w:t>
            </w:r>
            <w:r w:rsidRPr="00393131">
              <w:t>remedial action work plans</w:t>
            </w:r>
            <w:r>
              <w:t>/reports</w:t>
            </w:r>
            <w:r w:rsidRPr="00393131">
              <w:t xml:space="preserve"> for the submission to the Miami-Dade County Department of Environmental Resources Management (DERM), the Broward County Environmental Protection and Growth Management Department (EPGMD) and the Florida Department of Environmental Protection (FDEP). </w:t>
            </w:r>
            <w:r>
              <w:t xml:space="preserve">He </w:t>
            </w:r>
            <w:r w:rsidRPr="00393131">
              <w:t>has conducted environmental assessments for government agencies such as</w:t>
            </w:r>
            <w:r>
              <w:t xml:space="preserve">, </w:t>
            </w:r>
            <w:r w:rsidRPr="00393131">
              <w:t>Miami-Dade County Regulatory and Economic Resources, Miami-Dade County Public Schools, Miami-Dade College, the City of Miami</w:t>
            </w:r>
            <w:r>
              <w:t>,</w:t>
            </w:r>
            <w:r w:rsidRPr="00393131">
              <w:t xml:space="preserve"> </w:t>
            </w:r>
            <w:r>
              <w:t>Florida Department of Transportation</w:t>
            </w:r>
            <w:r w:rsidRPr="00393131">
              <w:t xml:space="preserve"> </w:t>
            </w:r>
            <w:r>
              <w:t xml:space="preserve">(for FDOT contractors) </w:t>
            </w:r>
            <w:r w:rsidRPr="00393131">
              <w:t>and the United States Navy.</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F196A">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F196A">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586370F7" w:rsidR="00A4400C" w:rsidRPr="00A4400C" w:rsidRDefault="00436941"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19</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572A9686" w:rsidR="00A4400C" w:rsidRPr="00A4400C" w:rsidRDefault="003136D7"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2</w:t>
            </w:r>
            <w:r w:rsidR="00436941">
              <w:rPr>
                <w:rFonts w:ascii="Arial Narrow" w:hAnsi="Arial Narrow"/>
                <w:b/>
                <w:bCs/>
                <w:color w:val="046CA0"/>
                <w:sz w:val="28"/>
                <w:szCs w:val="22"/>
              </w:rPr>
              <w:t>0</w:t>
            </w:r>
            <w:r w:rsidR="003A74FA">
              <w:rPr>
                <w:rFonts w:ascii="Arial Narrow" w:hAnsi="Arial Narrow"/>
                <w:b/>
                <w:bCs/>
                <w:color w:val="046CA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5DF92D33" w:rsidR="00A4400C" w:rsidRPr="00A4400C" w:rsidRDefault="00436941"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19</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1B589CD3" w14:textId="48F2D504" w:rsidR="00EE4230" w:rsidRPr="00436941" w:rsidRDefault="00EE4230" w:rsidP="00436941">
      <w:pPr>
        <w:spacing w:before="120" w:after="120"/>
      </w:pPr>
      <w:r w:rsidRPr="00436941">
        <w:rPr>
          <w:rFonts w:ascii="Franklin Gothic Demi" w:hAnsi="Franklin Gothic Demi"/>
        </w:rPr>
        <w:t xml:space="preserve">Groundwater Remediation (HWR-471), Private Utility Provider, Miami-Dade County, Florida. </w:t>
      </w:r>
      <w:r w:rsidRPr="00436941">
        <w:t>Program Manager/Project Director/Project Manager. Designed arsenic and petroleum groundwater remediation pilot test and associated pump tests for a private utility provider. Managed construction and operation of the arsenic and petroleum groundwater remediation pilot and pump tests. Prepared the remedial action plan (RAP), which was approved by DERM. Obtained the Water Use Permits (WUP) through the SFWMD. Managed the preparation of the construction plans for full-scale groundwater remediation system. Permitted the construction of the groundwater remediation system through the Miami-Dade County Building Department. Managed the construction, operation, maintenance and reporting for the full-scale system since 2015. Mineral oil FFP levels at the site have decreased from approximately two feet to almost an immeasurable thickness since the pilot test. The system remains operational to complete the arsenic portion of the remediation.</w:t>
      </w:r>
    </w:p>
    <w:p w14:paraId="318517E8" w14:textId="6CFD96F0" w:rsidR="00EE4230" w:rsidRDefault="00EE4230" w:rsidP="00436941">
      <w:pPr>
        <w:spacing w:after="120"/>
      </w:pPr>
      <w:r w:rsidRPr="00436941">
        <w:rPr>
          <w:rFonts w:ascii="Franklin Gothic Demi" w:hAnsi="Franklin Gothic Demi"/>
        </w:rPr>
        <w:t xml:space="preserve">Groundwater Remediation (ERIC_14356), Private Utility Provider, Miami-Dade County, Florida. </w:t>
      </w:r>
      <w:r w:rsidRPr="00436941">
        <w:t>Program Manager/Project Director. Reviewed the pilot test and full-scale system design for the petroleum groundwater remediation. Served as lead technical advisor during RAP preparation. The RAP was approved by FDEP in 2021.</w:t>
      </w:r>
      <w:r w:rsidR="00D7232E">
        <w:t xml:space="preserve"> </w:t>
      </w:r>
      <w:r w:rsidRPr="00436941">
        <w:t xml:space="preserve">FDEP has approved the discontinuing of active remediation at the site, due to the mineral oil thickness decreasing to a level that does not pose a risk to the human health and the environment. The system was deactivated during the summer of 2023, in preparation for two quarters of groundwater monitoring to meet the RMO Level 2 requirements. </w:t>
      </w:r>
    </w:p>
    <w:p w14:paraId="5B71F9D7" w14:textId="281DD859" w:rsidR="00436941" w:rsidRDefault="00436941" w:rsidP="00436941">
      <w:pPr>
        <w:spacing w:after="120"/>
      </w:pPr>
      <w:r w:rsidRPr="00436941">
        <w:rPr>
          <w:rFonts w:ascii="Franklin Gothic Demi" w:hAnsi="Franklin Gothic Demi"/>
        </w:rPr>
        <w:t>Underground Storage Tank Closure (Facility ID# 9819154), Kendall Associates, LLLP, Miami-Dade County, Florida</w:t>
      </w:r>
      <w:r>
        <w:rPr>
          <w:rFonts w:ascii="Franklin Gothic Demi" w:hAnsi="Franklin Gothic Demi"/>
        </w:rPr>
        <w:t>.</w:t>
      </w:r>
      <w:r>
        <w:t xml:space="preserve"> Project Director.</w:t>
      </w:r>
      <w:r w:rsidR="00D7232E">
        <w:t xml:space="preserve"> </w:t>
      </w:r>
      <w:r w:rsidRPr="002B2021">
        <w:t>Engineer of Record on the Tank Closure Assessment</w:t>
      </w:r>
      <w:r>
        <w:t xml:space="preserve">. One previously-abandoned UST was removed from the site. DERM approved the Tank Closure Assessment Report. </w:t>
      </w:r>
    </w:p>
    <w:p w14:paraId="3E8A946F" w14:textId="33646817" w:rsidR="00436941" w:rsidRPr="002B2021" w:rsidRDefault="00436941" w:rsidP="00436941">
      <w:pPr>
        <w:spacing w:after="120"/>
      </w:pPr>
      <w:r w:rsidRPr="00D7232E">
        <w:rPr>
          <w:rFonts w:ascii="Franklin Gothic Demi" w:hAnsi="Franklin Gothic Demi"/>
        </w:rPr>
        <w:t>Aboveground Storage Tank Closure (Facility ID# 9805816), DMG Properties, Miami-Dade County, Florida</w:t>
      </w:r>
      <w:r w:rsidR="00D7232E" w:rsidRPr="00D7232E">
        <w:rPr>
          <w:rFonts w:ascii="Franklin Gothic Demi" w:hAnsi="Franklin Gothic Demi"/>
        </w:rPr>
        <w:t>.</w:t>
      </w:r>
      <w:r w:rsidRPr="00D7232E">
        <w:rPr>
          <w:rFonts w:ascii="Franklin Gothic Demi" w:hAnsi="Franklin Gothic Demi"/>
        </w:rPr>
        <w:t xml:space="preserve"> </w:t>
      </w:r>
      <w:r>
        <w:t>Project Director.</w:t>
      </w:r>
      <w:r w:rsidR="00D7232E">
        <w:t xml:space="preserve"> </w:t>
      </w:r>
      <w:r>
        <w:t>Coordinated the required reporting to DERM for the removal of one aboveground storag</w:t>
      </w:r>
      <w:r w:rsidR="0078726B">
        <w:t>e tank. Requirements were met</w:t>
      </w:r>
      <w:r>
        <w:t>.</w:t>
      </w:r>
    </w:p>
    <w:p w14:paraId="656D2C4E" w14:textId="3214A0C9" w:rsidR="00436941" w:rsidRPr="00596A62" w:rsidRDefault="00436941" w:rsidP="00436941">
      <w:pPr>
        <w:spacing w:after="120"/>
      </w:pPr>
      <w:r w:rsidRPr="00D7232E">
        <w:rPr>
          <w:rFonts w:ascii="Franklin Gothic Demi" w:hAnsi="Franklin Gothic Demi"/>
        </w:rPr>
        <w:t xml:space="preserve">Soil Remediation/Source Removal (HWR-723), Annie Coleman Apartments, Miami-Dade County, Florida. </w:t>
      </w:r>
      <w:r w:rsidRPr="00E368A5">
        <w:t xml:space="preserve">Project Engineer. </w:t>
      </w:r>
      <w:r w:rsidRPr="00393131">
        <w:t>For a 245-unit public housing development</w:t>
      </w:r>
      <w:r>
        <w:t>,</w:t>
      </w:r>
      <w:r w:rsidRPr="00393131">
        <w:t xml:space="preserve"> oversaw </w:t>
      </w:r>
      <w:r>
        <w:t xml:space="preserve">and certified </w:t>
      </w:r>
      <w:r w:rsidRPr="00393131">
        <w:t xml:space="preserve">the removal of </w:t>
      </w:r>
      <w:r>
        <w:t>PAH-</w:t>
      </w:r>
      <w:r w:rsidRPr="00393131">
        <w:t xml:space="preserve">contaminated soil in a residential area. The project was completed in nine weeks with 1,900 cubic yards of soil </w:t>
      </w:r>
      <w:r w:rsidRPr="00393131">
        <w:lastRenderedPageBreak/>
        <w:t xml:space="preserve">removed from approximately 82,500 square feet of unpaved surfaces throughout the </w:t>
      </w:r>
      <w:r>
        <w:t xml:space="preserve">Miami-Dade County </w:t>
      </w:r>
      <w:r w:rsidRPr="00393131">
        <w:t>public housing complex.</w:t>
      </w:r>
      <w:r>
        <w:t xml:space="preserve"> </w:t>
      </w:r>
    </w:p>
    <w:p w14:paraId="2B6D52D4" w14:textId="6498C46C" w:rsidR="00436941" w:rsidRPr="00393131" w:rsidRDefault="00436941" w:rsidP="00436941">
      <w:pPr>
        <w:spacing w:after="120"/>
      </w:pPr>
      <w:r w:rsidRPr="00D7232E">
        <w:rPr>
          <w:rFonts w:ascii="Franklin Gothic Demi" w:hAnsi="Franklin Gothic Demi"/>
        </w:rPr>
        <w:t>Site Assessment and Monitoring (HWR-582), Former Somerstein Warehouse, Miami-Dade County, Florida</w:t>
      </w:r>
      <w:r w:rsidR="00D7232E" w:rsidRPr="00D7232E">
        <w:rPr>
          <w:rFonts w:ascii="Franklin Gothic Demi" w:hAnsi="Franklin Gothic Demi"/>
        </w:rPr>
        <w:t>.</w:t>
      </w:r>
      <w:r w:rsidRPr="00D7232E">
        <w:rPr>
          <w:rFonts w:ascii="Franklin Gothic Demi" w:hAnsi="Franklin Gothic Demi"/>
        </w:rPr>
        <w:t xml:space="preserve"> </w:t>
      </w:r>
      <w:r>
        <w:t>Project Engineer. Performed soil and groundwater sampling field activities to delineation FFP under an interior warehouse concrete slab. Conducted oversight on monitoring well installations and conducted groundwater sampling to monitor the FFP plume for conditional site closure. Assisted with reporting.</w:t>
      </w:r>
    </w:p>
    <w:p w14:paraId="1C0F46B1" w14:textId="68110E0F" w:rsidR="00436941" w:rsidRPr="002C559F" w:rsidRDefault="00436941" w:rsidP="00436941">
      <w:pPr>
        <w:spacing w:after="120"/>
      </w:pPr>
      <w:r w:rsidRPr="00D7232E">
        <w:rPr>
          <w:rFonts w:ascii="Franklin Gothic Demi" w:hAnsi="Franklin Gothic Demi"/>
        </w:rPr>
        <w:t xml:space="preserve">Remedial Action Plan and Implementation (IW-270), Former Ciba-Geigy/BASF, Miami-Dade County, Florida. </w:t>
      </w:r>
      <w:r w:rsidRPr="008D6588">
        <w:t>Project Engineer.</w:t>
      </w:r>
      <w:r w:rsidRPr="00393131">
        <w:t xml:space="preserve"> </w:t>
      </w:r>
      <w:r>
        <w:t>C</w:t>
      </w:r>
      <w:r w:rsidRPr="00393131">
        <w:t>onducted soil, groundwater and soil vapor sampling in an active warehouse.</w:t>
      </w:r>
      <w:r>
        <w:t xml:space="preserve"> </w:t>
      </w:r>
      <w:r w:rsidRPr="00393131">
        <w:t>Prepared a soil vapor and groundwater remediation work plan for submission DERM</w:t>
      </w:r>
      <w:r>
        <w:t xml:space="preserve"> to reduce TRPH, acetone, isopropyl alcohol and phenolic subsurface concentrations in the active warehouse</w:t>
      </w:r>
      <w:r w:rsidRPr="00393131">
        <w:t xml:space="preserve">. Oversaw recovery well </w:t>
      </w:r>
      <w:r>
        <w:t>and horizontal vapor extraction well construction.</w:t>
      </w:r>
      <w:r w:rsidRPr="00393131">
        <w:t xml:space="preserve"> The remedial action removed over 99 percent of contaminants in soil in six months and reduced the size and magnitude of the groundwater impacts plume through short-term groundwater extraction</w:t>
      </w:r>
      <w:r>
        <w:t xml:space="preserve">, in support of reducing the vapor intrusion potential and achieving conditional site closure. </w:t>
      </w:r>
    </w:p>
    <w:p w14:paraId="1117A635" w14:textId="34C653E7" w:rsidR="00436941" w:rsidRPr="002C559F" w:rsidRDefault="00436941" w:rsidP="00436941">
      <w:pPr>
        <w:spacing w:after="120"/>
      </w:pPr>
      <w:r w:rsidRPr="00D7232E">
        <w:rPr>
          <w:rFonts w:ascii="Franklin Gothic Demi" w:hAnsi="Franklin Gothic Demi"/>
        </w:rPr>
        <w:t xml:space="preserve">Storage Tank Removal and Closure Assessment (Facility ID# 138622122), City of Miami Police Headquarters, Miami-Dade County, Florida. </w:t>
      </w:r>
      <w:r w:rsidRPr="008D6588">
        <w:t>Project Engineer.</w:t>
      </w:r>
      <w:r w:rsidRPr="00393131">
        <w:t xml:space="preserve"> Oversaw removal</w:t>
      </w:r>
      <w:r>
        <w:t xml:space="preserve"> of 10,000-gallon diesel UST</w:t>
      </w:r>
      <w:r w:rsidRPr="00393131">
        <w:t xml:space="preserve">, </w:t>
      </w:r>
      <w:r>
        <w:t xml:space="preserve">performed the field work and oversight for the </w:t>
      </w:r>
      <w:r w:rsidRPr="00393131">
        <w:t xml:space="preserve">associated </w:t>
      </w:r>
      <w:r>
        <w:t>assessment and source removal. Prepared</w:t>
      </w:r>
      <w:r w:rsidRPr="00393131">
        <w:t xml:space="preserve"> the associated Tank Closure Assessment Report (TCAR) for the City of Miami. </w:t>
      </w:r>
    </w:p>
    <w:p w14:paraId="534FF1AE" w14:textId="5BF530DD" w:rsidR="00436941" w:rsidRPr="00393131" w:rsidRDefault="00436941" w:rsidP="00436941">
      <w:pPr>
        <w:spacing w:after="120"/>
      </w:pPr>
      <w:r w:rsidRPr="00D7232E">
        <w:rPr>
          <w:rFonts w:ascii="Franklin Gothic Demi" w:hAnsi="Franklin Gothic Demi"/>
        </w:rPr>
        <w:t>Storage Tank and Source Removal (Facility ID# 139811004), Cipriani Ocean Resort, Miami Beach, Florida</w:t>
      </w:r>
      <w:r w:rsidR="00D7232E" w:rsidRPr="00D7232E">
        <w:rPr>
          <w:rFonts w:ascii="Franklin Gothic Demi" w:hAnsi="Franklin Gothic Demi"/>
        </w:rPr>
        <w:t>.</w:t>
      </w:r>
      <w:r w:rsidRPr="00D7232E">
        <w:rPr>
          <w:rFonts w:ascii="Franklin Gothic Demi" w:hAnsi="Franklin Gothic Demi"/>
        </w:rPr>
        <w:t xml:space="preserve"> </w:t>
      </w:r>
      <w:r>
        <w:t>Project Engineer.</w:t>
      </w:r>
      <w:r w:rsidRPr="00393131">
        <w:t xml:space="preserve"> Oversaw removal</w:t>
      </w:r>
      <w:r>
        <w:t xml:space="preserve"> of a two USTs (4,000-gallon and 550-gallon).</w:t>
      </w:r>
      <w:r w:rsidRPr="00393131">
        <w:t xml:space="preserve"> Conducted and certified the associated site assessment and source removal. Generated the TCAR </w:t>
      </w:r>
      <w:r>
        <w:t xml:space="preserve">and source removal reporting </w:t>
      </w:r>
      <w:r w:rsidRPr="00393131">
        <w:t>for the Client for submittal to DERM and FDEP. Subsequently received a Site Rehabilitation Completion Order</w:t>
      </w:r>
      <w:r>
        <w:t>.</w:t>
      </w:r>
      <w:r w:rsidRPr="00393131">
        <w:t xml:space="preserve"> </w:t>
      </w:r>
    </w:p>
    <w:p w14:paraId="3CF7836B" w14:textId="4FC4241C" w:rsidR="00436941" w:rsidRDefault="00436941" w:rsidP="00436941">
      <w:pPr>
        <w:spacing w:after="120"/>
      </w:pPr>
      <w:r w:rsidRPr="00D7232E">
        <w:rPr>
          <w:rFonts w:ascii="Franklin Gothic Demi" w:hAnsi="Franklin Gothic Demi"/>
        </w:rPr>
        <w:t xml:space="preserve">Limited Scope Remedial Action Plan (Facility ID# 8631132), MCO#1/Walgreens Store #05757, Pace, Florida. </w:t>
      </w:r>
      <w:r w:rsidRPr="008D6588">
        <w:t xml:space="preserve">Project Engineer. </w:t>
      </w:r>
      <w:r w:rsidRPr="00393131">
        <w:t xml:space="preserve">Prepared a </w:t>
      </w:r>
      <w:r>
        <w:t xml:space="preserve">Limited Scope </w:t>
      </w:r>
      <w:r w:rsidRPr="00393131">
        <w:t>RAP</w:t>
      </w:r>
      <w:r>
        <w:t xml:space="preserve"> </w:t>
      </w:r>
      <w:r w:rsidRPr="00393131">
        <w:t>for a high-</w:t>
      </w:r>
      <w:r>
        <w:t>priority program site to evaluate FFP removal treatment technologies for contaminated clay soil where previous attempts at remediation had failed.</w:t>
      </w:r>
      <w:r w:rsidRPr="00393131">
        <w:t xml:space="preserve"> </w:t>
      </w:r>
    </w:p>
    <w:p w14:paraId="7E79663A" w14:textId="04D14FB8" w:rsidR="00436941" w:rsidRPr="00393131" w:rsidRDefault="00436941" w:rsidP="00436941">
      <w:pPr>
        <w:spacing w:after="120"/>
      </w:pPr>
      <w:r w:rsidRPr="00D7232E">
        <w:rPr>
          <w:rFonts w:ascii="Franklin Gothic Demi" w:hAnsi="Franklin Gothic Demi"/>
        </w:rPr>
        <w:t>Tank Removal Oversight and Assessment (Facility ID# 138504442), DuPont Plaza, Miami, Florida.</w:t>
      </w:r>
      <w:r w:rsidRPr="008D6588">
        <w:t xml:space="preserve"> </w:t>
      </w:r>
      <w:r>
        <w:t>Field Scientist</w:t>
      </w:r>
      <w:r w:rsidRPr="008D6588">
        <w:t xml:space="preserve">. </w:t>
      </w:r>
      <w:r>
        <w:t>Conducted tank removal and excavation oversight for a private client, as well as closure assessment soil and groundwater sampling.</w:t>
      </w:r>
      <w:r w:rsidRPr="00393131">
        <w:t xml:space="preserve"> </w:t>
      </w:r>
      <w:r>
        <w:t>An SRCO was issued for the site</w:t>
      </w:r>
      <w:r w:rsidR="0078726B">
        <w:t>.</w:t>
      </w:r>
      <w:r>
        <w:t xml:space="preserve"> </w:t>
      </w:r>
    </w:p>
    <w:p w14:paraId="50342EBF" w14:textId="1B3C3F67" w:rsidR="00436941" w:rsidRDefault="00436941" w:rsidP="00436941">
      <w:pPr>
        <w:spacing w:after="120"/>
      </w:pPr>
      <w:r w:rsidRPr="00D7232E">
        <w:rPr>
          <w:rFonts w:ascii="Franklin Gothic Demi" w:hAnsi="Franklin Gothic Demi"/>
        </w:rPr>
        <w:t xml:space="preserve">Tank Removal Oversight Assessment (Facility ID# 139810148), Orange Bowl Stadium and Associated Parcels (Former Moonlight Service Station), Miami, Florida. </w:t>
      </w:r>
      <w:r w:rsidRPr="008D6588">
        <w:t xml:space="preserve">Project Engineer. </w:t>
      </w:r>
      <w:r w:rsidRPr="00393131">
        <w:t xml:space="preserve">Prepared </w:t>
      </w:r>
      <w:r>
        <w:t>sampling plans, assisted with reporting duties, conducted tank removal oversight and associated soil and groundwater sampling at the Former Moonlight Service Station, one of the outparcels of the Orange Bowl redevelopment into the Florida Marlins Stadium. Prepared dewatering plans with arsenic treatment for public infrastructure improvements for the Florida Marlins Stadium construction.</w:t>
      </w:r>
      <w:r w:rsidRPr="00393131">
        <w:t xml:space="preserve"> </w:t>
      </w:r>
    </w:p>
    <w:sectPr w:rsidR="00436941" w:rsidSect="00BB2367">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720" w:left="1080" w:header="432" w:footer="432"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27A7" w14:textId="77777777" w:rsidR="00BB2367" w:rsidRDefault="00BB2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BB2367" w14:paraId="428D5C09" w14:textId="77777777" w:rsidTr="00EC7DE0">
      <w:tc>
        <w:tcPr>
          <w:tcW w:w="2515" w:type="dxa"/>
          <w:vAlign w:val="center"/>
          <w:hideMark/>
        </w:tcPr>
        <w:p w14:paraId="28A971BF" w14:textId="77777777" w:rsidR="00BB2367" w:rsidRDefault="00BB2367" w:rsidP="00BB2367">
          <w:pPr>
            <w:pStyle w:val="Footer"/>
            <w:tabs>
              <w:tab w:val="clear" w:pos="9360"/>
              <w:tab w:val="center" w:pos="5040"/>
              <w:tab w:val="right" w:pos="10080"/>
            </w:tabs>
            <w:rPr>
              <w:b/>
              <w:caps/>
              <w:color w:val="404040" w:themeColor="text1" w:themeTint="BF"/>
            </w:rPr>
          </w:pPr>
          <w:r>
            <w:rPr>
              <w:noProof/>
            </w:rPr>
            <w:drawing>
              <wp:inline distT="0" distB="0" distL="0" distR="0" wp14:anchorId="4BC91173" wp14:editId="7BAF3AD2">
                <wp:extent cx="1144905" cy="107315"/>
                <wp:effectExtent l="0" t="0" r="0" b="6985"/>
                <wp:docPr id="1307142159"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077D7FA3" w14:textId="77777777" w:rsidR="00BB2367" w:rsidRDefault="00BB2367" w:rsidP="00BB2367">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74963C1F" w14:textId="77777777" w:rsidR="00BB2367" w:rsidRDefault="00BB2367" w:rsidP="00BB2367">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19</w:t>
          </w:r>
          <w:r>
            <w:rPr>
              <w:b/>
              <w:caps/>
              <w:noProof/>
              <w:color w:val="FFFFFF" w:themeColor="background1"/>
            </w:rPr>
            <w:fldChar w:fldCharType="end"/>
          </w:r>
        </w:p>
      </w:tc>
    </w:tr>
  </w:tbl>
  <w:p w14:paraId="441098F7" w14:textId="77777777" w:rsidR="00BB2367" w:rsidRDefault="00BB2367" w:rsidP="00BB2367">
    <w:pPr>
      <w:pStyle w:val="Footer"/>
      <w:tabs>
        <w:tab w:val="clear" w:pos="9360"/>
        <w:tab w:val="center" w:pos="5040"/>
        <w:tab w:val="right" w:pos="10080"/>
      </w:tabs>
      <w:rPr>
        <w:caps/>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8810" w14:textId="77777777" w:rsidR="00BB2367" w:rsidRDefault="00BB2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10A8" w14:textId="77777777" w:rsidR="00BB2367" w:rsidRDefault="00BB2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50C9" w14:textId="77777777" w:rsidR="00BB2367" w:rsidRDefault="00BB2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5EA5" w14:textId="77777777" w:rsidR="00BB2367" w:rsidRDefault="00BB2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FD4FF7"/>
    <w:multiLevelType w:val="hybridMultilevel"/>
    <w:tmpl w:val="159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36E767F6"/>
    <w:multiLevelType w:val="hybridMultilevel"/>
    <w:tmpl w:val="0CFE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3"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6"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8" w15:restartNumberingAfterBreak="0">
    <w:nsid w:val="51527FA5"/>
    <w:multiLevelType w:val="hybridMultilevel"/>
    <w:tmpl w:val="838A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0"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32"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5318B"/>
    <w:multiLevelType w:val="hybridMultilevel"/>
    <w:tmpl w:val="07F21684"/>
    <w:lvl w:ilvl="0" w:tplc="35EAE4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243A06"/>
    <w:multiLevelType w:val="hybridMultilevel"/>
    <w:tmpl w:val="53427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2091266981">
    <w:abstractNumId w:val="26"/>
  </w:num>
  <w:num w:numId="2" w16cid:durableId="172575921">
    <w:abstractNumId w:val="38"/>
  </w:num>
  <w:num w:numId="3" w16cid:durableId="1965575668">
    <w:abstractNumId w:val="29"/>
  </w:num>
  <w:num w:numId="4" w16cid:durableId="182474560">
    <w:abstractNumId w:val="18"/>
  </w:num>
  <w:num w:numId="5" w16cid:durableId="547912994">
    <w:abstractNumId w:val="33"/>
  </w:num>
  <w:num w:numId="6" w16cid:durableId="1184788391">
    <w:abstractNumId w:val="11"/>
  </w:num>
  <w:num w:numId="7" w16cid:durableId="1624727071">
    <w:abstractNumId w:val="14"/>
  </w:num>
  <w:num w:numId="8" w16cid:durableId="1422137765">
    <w:abstractNumId w:val="39"/>
  </w:num>
  <w:num w:numId="9" w16cid:durableId="1318025592">
    <w:abstractNumId w:val="24"/>
  </w:num>
  <w:num w:numId="10" w16cid:durableId="144973561">
    <w:abstractNumId w:val="23"/>
  </w:num>
  <w:num w:numId="11" w16cid:durableId="540291540">
    <w:abstractNumId w:val="35"/>
  </w:num>
  <w:num w:numId="12" w16cid:durableId="844436184">
    <w:abstractNumId w:val="13"/>
  </w:num>
  <w:num w:numId="13" w16cid:durableId="852114247">
    <w:abstractNumId w:val="36"/>
  </w:num>
  <w:num w:numId="14" w16cid:durableId="2057198459">
    <w:abstractNumId w:val="32"/>
  </w:num>
  <w:num w:numId="15" w16cid:durableId="710106095">
    <w:abstractNumId w:val="19"/>
  </w:num>
  <w:num w:numId="16" w16cid:durableId="1231958609">
    <w:abstractNumId w:val="12"/>
  </w:num>
  <w:num w:numId="17" w16cid:durableId="263192908">
    <w:abstractNumId w:val="15"/>
  </w:num>
  <w:num w:numId="18" w16cid:durableId="812714303">
    <w:abstractNumId w:val="9"/>
  </w:num>
  <w:num w:numId="19" w16cid:durableId="1287195701">
    <w:abstractNumId w:val="7"/>
  </w:num>
  <w:num w:numId="20" w16cid:durableId="217322218">
    <w:abstractNumId w:val="6"/>
  </w:num>
  <w:num w:numId="21" w16cid:durableId="2142723590">
    <w:abstractNumId w:val="5"/>
  </w:num>
  <w:num w:numId="22" w16cid:durableId="934021251">
    <w:abstractNumId w:val="4"/>
  </w:num>
  <w:num w:numId="23" w16cid:durableId="2080857212">
    <w:abstractNumId w:val="8"/>
  </w:num>
  <w:num w:numId="24" w16cid:durableId="672685165">
    <w:abstractNumId w:val="3"/>
  </w:num>
  <w:num w:numId="25" w16cid:durableId="1872840225">
    <w:abstractNumId w:val="2"/>
  </w:num>
  <w:num w:numId="26" w16cid:durableId="1445687634">
    <w:abstractNumId w:val="1"/>
  </w:num>
  <w:num w:numId="27" w16cid:durableId="1933082222">
    <w:abstractNumId w:val="0"/>
  </w:num>
  <w:num w:numId="28" w16cid:durableId="254749791">
    <w:abstractNumId w:val="25"/>
  </w:num>
  <w:num w:numId="29" w16cid:durableId="1804272997">
    <w:abstractNumId w:val="21"/>
  </w:num>
  <w:num w:numId="30" w16cid:durableId="273946605">
    <w:abstractNumId w:val="40"/>
  </w:num>
  <w:num w:numId="31" w16cid:durableId="2016301279">
    <w:abstractNumId w:val="17"/>
  </w:num>
  <w:num w:numId="32" w16cid:durableId="1839468092">
    <w:abstractNumId w:val="10"/>
  </w:num>
  <w:num w:numId="33" w16cid:durableId="1389573560">
    <w:abstractNumId w:val="27"/>
  </w:num>
  <w:num w:numId="34" w16cid:durableId="1997610918">
    <w:abstractNumId w:val="30"/>
  </w:num>
  <w:num w:numId="35" w16cid:durableId="756246089">
    <w:abstractNumId w:val="31"/>
  </w:num>
  <w:num w:numId="36" w16cid:durableId="275217577">
    <w:abstractNumId w:val="22"/>
  </w:num>
  <w:num w:numId="37" w16cid:durableId="879165675">
    <w:abstractNumId w:val="34"/>
  </w:num>
  <w:num w:numId="38" w16cid:durableId="1770194855">
    <w:abstractNumId w:val="20"/>
  </w:num>
  <w:num w:numId="39" w16cid:durableId="681279233">
    <w:abstractNumId w:val="16"/>
  </w:num>
  <w:num w:numId="40" w16cid:durableId="1323120757">
    <w:abstractNumId w:val="28"/>
  </w:num>
  <w:num w:numId="41" w16cid:durableId="11721854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A2181"/>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754E1"/>
    <w:rsid w:val="00175726"/>
    <w:rsid w:val="001819D7"/>
    <w:rsid w:val="00190338"/>
    <w:rsid w:val="001B58A5"/>
    <w:rsid w:val="001B72AD"/>
    <w:rsid w:val="001C2123"/>
    <w:rsid w:val="001D3219"/>
    <w:rsid w:val="001D5759"/>
    <w:rsid w:val="001F196A"/>
    <w:rsid w:val="001F2667"/>
    <w:rsid w:val="001F57C3"/>
    <w:rsid w:val="001F6112"/>
    <w:rsid w:val="001F68BF"/>
    <w:rsid w:val="00200739"/>
    <w:rsid w:val="00212108"/>
    <w:rsid w:val="002160FF"/>
    <w:rsid w:val="002161C8"/>
    <w:rsid w:val="00225892"/>
    <w:rsid w:val="00231989"/>
    <w:rsid w:val="00241B86"/>
    <w:rsid w:val="00245EBC"/>
    <w:rsid w:val="002477DC"/>
    <w:rsid w:val="0025795B"/>
    <w:rsid w:val="0026428F"/>
    <w:rsid w:val="00267193"/>
    <w:rsid w:val="002771E4"/>
    <w:rsid w:val="00285513"/>
    <w:rsid w:val="002928FA"/>
    <w:rsid w:val="002A01D3"/>
    <w:rsid w:val="002A5C78"/>
    <w:rsid w:val="002C54FB"/>
    <w:rsid w:val="002D0BC0"/>
    <w:rsid w:val="002D45BD"/>
    <w:rsid w:val="002E3C1F"/>
    <w:rsid w:val="002F7146"/>
    <w:rsid w:val="00302B8B"/>
    <w:rsid w:val="00305182"/>
    <w:rsid w:val="00311298"/>
    <w:rsid w:val="003136D7"/>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A74FA"/>
    <w:rsid w:val="003B3B0B"/>
    <w:rsid w:val="003C5EDF"/>
    <w:rsid w:val="003D3B23"/>
    <w:rsid w:val="003D5BCA"/>
    <w:rsid w:val="003D7767"/>
    <w:rsid w:val="003D7A3D"/>
    <w:rsid w:val="003F101A"/>
    <w:rsid w:val="003F64DC"/>
    <w:rsid w:val="004004C2"/>
    <w:rsid w:val="00424CD3"/>
    <w:rsid w:val="004361DE"/>
    <w:rsid w:val="00436941"/>
    <w:rsid w:val="00437771"/>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5F3CD7"/>
    <w:rsid w:val="00602E2F"/>
    <w:rsid w:val="006060A7"/>
    <w:rsid w:val="006220D0"/>
    <w:rsid w:val="00636921"/>
    <w:rsid w:val="00657343"/>
    <w:rsid w:val="0065747D"/>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3466F"/>
    <w:rsid w:val="007476AB"/>
    <w:rsid w:val="00747D9D"/>
    <w:rsid w:val="00762DE7"/>
    <w:rsid w:val="007712F6"/>
    <w:rsid w:val="0077240E"/>
    <w:rsid w:val="007734BF"/>
    <w:rsid w:val="0077565E"/>
    <w:rsid w:val="007849FE"/>
    <w:rsid w:val="00784D01"/>
    <w:rsid w:val="00786236"/>
    <w:rsid w:val="0078726B"/>
    <w:rsid w:val="007A3E0A"/>
    <w:rsid w:val="007A4892"/>
    <w:rsid w:val="007B0260"/>
    <w:rsid w:val="007D3256"/>
    <w:rsid w:val="007D38CE"/>
    <w:rsid w:val="007D6903"/>
    <w:rsid w:val="007D6B4C"/>
    <w:rsid w:val="007F575D"/>
    <w:rsid w:val="007F5D90"/>
    <w:rsid w:val="00800B71"/>
    <w:rsid w:val="008127AE"/>
    <w:rsid w:val="00841D7E"/>
    <w:rsid w:val="008523A3"/>
    <w:rsid w:val="008531F6"/>
    <w:rsid w:val="00854045"/>
    <w:rsid w:val="0086307D"/>
    <w:rsid w:val="00881E05"/>
    <w:rsid w:val="00885AA3"/>
    <w:rsid w:val="00886EE4"/>
    <w:rsid w:val="00894EFE"/>
    <w:rsid w:val="00896AD2"/>
    <w:rsid w:val="008A074A"/>
    <w:rsid w:val="008A4F6E"/>
    <w:rsid w:val="008B1E9C"/>
    <w:rsid w:val="008B4F76"/>
    <w:rsid w:val="008D0F93"/>
    <w:rsid w:val="008E7129"/>
    <w:rsid w:val="008F6FB0"/>
    <w:rsid w:val="009200C9"/>
    <w:rsid w:val="00943E37"/>
    <w:rsid w:val="009471C6"/>
    <w:rsid w:val="00963543"/>
    <w:rsid w:val="00965ED3"/>
    <w:rsid w:val="00966325"/>
    <w:rsid w:val="00971009"/>
    <w:rsid w:val="009759B9"/>
    <w:rsid w:val="00982646"/>
    <w:rsid w:val="00990627"/>
    <w:rsid w:val="009959CF"/>
    <w:rsid w:val="00996D2A"/>
    <w:rsid w:val="009C2DC6"/>
    <w:rsid w:val="009C349F"/>
    <w:rsid w:val="009C351C"/>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63E2"/>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AE3E07"/>
    <w:rsid w:val="00B0769D"/>
    <w:rsid w:val="00B269A7"/>
    <w:rsid w:val="00B35B9D"/>
    <w:rsid w:val="00B46071"/>
    <w:rsid w:val="00B46530"/>
    <w:rsid w:val="00B53B41"/>
    <w:rsid w:val="00B570A8"/>
    <w:rsid w:val="00B84988"/>
    <w:rsid w:val="00B90065"/>
    <w:rsid w:val="00BB0F75"/>
    <w:rsid w:val="00BB2367"/>
    <w:rsid w:val="00BB2844"/>
    <w:rsid w:val="00BB2C62"/>
    <w:rsid w:val="00BB5B03"/>
    <w:rsid w:val="00BC0A98"/>
    <w:rsid w:val="00BC2AB3"/>
    <w:rsid w:val="00BC4223"/>
    <w:rsid w:val="00BC6522"/>
    <w:rsid w:val="00BC67DF"/>
    <w:rsid w:val="00BD44E4"/>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0AF"/>
    <w:rsid w:val="00CD56AD"/>
    <w:rsid w:val="00CD6436"/>
    <w:rsid w:val="00CE6E22"/>
    <w:rsid w:val="00CF3B74"/>
    <w:rsid w:val="00CF6253"/>
    <w:rsid w:val="00D00A71"/>
    <w:rsid w:val="00D161DE"/>
    <w:rsid w:val="00D34D16"/>
    <w:rsid w:val="00D42034"/>
    <w:rsid w:val="00D569F7"/>
    <w:rsid w:val="00D57175"/>
    <w:rsid w:val="00D62576"/>
    <w:rsid w:val="00D64845"/>
    <w:rsid w:val="00D7232E"/>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EE4230"/>
    <w:rsid w:val="00EF143A"/>
    <w:rsid w:val="00F0009D"/>
    <w:rsid w:val="00F02F05"/>
    <w:rsid w:val="00F04CF4"/>
    <w:rsid w:val="00F077D7"/>
    <w:rsid w:val="00F179C6"/>
    <w:rsid w:val="00F21CC6"/>
    <w:rsid w:val="00F4039F"/>
    <w:rsid w:val="00F60867"/>
    <w:rsid w:val="00F61B2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AEB485-002F-496E-A541-575CC67827AF}">
  <ds:schemaRefs>
    <ds:schemaRef ds:uri="http://schemas.openxmlformats.org/officeDocument/2006/bibliography"/>
  </ds:schemaRefs>
</ds:datastoreItem>
</file>

<file path=customXml/itemProps2.xml><?xml version="1.0" encoding="utf-8"?>
<ds:datastoreItem xmlns:ds="http://schemas.openxmlformats.org/officeDocument/2006/customXml" ds:itemID="{282D1530-0C9F-4D6B-8A2E-6F86CD81E53B}"/>
</file>

<file path=customXml/itemProps3.xml><?xml version="1.0" encoding="utf-8"?>
<ds:datastoreItem xmlns:ds="http://schemas.openxmlformats.org/officeDocument/2006/customXml" ds:itemID="{04DDF162-85C6-48B0-B163-E874B1BC8ED2}"/>
</file>

<file path=customXml/itemProps4.xml><?xml version="1.0" encoding="utf-8"?>
<ds:datastoreItem xmlns:ds="http://schemas.openxmlformats.org/officeDocument/2006/customXml" ds:itemID="{A1A4BEE4-0B1A-4C45-8DC3-11A99D51568E}"/>
</file>

<file path=docProps/app.xml><?xml version="1.0" encoding="utf-8"?>
<Properties xmlns="http://schemas.openxmlformats.org/officeDocument/2006/extended-properties" xmlns:vt="http://schemas.openxmlformats.org/officeDocument/2006/docPropsVTypes">
  <Template>SCS_Report_Proposal_Template</Template>
  <TotalTime>26</TotalTime>
  <Pages>2</Pages>
  <Words>985</Words>
  <Characters>6430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7401</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5</cp:revision>
  <cp:lastPrinted>2023-06-15T19:11:00Z</cp:lastPrinted>
  <dcterms:created xsi:type="dcterms:W3CDTF">2023-08-22T01:19:00Z</dcterms:created>
  <dcterms:modified xsi:type="dcterms:W3CDTF">2023-09-18T16:00:00Z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