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b/>
          <w:bCs/>
          <w:color w:val="1F3A5F"/>
          <w:sz w:val="52"/>
          <w:szCs w:val="52"/>
        </w:rPr>
        <w:t xml:space="preserve">Plan Overview</w:t>
      </w:r>
    </w:p>
    <w:p>
      <w:pPr>
        <w:spacing w:after="40"/>
      </w:pPr>
      <w:r>
        <w:rPr>
          <w:color w:val="444444"/>
          <w:sz w:val="28"/>
          <w:szCs w:val="28"/>
        </w:rPr>
        <w:t xml:space="preserve">AI-Assisted Equities Day-Trading System</w:t>
      </w:r>
    </w:p>
    <w:p>
      <w:pPr>
        <w:pBdr>
          <w:bottom w:val="single" w:color="1F3A5F" w:sz="6" w:space="4"/>
        </w:pBdr>
        <w:spacing w:after="240"/>
      </w:pPr>
      <w:r>
        <w:rPr>
          <w:color w:val="888888"/>
          <w:sz w:val="18"/>
          <w:szCs w:val="18"/>
        </w:rPr>
        <w:t xml:space="preserve">Version 1.0  ·  June 24, 2026  ·  Single-operator project</w:t>
      </w:r>
    </w:p>
    <w:p>
      <w:pPr>
        <w:pStyle w:val="Heading1"/>
      </w:pPr>
      <w:r>
        <w:t xml:space="preserve">Vision</w:t>
      </w:r>
    </w:p>
    <w:p>
      <w:pPr>
        <w:spacing w:after="120"/>
      </w:pPr>
      <w:r>
        <w:t xml:space="preserve">A background, automated intraday day-trading system for US equities, executing through Alpaca, with an LLM as a judgment/ranking layer only. It scans the market, reads news, maintains a watchlist, takes positions under strict deterministic risk rules, manages them with broker-side stops plus a software monitor, and flattens by end of day.</w:t>
      </w:r>
    </w:p>
    <w:p>
      <w:pPr>
        <w:spacing w:after="120"/>
      </w:pPr>
      <w:r>
        <w:rPr>
          <w:b/>
          <w:bCs/>
        </w:rPr>
        <w:t xml:space="preserve">The guiding principle: a measurement instrument first, a money-maker second. </w:t>
      </w:r>
      <w:r>
        <w:t xml:space="preserve">The $2,500 account exists to answer one question honestly — does a real, net-of-cost edge exist? — before any capital is scaled behind it.</w:t>
      </w:r>
    </w:p>
    <w:p>
      <w:pPr>
        <w:pStyle w:val="Heading1"/>
      </w:pPr>
      <w:r>
        <w:t xml:space="preserve">Goals &amp; Definition of Success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Unattended intraday operation: scan → news → decide → size → execute → manage → exit.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engine, three modes (backtest, paper, live) via swappable adapters.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bulletproof, fully-tested risk core that runs safely while the operator sleeps.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Success = a trustworthy, statistically-powered, net-of-cost proof in live-small</w:t>
      </w:r>
      <w:r>
        <w:t xml:space="preserve"> — not a P&amp;L number off a backtest, and not squeezing returns from $2,500.</w:t>
      </w:r>
    </w:p>
    <w:p>
      <w:pPr>
        <w:pStyle w:val="Heading1"/>
      </w:pPr>
      <w:r>
        <w:t xml:space="preserve">Strategy at a Glance</w:t>
      </w:r>
    </w:p>
    <w:p>
      <w:pPr>
        <w:spacing w:after="120"/>
      </w:pPr>
      <w:r>
        <w:t xml:space="preserve">Research (peer-reviewed sources, adversarially verified) collapsed a wide field to a single evidence-anchored, codeable setup; everything else canonical (VWAP reclaim, prior-day breaks, gap-and-go, pullback-to-MA) showed no surviving net-of-cost evidence and is treated as folklore.</w:t>
      </w:r>
    </w:p>
    <w:p>
      <w:pPr>
        <w:pStyle w:val="Heading3"/>
      </w:pPr>
      <w:r>
        <w:t xml:space="preserve">High-Relative-Volume Opening Range Breakout (ORB)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Universe: liquid stocks $5–100, 14-day average volume &gt; 1M shares, ATR(14) &gt; $0.50; rank by relative volume and trade only the top ~20 'in play' names when RVOL &gt; 100%.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Entry: stop order at the high of the first 5-minute candle (09:30–09:35 ET) on a bullish opening candle; long-only for v1.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Stop: 10% of 14-day ATR from entry. Exit: A/B test of end-of-day flatten (the published edge) vs a fixed 1.5–2R target with breakeven at +1R.</w:t>
      </w:r>
    </w:p>
    <w:p>
      <w:pPr>
        <w:spacing w:after="120"/>
      </w:pPr>
      <w:r>
        <w:rPr>
          <w:b/>
          <w:bCs/>
        </w:rPr>
        <w:t xml:space="preserve">Honest caveats: </w:t>
      </w:r>
      <w:r>
        <w:t xml:space="preserve">the edge lives in the relative-volume gate, not the breakout (+0.08R/trade above the gate vs −0.02R below); it is a low-win-rate, fat-tailed profile (~17% win rate); and the strongest published numbers omit spread and slippage entirely. Whether the thin edge survives real cost at our size is the single most important unknown — which is exactly what live-small exists to measure.</w:t>
      </w:r>
    </w:p>
    <w:p>
      <w:pPr>
        <w:pStyle w:val="Heading1"/>
      </w:pPr>
      <w:r>
        <w:t xml:space="preserve">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Live-data-weighted proof: </w:t>
      </w:r>
      <w:r>
        <w:t xml:space="preserve">the backtest is a sanity check (null-model tripwire, bug-catching); live-small real money is the arbiter. The backtest is deliberately not over-built.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LLM proposes; deterministic code disposes: </w:t>
      </w:r>
      <w:r>
        <w:t xml:space="preserve">the model never sizes or executes; the risk core can always veto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 sizing regimes: </w:t>
      </w:r>
      <w:r>
        <w:t xml:space="preserve">a forced micro-size validation regime (for data, not P&amp;L), and the aggressive proven regime, reached only via the promotion ladder.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Scale fast — on a statistically powered proof: </w:t>
      </w:r>
      <w:r>
        <w:t xml:space="preserve">paired with an automated demotion/kill rule that cuts size the instant live diverges from expectation.</w:t>
      </w:r>
    </w:p>
    <w:p>
      <w:pPr>
        <w:pStyle w:val="Heading1"/>
      </w:pPr>
      <w:r>
        <w:t xml:space="preserve">Architecture at a Glance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App/GUI: Laravel + Vue. Engine: Node + TypeScript. Data: PostgreSQL/TimescaleDB. Cache/pub-sub: Redis. Broker: Alpaca (single source of truth).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data path (Alpaca permits one market-data websocket per account): Alpaca → engine (sole consumer) → Redis → Laravel Reverb → browser; ticks throttled to ~1–2 Hz.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packages/core is the crown jewel: pure, dependency-free, 100% unit-tested. Because the TypeScript engine is both the operator's weakest area and the most safety-critical, the plan leans hard on the test harness and keeps the engine thin.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Deploys via Docker with identical containers locally (Mac) and in production (Linode VPS).</w:t>
      </w:r>
    </w:p>
    <w:p>
      <w:pPr>
        <w:pStyle w:val="Heading1"/>
      </w:pPr>
      <w:r>
        <w:t xml:space="preserve">Key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Objective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Proving ground to scale; measurement-instrument-first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Measured — correctness over speed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Long-only v1; architecture supports both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Control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Autonomous primary; approval queue secondary; exits never gated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Proof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Live-data-weighted; scale fast on a powered proof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LLM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Anthropic Haiku (classify) + Sonnet (judge)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Hosting / DB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Linode VPS; self-hosted TimescaleDB in Docker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 spend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SIP + Finviz on from day one</w:t>
            </w:r>
          </w:p>
        </w:tc>
      </w:tr>
    </w:tbl>
    <w:p>
      <w:pPr>
        <w:pStyle w:val="Heading1"/>
      </w:pPr>
      <w:r>
        <w:t xml:space="preserve">Roadmap</w:t>
      </w:r>
    </w:p>
    <w:p>
      <w:pPr>
        <w:spacing w:after="120"/>
      </w:pPr>
      <w:r>
        <w:t xml:space="preserve">Work is organized into epics (A–O) detailed in the companion task breakdown. High-level sequence: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Now: </w:t>
      </w:r>
      <w:r>
        <w:t xml:space="preserve">Data archiver (time-sensitive) in parallel with project/devops setup.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Foundation: </w:t>
      </w:r>
      <w:r>
        <w:t xml:space="preserve">deterministic core → test harness → contracts → adapters → safety 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Live pipeline: </w:t>
      </w:r>
      <w:r>
        <w:t xml:space="preserve">data ingestion → trading loops → LLM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Surface &amp; validate: </w:t>
      </w:r>
      <w:r>
        <w:t xml:space="preserve">lean GUI → backtest-lite → paper → live-small → validation scorecard &amp; scaling.</w:t>
      </w:r>
    </w:p>
    <w:p>
      <w:pPr>
        <w:pStyle w:val="Heading1"/>
      </w:pPr>
      <w:r>
        <w:t xml:space="preserve">Key Risks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cost floor erases a thin edge — mitigated by honest costs and live measurement.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Self-deception via curve-fit/look-ahead — mitigated by the null-model tripwire and live-data-weighted proof.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Scaling into noise — mitigated by a statistically-powered definition of 'proven' and an automated kill rule.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Unattended failure with real money — mitigated by the panic switch, watchdog, reconciliation, and idempotent orders.</w:t>
      </w:r>
    </w:p>
    <w:p>
      <w:pPr>
        <w:pStyle w:val="Heading1"/>
      </w:pPr>
      <w:r>
        <w:t xml:space="preserve">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Monthly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Alpaca SIP (Algo Trader Plus)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~$99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Finviz Elite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~$25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Linode VPS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~$10–40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LLM (event-triggered)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~$10–50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Approx. 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~$145–215</w:t>
            </w:r>
          </w:p>
        </w:tc>
      </w:tr>
    </w:tbl>
    <w:p>
      <w:pPr>
        <w:spacing w:after="120"/>
      </w:pPr>
      <w:r>
        <w:rPr>
          <w:b/>
          <w:bCs/>
        </w:rPr>
        <w:t xml:space="preserve">Annual infrastructure exceeds plausible returns on $2,500 — by design: </w:t>
      </w:r>
      <w:r>
        <w:t xml:space="preserve">the account is a proving ground, not the income source.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</w:pPr>
    <w:r>
      <w:rPr>
        <w:color w:val="999999"/>
        <w:sz w:val="16"/>
        <w:szCs w:val="16"/>
      </w:rPr>
      <w:t xml:space="preserve">AI-Trader — Plan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64"/>
    </w:pPr>
    <w:rPr>
      <w:rFonts w:ascii="Arial" w:cs="Arial" w:eastAsia="Arial" w:hAnsi="Arial"/>
      <w:sz w:val="21"/>
      <w:szCs w:val="21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598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2026-06-25T01:06:36.773Z</dcterms:created>
  <dcterms:modified xsi:type="dcterms:W3CDTF">2026-06-25T01:06:36.773Z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