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5.png" ContentType="image/png"/>
  <Override PartName="/word/media/image5.png" ContentType="image/png"/>
  <Override PartName="/word/media/image3.png" ContentType="image/png"/>
  <Override PartName="/word/media/image2.png" ContentType="image/png"/>
  <Override PartName="/word/media/image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Analyses</w:t>
      </w:r>
      <w:r>
        <w:t xml:space="preserve"> </w:t>
      </w:r>
      <w:r>
        <w:t xml:space="preserve">for</w:t>
      </w:r>
      <w:r>
        <w:t xml:space="preserve"> </w:t>
      </w:r>
      <w:r>
        <w:t xml:space="preserve">Lilaeopsis</w:t>
      </w:r>
      <w:r>
        <w:t xml:space="preserve"> </w:t>
      </w:r>
      <w:r>
        <w:t xml:space="preserve">Drought</w:t>
      </w:r>
      <w:r>
        <w:t xml:space="preserve"> </w:t>
      </w:r>
      <w:r>
        <w:t xml:space="preserve">Ecology</w:t>
      </w:r>
    </w:p>
    <w:p>
      <w:pPr>
        <w:pStyle w:val="Author"/>
      </w:pPr>
      <w:r>
        <w:t xml:space="preserve">Jacob</w:t>
      </w:r>
      <w:r>
        <w:t xml:space="preserve"> </w:t>
      </w:r>
      <w:r>
        <w:t xml:space="preserve">Malcom,</w:t>
      </w:r>
      <w:r>
        <w:t xml:space="preserve"> </w:t>
      </w:r>
      <w:r>
        <w:t xml:space="preserve">Anna</w:t>
      </w:r>
      <w:r>
        <w:t xml:space="preserve"> </w:t>
      </w:r>
      <w:r>
        <w:t xml:space="preserve">Malcom,</w:t>
      </w:r>
      <w:r>
        <w:t xml:space="preserve"> </w:t>
      </w:r>
      <w:r>
        <w:t xml:space="preserve">and</w:t>
      </w:r>
      <w:r>
        <w:t xml:space="preserve"> </w:t>
      </w:r>
      <w:r>
        <w:t xml:space="preserve">William</w:t>
      </w:r>
      <w:r>
        <w:t xml:space="preserve"> </w:t>
      </w:r>
      <w:r>
        <w:t xml:space="preserve">Radke</w:t>
      </w:r>
    </w:p>
    <w:p>
      <w:pPr>
        <w:pStyle w:val="Heading1"/>
      </w:pPr>
      <w:bookmarkStart w:id="21" w:name="overview"/>
      <w:bookmarkEnd w:id="21"/>
      <w:r>
        <w:t xml:space="preserve">Overview</w:t>
      </w:r>
    </w:p>
    <w:p>
      <w:pPr>
        <w:pStyle w:val="FirstParagraph"/>
      </w:pPr>
      <w:r>
        <w:t xml:space="preserve">This document captures analyses and observations that are not central to the results of the paper,</w:t>
      </w:r>
      <w:r>
        <w:t xml:space="preserve"> </w:t>
      </w:r>
      <w:r>
        <w:rPr>
          <w:i/>
        </w:rPr>
        <w:t xml:space="preserve">Water (or the Lack Thereof), Management, and Conservation of an Endangered Desert Wetland Obligate,</w:t>
      </w:r>
      <w:r>
        <w:t xml:space="preserve"> </w:t>
      </w:r>
      <w:r>
        <w:t xml:space="preserve">Lilaeopsis schaffneriana subsp. recurva. That is, during data processing we made observations that are informative but which may be distracting if included in the primary code.</w:t>
      </w:r>
    </w:p>
    <w:p>
      <w:pPr>
        <w:pStyle w:val="BodyText"/>
      </w:pPr>
      <w:r>
        <w:t xml:space="preserve">All of the data was read from Excel files using readxl and prepped for analysis in</w:t>
      </w:r>
      <w:r>
        <w:t xml:space="preserve"> </w:t>
      </w:r>
      <w:r>
        <w:rPr>
          <w:rStyle w:val="VerbatimChar"/>
        </w:rPr>
        <w:t xml:space="preserve">prep_data.R</w:t>
      </w:r>
      <w:r>
        <w:t xml:space="preserve">. Code for replicating the results (and tables and figures) of the main paper is found in</w:t>
      </w:r>
      <w:r>
        <w:t xml:space="preserve"> </w:t>
      </w:r>
      <w:r>
        <w:rPr>
          <w:rStyle w:val="VerbatimChar"/>
        </w:rPr>
        <w:t xml:space="preserve">main_analyses.R</w:t>
      </w:r>
      <w:r>
        <w:t xml:space="preserv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(FactoMineR)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(pscl)</w:t>
      </w:r>
      <w:r>
        <w:br w:type="textWrapping"/>
      </w:r>
      <w:r>
        <w:br w:type="textWrapping"/>
      </w:r>
      <w:r>
        <w:rPr>
          <w:rStyle w:val="KeywordTok"/>
        </w:rPr>
        <w:t xml:space="preserve">load</w:t>
      </w:r>
      <w:r>
        <w:rPr>
          <w:rStyle w:val="NormalTok"/>
        </w:rPr>
        <w:t xml:space="preserve">(</w:t>
      </w:r>
      <w:r>
        <w:rPr>
          <w:rStyle w:val="StringTok"/>
        </w:rPr>
        <w:t xml:space="preserve">"../data/field_dat.Rdata"</w:t>
      </w:r>
      <w:r>
        <w:rPr>
          <w:rStyle w:val="NormalTok"/>
        </w:rPr>
        <w:t xml:space="preserve">)</w:t>
      </w:r>
      <w:r>
        <w:br w:type="textWrapping"/>
      </w:r>
      <w:r>
        <w:rPr>
          <w:rStyle w:val="KeywordTok"/>
        </w:rPr>
        <w:t xml:space="preserve">load</w:t>
      </w:r>
      <w:r>
        <w:rPr>
          <w:rStyle w:val="NormalTok"/>
        </w:rPr>
        <w:t xml:space="preserve">(</w:t>
      </w:r>
      <w:r>
        <w:rPr>
          <w:rStyle w:val="StringTok"/>
        </w:rPr>
        <w:t xml:space="preserve">"../data/crit_dat.Rdata"</w:t>
      </w:r>
      <w:r>
        <w:rPr>
          <w:rStyle w:val="NormalTok"/>
        </w:rPr>
        <w:t xml:space="preserve">)</w:t>
      </w:r>
      <w:r>
        <w:br w:type="textWrapping"/>
      </w:r>
      <w:r>
        <w:rPr>
          <w:rStyle w:val="KeywordTok"/>
        </w:rPr>
        <w:t xml:space="preserve">load</w:t>
      </w:r>
      <w:r>
        <w:rPr>
          <w:rStyle w:val="NormalTok"/>
        </w:rPr>
        <w:t xml:space="preserve">(</w:t>
      </w:r>
      <w:r>
        <w:rPr>
          <w:rStyle w:val="StringTok"/>
        </w:rPr>
        <w:t xml:space="preserve">"../data/resil_dat.Rdata"</w:t>
      </w:r>
      <w:r>
        <w:rPr>
          <w:rStyle w:val="NormalTok"/>
        </w:rPr>
        <w:t xml:space="preserve">)</w:t>
      </w:r>
      <w:r>
        <w:br w:type="textWrapping"/>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fig.height =</w:t>
      </w:r>
      <w:r>
        <w:rPr>
          <w:rStyle w:val="NormalTok"/>
        </w:rPr>
        <w:t xml:space="preserve"> </w:t>
      </w:r>
      <w:r>
        <w:rPr>
          <w:rStyle w:val="DecValTok"/>
        </w:rPr>
        <w:t xml:space="preserve">3</w:t>
      </w:r>
      <w:r>
        <w:rPr>
          <w:rStyle w:val="NormalTok"/>
        </w:rPr>
        <w:t xml:space="preserve">)</w:t>
      </w:r>
    </w:p>
    <w:p>
      <w:pPr>
        <w:pStyle w:val="Heading1"/>
      </w:pPr>
      <w:bookmarkStart w:id="22" w:name="lilaeopsis-presence-absence-and-abundance"/>
      <w:bookmarkEnd w:id="22"/>
      <w:r>
        <w:t xml:space="preserve">Lilaeopsis presence, absence, and abundance</w:t>
      </w:r>
    </w:p>
    <w:p>
      <w:pPr>
        <w:pStyle w:val="Heading2"/>
      </w:pPr>
      <w:bookmarkStart w:id="23" w:name="forest-canopy-pca"/>
      <w:bookmarkEnd w:id="23"/>
      <w:r>
        <w:t xml:space="preserve">Forest canopy PCA</w:t>
      </w:r>
    </w:p>
    <w:p>
      <w:pPr>
        <w:pStyle w:val="FirstParagraph"/>
      </w:pPr>
      <w:r>
        <w:t xml:space="preserve">We measured forest canopy openness in five places above or around each sample location along Leslie Creek. We performed a PCA to evaluate the extent to which forest canopy variance was shared.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1.8339529</w:t>
            </w:r>
          </w:p>
        </w:tc>
        <w:tc>
          <w:p>
            <w:pPr>
              <w:pStyle w:val="Compact"/>
              <w:jc w:val="right"/>
            </w:pPr>
            <w:r>
              <w:t xml:space="preserve">36.679057</w:t>
            </w:r>
          </w:p>
        </w:tc>
        <w:tc>
          <w:p>
            <w:pPr>
              <w:pStyle w:val="Compact"/>
              <w:jc w:val="right"/>
            </w:pPr>
            <w:r>
              <w:t xml:space="preserve">36.67906</w:t>
            </w:r>
          </w:p>
        </w:tc>
      </w:tr>
      <w:tr>
        <w:tc>
          <w:p>
            <w:pPr>
              <w:pStyle w:val="Compact"/>
              <w:jc w:val="left"/>
            </w:pPr>
            <w:r>
              <w:t xml:space="preserve">comp 2</w:t>
            </w:r>
          </w:p>
        </w:tc>
        <w:tc>
          <w:p>
            <w:pPr>
              <w:pStyle w:val="Compact"/>
              <w:jc w:val="right"/>
            </w:pPr>
            <w:r>
              <w:t xml:space="preserve">1.0750538</w:t>
            </w:r>
          </w:p>
        </w:tc>
        <w:tc>
          <w:p>
            <w:pPr>
              <w:pStyle w:val="Compact"/>
              <w:jc w:val="right"/>
            </w:pPr>
            <w:r>
              <w:t xml:space="preserve">21.501075</w:t>
            </w:r>
          </w:p>
        </w:tc>
        <w:tc>
          <w:p>
            <w:pPr>
              <w:pStyle w:val="Compact"/>
              <w:jc w:val="right"/>
            </w:pPr>
            <w:r>
              <w:t xml:space="preserve">58.18013</w:t>
            </w:r>
          </w:p>
        </w:tc>
      </w:tr>
      <w:tr>
        <w:tc>
          <w:p>
            <w:pPr>
              <w:pStyle w:val="Compact"/>
              <w:jc w:val="left"/>
            </w:pPr>
            <w:r>
              <w:t xml:space="preserve">comp 3</w:t>
            </w:r>
          </w:p>
        </w:tc>
        <w:tc>
          <w:p>
            <w:pPr>
              <w:pStyle w:val="Compact"/>
              <w:jc w:val="right"/>
            </w:pPr>
            <w:r>
              <w:t xml:space="preserve">1.0095273</w:t>
            </w:r>
          </w:p>
        </w:tc>
        <w:tc>
          <w:p>
            <w:pPr>
              <w:pStyle w:val="Compact"/>
              <w:jc w:val="right"/>
            </w:pPr>
            <w:r>
              <w:t xml:space="preserve">20.190546</w:t>
            </w:r>
          </w:p>
        </w:tc>
        <w:tc>
          <w:p>
            <w:pPr>
              <w:pStyle w:val="Compact"/>
              <w:jc w:val="right"/>
            </w:pPr>
            <w:r>
              <w:t xml:space="preserve">78.37068</w:t>
            </w:r>
          </w:p>
        </w:tc>
      </w:tr>
      <w:tr>
        <w:tc>
          <w:p>
            <w:pPr>
              <w:pStyle w:val="Compact"/>
              <w:jc w:val="left"/>
            </w:pPr>
            <w:r>
              <w:t xml:space="preserve">comp 4</w:t>
            </w:r>
          </w:p>
        </w:tc>
        <w:tc>
          <w:p>
            <w:pPr>
              <w:pStyle w:val="Compact"/>
              <w:jc w:val="right"/>
            </w:pPr>
            <w:r>
              <w:t xml:space="preserve">0.7089513</w:t>
            </w:r>
          </w:p>
        </w:tc>
        <w:tc>
          <w:p>
            <w:pPr>
              <w:pStyle w:val="Compact"/>
              <w:jc w:val="right"/>
            </w:pPr>
            <w:r>
              <w:t xml:space="preserve">14.179027</w:t>
            </w:r>
          </w:p>
        </w:tc>
        <w:tc>
          <w:p>
            <w:pPr>
              <w:pStyle w:val="Compact"/>
              <w:jc w:val="right"/>
            </w:pPr>
            <w:r>
              <w:t xml:space="preserve">92.54971</w:t>
            </w:r>
          </w:p>
        </w:tc>
      </w:tr>
      <w:tr>
        <w:tc>
          <w:p>
            <w:pPr>
              <w:pStyle w:val="Compact"/>
              <w:jc w:val="left"/>
            </w:pPr>
            <w:r>
              <w:t xml:space="preserve">comp 5</w:t>
            </w:r>
          </w:p>
        </w:tc>
        <w:tc>
          <w:p>
            <w:pPr>
              <w:pStyle w:val="Compact"/>
              <w:jc w:val="right"/>
            </w:pPr>
            <w:r>
              <w:t xml:space="preserve">0.3725147</w:t>
            </w:r>
          </w:p>
        </w:tc>
        <w:tc>
          <w:p>
            <w:pPr>
              <w:pStyle w:val="Compact"/>
              <w:jc w:val="right"/>
            </w:pPr>
            <w:r>
              <w:t xml:space="preserve">7.450295</w:t>
            </w:r>
          </w:p>
        </w:tc>
        <w:tc>
          <w:p>
            <w:pPr>
              <w:pStyle w:val="Compact"/>
              <w:jc w:val="right"/>
            </w:pPr>
            <w:r>
              <w:t xml:space="preserve">100.00000</w:t>
            </w:r>
          </w:p>
        </w:tc>
      </w:tr>
    </w:tbl>
    <w:p>
      <w:pPr>
        <w:pStyle w:val="FigureWithCaption"/>
      </w:pPr>
      <w:r>
        <w:drawing>
          <wp:inline>
            <wp:extent cx="5486400" cy="5486400"/>
            <wp:effectExtent b="0" l="0" r="0" t="0"/>
            <wp:docPr descr="" id="1" name="Picture"/>
            <a:graphic>
              <a:graphicData uri="http://schemas.openxmlformats.org/drawingml/2006/picture">
                <pic:pic>
                  <pic:nvPicPr>
                    <pic:cNvPr descr="/Users/jacobmalcom/Repos/LilaeopsisDrought/results/supporting_analyses_files/figure-docx/fig-1-1.png" id="0" name="Picture"/>
                    <pic:cNvPicPr>
                      <a:picLocks noChangeArrowheads="1" noChangeAspect="1"/>
                    </pic:cNvPicPr>
                  </pic:nvPicPr>
                  <pic:blipFill>
                    <a:blip r:embed="rId2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rPr>
          <w:b/>
        </w:rPr>
        <w:t xml:space="preserve">Biplot of the five riparian canopy measurements.</w:t>
      </w:r>
      <w:r>
        <w:t xml:space="preserve"> </w:t>
      </w:r>
      <w:r>
        <w:t xml:space="preserve">We used PCs 1 and 2 in some models because they account for 58% of the variance.</w:t>
      </w:r>
    </w:p>
    <w:p>
      <w:pPr>
        <w:pStyle w:val="BodyText"/>
      </w:pPr>
      <w:r>
        <w:t xml:space="preserve">The loadings on the first 1-2 PCs are not very strong, but they are sufficient for removing three of five variables. In fact, a basic model using just the original canopy measurements is substantially less parsimonius than one using the first two PCs:</w:t>
      </w:r>
    </w:p>
    <w:p>
      <w:pPr>
        <w:pStyle w:val="SourceCode"/>
      </w:pPr>
      <w:r>
        <w:rPr>
          <w:rStyle w:val="NormalTok"/>
        </w:rPr>
        <w:t xml:space="preserve">mod6 &lt;-</w:t>
      </w:r>
      <w:r>
        <w:rPr>
          <w:rStyle w:val="StringTok"/>
        </w:rPr>
        <w:t xml:space="preserve"> </w:t>
      </w:r>
      <w:r>
        <w:rPr>
          <w:rStyle w:val="KeywordTok"/>
        </w:rPr>
        <w:t xml:space="preserve">zeroinfl</w:t>
      </w:r>
      <w:r>
        <w:rPr>
          <w:rStyle w:val="NormalTok"/>
        </w:rPr>
        <w:t xml:space="preserve">(LSRD ~</w:t>
      </w:r>
      <w:r>
        <w:rPr>
          <w:rStyle w:val="StringTok"/>
        </w:rPr>
        <w:t xml:space="preserve"> </w:t>
      </w:r>
      <w:r>
        <w:rPr>
          <w:rStyle w:val="NormalTok"/>
        </w:rPr>
        <w:t xml:space="preserve">perp45 +</w:t>
      </w:r>
      <w:r>
        <w:rPr>
          <w:rStyle w:val="StringTok"/>
        </w:rPr>
        <w:t xml:space="preserve"> </w:t>
      </w:r>
      <w:r>
        <w:rPr>
          <w:rStyle w:val="NormalTok"/>
        </w:rPr>
        <w:t xml:space="preserve">perp135 +</w:t>
      </w:r>
      <w:r>
        <w:rPr>
          <w:rStyle w:val="StringTok"/>
        </w:rPr>
        <w:t xml:space="preserve"> </w:t>
      </w:r>
      <w:r>
        <w:rPr>
          <w:rStyle w:val="NormalTok"/>
        </w:rPr>
        <w:t xml:space="preserve">para45 +</w:t>
      </w:r>
      <w:r>
        <w:rPr>
          <w:rStyle w:val="StringTok"/>
        </w:rPr>
        <w:t xml:space="preserve"> </w:t>
      </w:r>
      <w:r>
        <w:rPr>
          <w:rStyle w:val="NormalTok"/>
        </w:rPr>
        <w:t xml:space="preserve">para135 +</w:t>
      </w:r>
      <w:r>
        <w:rPr>
          <w:rStyle w:val="StringTok"/>
        </w:rPr>
        <w:t xml:space="preserve"> </w:t>
      </w:r>
      <w:r>
        <w:rPr>
          <w:rStyle w:val="NormalTok"/>
        </w:rPr>
        <w:t xml:space="preserve">def90,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field_dat,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CommentTok"/>
        </w:rPr>
        <w:t xml:space="preserve"># summary(mod6)</w:t>
      </w:r>
      <w:r>
        <w:br w:type="textWrapping"/>
      </w:r>
      <w:r>
        <w:rPr>
          <w:rStyle w:val="KeywordTok"/>
        </w:rPr>
        <w:t xml:space="preserve">AICc</w:t>
      </w:r>
      <w:r>
        <w:rPr>
          <w:rStyle w:val="NormalTok"/>
        </w:rPr>
        <w:t xml:space="preserve">(mod6)</w:t>
      </w:r>
    </w:p>
    <w:p>
      <w:pPr>
        <w:pStyle w:val="SourceCode"/>
      </w:pPr>
      <w:r>
        <w:rPr>
          <w:rStyle w:val="VerbatimChar"/>
        </w:rPr>
        <w:t xml:space="preserve">## [1] 206.4245</w:t>
      </w:r>
    </w:p>
    <w:p>
      <w:pPr>
        <w:pStyle w:val="SourceCode"/>
      </w:pPr>
      <w:r>
        <w:rPr>
          <w:rStyle w:val="NormalTok"/>
        </w:rPr>
        <w:t xml:space="preserve">mod7 &lt;-</w:t>
      </w:r>
      <w:r>
        <w:rPr>
          <w:rStyle w:val="StringTok"/>
        </w:rPr>
        <w:t xml:space="preserve"> </w:t>
      </w:r>
      <w:r>
        <w:rPr>
          <w:rStyle w:val="KeywordTok"/>
        </w:rPr>
        <w:t xml:space="preserve">zeroinfl</w:t>
      </w:r>
      <w:r>
        <w:rPr>
          <w:rStyle w:val="NormalTok"/>
        </w:rPr>
        <w:t xml:space="preserve">(LSRD ~</w:t>
      </w:r>
      <w:r>
        <w:rPr>
          <w:rStyle w:val="StringTok"/>
        </w:rPr>
        <w:t xml:space="preserve"> </w:t>
      </w:r>
      <w:r>
        <w:rPr>
          <w:rStyle w:val="NormalTok"/>
        </w:rPr>
        <w:t xml:space="preserve">canopy_PC1 +</w:t>
      </w:r>
      <w:r>
        <w:rPr>
          <w:rStyle w:val="StringTok"/>
        </w:rPr>
        <w:t xml:space="preserve"> </w:t>
      </w:r>
      <w:r>
        <w:rPr>
          <w:rStyle w:val="NormalTok"/>
        </w:rPr>
        <w:t xml:space="preserve">canopy_PC2,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field_dat,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CommentTok"/>
        </w:rPr>
        <w:t xml:space="preserve"># summary(mod7)</w:t>
      </w:r>
      <w:r>
        <w:br w:type="textWrapping"/>
      </w:r>
      <w:r>
        <w:rPr>
          <w:rStyle w:val="KeywordTok"/>
        </w:rPr>
        <w:t xml:space="preserve">AICc</w:t>
      </w:r>
      <w:r>
        <w:rPr>
          <w:rStyle w:val="NormalTok"/>
        </w:rPr>
        <w:t xml:space="preserve">(mod7)</w:t>
      </w:r>
    </w:p>
    <w:p>
      <w:pPr>
        <w:pStyle w:val="SourceCode"/>
      </w:pPr>
      <w:r>
        <w:rPr>
          <w:rStyle w:val="VerbatimChar"/>
        </w:rPr>
        <w:t xml:space="preserve">## [1] 195.1703</w:t>
      </w:r>
    </w:p>
    <w:p>
      <w:pPr>
        <w:pStyle w:val="Heading2"/>
      </w:pPr>
      <w:bookmarkStart w:id="25" w:name="distribution-of-lilaeopsis-densities"/>
      <w:bookmarkEnd w:id="25"/>
      <w:r>
        <w:t xml:space="preserve">Distribution of</w:t>
      </w:r>
      <w:r>
        <w:t xml:space="preserve"> </w:t>
      </w:r>
      <w:r>
        <w:rPr>
          <w:i/>
        </w:rPr>
        <w:t xml:space="preserve">Lilaeopsis</w:t>
      </w:r>
      <w:r>
        <w:t xml:space="preserve"> </w:t>
      </w:r>
      <w:r>
        <w:t xml:space="preserve">densities</w:t>
      </w:r>
    </w:p>
    <w:p>
      <w:pPr>
        <w:pStyle w:val="FirstParagraph"/>
      </w:pPr>
      <w:r>
        <w:t xml:space="preserve">We need to see the distribution of densities to choose the best way to model the relationship to the predictor variables.</w:t>
      </w:r>
    </w:p>
    <w:p>
      <w:pPr>
        <w:pStyle w:val="FigureWithCaption"/>
      </w:pPr>
      <w:r>
        <w:drawing>
          <wp:inline>
            <wp:extent cx="5486400" cy="5486400"/>
            <wp:effectExtent b="0" l="0" r="0" t="0"/>
            <wp:docPr descr="" id="1" name="Picture"/>
            <a:graphic>
              <a:graphicData uri="http://schemas.openxmlformats.org/drawingml/2006/picture">
                <pic:pic>
                  <pic:nvPicPr>
                    <pic:cNvPr descr="/Users/jacobmalcom/Repos/LilaeopsisDrought/results/supporting_analyses_files/figure-docx/fig-2-1.png" id="0" name="Picture"/>
                    <pic:cNvPicPr>
                      <a:picLocks noChangeArrowheads="1" noChangeAspect="1"/>
                    </pic:cNvPicPr>
                  </pic:nvPicPr>
                  <pic:blipFill>
                    <a:blip r:embed="rId2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rPr>
          <w:b/>
        </w:rPr>
        <w:t xml:space="preserve">Distribution of</w:t>
      </w:r>
      <w:r>
        <w:rPr>
          <w:b/>
        </w:rPr>
        <w:t xml:space="preserve"> </w:t>
      </w:r>
      <w:r>
        <w:rPr>
          <w:i/>
          <w:b/>
        </w:rPr>
        <w:t xml:space="preserve">Lilaeopsis</w:t>
      </w:r>
      <w:r>
        <w:rPr>
          <w:b/>
        </w:rPr>
        <w:t xml:space="preserve"> </w:t>
      </w:r>
      <w:r>
        <w:rPr>
          <w:b/>
        </w:rPr>
        <w:t xml:space="preserve">densities.</w:t>
      </w:r>
      <w:r>
        <w:t xml:space="preserve"> </w:t>
      </w:r>
      <w:r>
        <w:t xml:space="preserve">Many sampled points have no</w:t>
      </w:r>
      <w:r>
        <w:t xml:space="preserve"> </w:t>
      </w:r>
      <w:r>
        <w:rPr>
          <w:i/>
        </w:rPr>
        <w:t xml:space="preserve">Lilaeopsis</w:t>
      </w:r>
      <w:r>
        <w:t xml:space="preserve">.</w:t>
      </w:r>
    </w:p>
    <w:p>
      <w:pPr>
        <w:pStyle w:val="BodyText"/>
      </w:pPr>
      <w:r>
        <w:t xml:space="preserve">Given this distribution we could either (a) model the presence/absence separately, e.g., using a binomial model and a count [neg. binomial or Poisson] model; or (b) model as a zero-inflated count mixture model. We chose the latter option, with a caveat.</w:t>
      </w:r>
    </w:p>
    <w:p>
      <w:pPr>
        <w:pStyle w:val="Heading2"/>
      </w:pPr>
      <w:bookmarkStart w:id="27" w:name="lilaeopsis-density-and-potential-herbaceous-competitors"/>
      <w:bookmarkEnd w:id="27"/>
      <w:r>
        <w:rPr>
          <w:i/>
        </w:rPr>
        <w:t xml:space="preserve">Lilaeopsis</w:t>
      </w:r>
      <w:r>
        <w:t xml:space="preserve"> </w:t>
      </w:r>
      <w:r>
        <w:t xml:space="preserve">density and potential herbaceous competitors</w:t>
      </w:r>
    </w:p>
    <w:p>
      <w:pPr>
        <w:pStyle w:val="FirstParagraph"/>
      </w:pPr>
      <w:r>
        <w:t xml:space="preserve">The zero-inflated model caveat is that keeping the plant competitors in the zero-inflated model did not work:</w:t>
      </w:r>
    </w:p>
    <w:p>
      <w:pPr>
        <w:pStyle w:val="SourceCode"/>
      </w:pPr>
      <w:r>
        <w:rPr>
          <w:rStyle w:val="NormalTok"/>
        </w:rPr>
        <w:t xml:space="preserve">model &lt;-</w:t>
      </w:r>
      <w:r>
        <w:rPr>
          <w:rStyle w:val="StringTok"/>
        </w:rPr>
        <w:t xml:space="preserve"> </w:t>
      </w:r>
      <w:r>
        <w:rPr>
          <w:rStyle w:val="KeywordTok"/>
        </w:rPr>
        <w:t xml:space="preserve">zeroinfl</w:t>
      </w:r>
      <w:r>
        <w:rPr>
          <w:rStyle w:val="NormalTok"/>
        </w:rPr>
        <w:t xml:space="preserve">(LSRD ~</w:t>
      </w:r>
      <w:r>
        <w:rPr>
          <w:rStyle w:val="StringTok"/>
        </w:rPr>
        <w:t xml:space="preserve"> </w:t>
      </w:r>
      <w:r>
        <w:rPr>
          <w:rStyle w:val="NormalTok"/>
        </w:rPr>
        <w:t xml:space="preserve">Competitor, </w:t>
      </w:r>
      <w:r>
        <w:rPr>
          <w:rStyle w:val="DataTypeTok"/>
        </w:rPr>
        <w:t xml:space="preserve">data =</w:t>
      </w:r>
      <w:r>
        <w:rPr>
          <w:rStyle w:val="NormalTok"/>
        </w:rPr>
        <w:t xml:space="preserve"> </w:t>
      </w:r>
      <w:r>
        <w:rPr>
          <w:rStyle w:val="NormalTok"/>
        </w:rPr>
        <w:t xml:space="preserve">field_dat,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Error in solve.default(as.matrix(fit$hessian)): system is computationally singular: reciprocal condition number = 1.50489e-26</w:t>
      </w:r>
    </w:p>
    <w:p>
      <w:pPr>
        <w:pStyle w:val="FirstParagraph"/>
      </w:pPr>
      <w:r>
        <w:t xml:space="preserve">We next checked if</w:t>
      </w:r>
      <w:r>
        <w:t xml:space="preserve"> </w:t>
      </w:r>
      <w:r>
        <w:rPr>
          <w:i/>
        </w:rPr>
        <w:t xml:space="preserve">Lilaeopsis</w:t>
      </w:r>
      <w:r>
        <w:t xml:space="preserve"> </w:t>
      </w:r>
      <w:r>
        <w:t xml:space="preserve">density covaried with competitors; if not, then we can safely drop competitor from the models.</w:t>
      </w:r>
    </w:p>
    <w:p>
      <w:pPr>
        <w:pStyle w:val="FigureWithCaption"/>
      </w:pPr>
      <w:r>
        <w:drawing>
          <wp:inline>
            <wp:extent cx="5486400" cy="3291839"/>
            <wp:effectExtent b="0" l="0" r="0" t="0"/>
            <wp:docPr descr="" id="1" name="Picture"/>
            <a:graphic>
              <a:graphicData uri="http://schemas.openxmlformats.org/drawingml/2006/picture">
                <pic:pic>
                  <pic:nvPicPr>
                    <pic:cNvPr descr="/Users/jacobmalcom/Repos/LilaeopsisDrought/results/supporting_analyses_files/figure-docx/fig-3-1.png" id="0" name="Picture"/>
                    <pic:cNvPicPr>
                      <a:picLocks noChangeArrowheads="1" noChangeAspect="1"/>
                    </pic:cNvPicPr>
                  </pic:nvPicPr>
                  <pic:blipFill>
                    <a:blip r:embed="rId28"/>
                    <a:stretch>
                      <a:fillRect/>
                    </a:stretch>
                  </pic:blipFill>
                  <pic:spPr bwMode="auto">
                    <a:xfrm>
                      <a:off x="0" y="0"/>
                      <a:ext cx="5486400" cy="3291839"/>
                    </a:xfrm>
                    <a:prstGeom prst="rect">
                      <a:avLst/>
                    </a:prstGeom>
                    <a:noFill/>
                    <a:ln w="9525">
                      <a:noFill/>
                      <a:headEnd/>
                      <a:tailEnd/>
                    </a:ln>
                  </pic:spPr>
                </pic:pic>
              </a:graphicData>
            </a:graphic>
          </wp:inline>
        </w:drawing>
      </w:r>
    </w:p>
    <w:p>
      <w:pPr>
        <w:pStyle w:val="ImageCaption"/>
      </w:pPr>
      <w:r>
        <w:rPr>
          <w:b/>
        </w:rPr>
        <w:t xml:space="preserve">The distribution of</w:t>
      </w:r>
      <w:r>
        <w:rPr>
          <w:b/>
        </w:rPr>
        <w:t xml:space="preserve"> </w:t>
      </w:r>
      <w:r>
        <w:rPr>
          <w:i/>
          <w:b/>
        </w:rPr>
        <w:t xml:space="preserve">Lilaeopsis</w:t>
      </w:r>
      <w:r>
        <w:rPr>
          <w:b/>
        </w:rPr>
        <w:t xml:space="preserve"> </w:t>
      </w:r>
      <w:r>
        <w:rPr>
          <w:b/>
        </w:rPr>
        <w:t xml:space="preserve">densities did not covary strongly with any of the competitor species.</w:t>
      </w:r>
      <w:r>
        <w:t xml:space="preserve"> </w:t>
      </w:r>
      <w:r>
        <w:t xml:space="preserve">'POA' = grasses (Poaceae), 'RNA' =</w:t>
      </w:r>
      <w:r>
        <w:t xml:space="preserve"> </w:t>
      </w:r>
      <w:r>
        <w:rPr>
          <w:i/>
        </w:rPr>
        <w:t xml:space="preserve">Rorippa nasturtium-aquaticum</w:t>
      </w:r>
      <w:r>
        <w:t xml:space="preserve">; H = high, M = medium, L = low competitor density.</w:t>
      </w:r>
    </w:p>
    <w:p>
      <w:pPr>
        <w:pStyle w:val="Heading2"/>
      </w:pPr>
      <w:bookmarkStart w:id="29" w:name="soil-moisture-as-a-function-of-distance-from-the-creek..."/>
      <w:bookmarkEnd w:id="29"/>
      <w:r>
        <w:t xml:space="preserve">Soil moisture as a function of distance from the creek...</w:t>
      </w:r>
    </w:p>
    <w:p>
      <w:pPr>
        <w:pStyle w:val="FirstParagraph"/>
      </w:pPr>
      <w:r>
        <w:t xml:space="preserve">We expect that soil moisture will be higher closer to the edge of the creek, so the distance category and soil moisture may be redundant.</w:t>
      </w:r>
    </w:p>
    <w:p>
      <w:pPr>
        <w:pStyle w:val="FigureWithCaption"/>
      </w:pPr>
      <w:r>
        <w:drawing>
          <wp:inline>
            <wp:extent cx="5486400" cy="5486400"/>
            <wp:effectExtent b="0" l="0" r="0" t="0"/>
            <wp:docPr descr="" id="1" name="Picture"/>
            <a:graphic>
              <a:graphicData uri="http://schemas.openxmlformats.org/drawingml/2006/picture">
                <pic:pic>
                  <pic:nvPicPr>
                    <pic:cNvPr descr="/Users/jacobmalcom/Repos/LilaeopsisDrought/results/supporting_analyses_files/figure-docx/fig-4-1.png" id="0" name="Picture"/>
                    <pic:cNvPicPr>
                      <a:picLocks noChangeArrowheads="1" noChangeAspect="1"/>
                    </pic:cNvPicPr>
                  </pic:nvPicPr>
                  <pic:blipFill>
                    <a:blip r:embed="rId30"/>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rPr>
          <w:b/>
        </w:rPr>
        <w:t xml:space="preserve">As expected, soil moisture drops as the distance from the edge of the creek increases.</w:t>
      </w:r>
      <w:r>
        <w:t xml:space="preserve"> </w:t>
      </w:r>
      <w:r>
        <w:t xml:space="preserve">However, we considered models with both soil moisture and distance class in the predictor variable set because the moisture of the near- and mid-distance classes overlaps extensively.</w:t>
      </w:r>
    </w:p>
    <w:p>
      <w:pPr>
        <w:pStyle w:val="Heading2"/>
      </w:pPr>
      <w:bookmarkStart w:id="31" w:name="and-lilaeopsis-leaf-density-as-a-function-of-moisture"/>
      <w:bookmarkEnd w:id="31"/>
      <w:r>
        <w:t xml:space="preserve">...and</w:t>
      </w:r>
      <w:r>
        <w:t xml:space="preserve"> </w:t>
      </w:r>
      <w:r>
        <w:rPr>
          <w:i/>
        </w:rPr>
        <w:t xml:space="preserve">Lilaeopsis</w:t>
      </w:r>
      <w:r>
        <w:t xml:space="preserve"> </w:t>
      </w:r>
      <w:r>
        <w:t xml:space="preserve">leaf density as a function of moisture</w:t>
      </w:r>
    </w:p>
    <w:p>
      <w:pPr>
        <w:pStyle w:val="FigureWithCaption"/>
      </w:pPr>
      <w:r>
        <w:drawing>
          <wp:inline>
            <wp:extent cx="5486400" cy="5486400"/>
            <wp:effectExtent b="0" l="0" r="0" t="0"/>
            <wp:docPr descr="" id="1" name="Picture"/>
            <a:graphic>
              <a:graphicData uri="http://schemas.openxmlformats.org/drawingml/2006/picture">
                <pic:pic>
                  <pic:nvPicPr>
                    <pic:cNvPr descr="/Users/jacobmalcom/Repos/LilaeopsisDrought/results/supporting_analyses_files/figure-docx/fig-5-1.png" id="0" name="Picture"/>
                    <pic:cNvPicPr>
                      <a:picLocks noChangeArrowheads="1" noChangeAspect="1"/>
                    </pic:cNvPicPr>
                  </pic:nvPicPr>
                  <pic:blipFill>
                    <a:blip r:embed="rId3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rPr>
          <w:b/>
        </w:rPr>
        <w:t xml:space="preserve">Even though soil moisture covaries with distance from the creek, and leaf density is associated with distance, soil moisture is not well-correlated with leaf density.</w:t>
      </w:r>
      <w:r>
        <w:t xml:space="preserve"> </w:t>
      </w:r>
      <w:r>
        <w:t xml:space="preserve">This may indicate that a different limiting factor shapes leaf density once a particular moisture level is reached.</w:t>
      </w:r>
    </w:p>
    <w:p>
      <w:pPr>
        <w:pStyle w:val="BodyText"/>
      </w:pPr>
      <w:r>
        <w:t xml:space="preserve">It's not clear why the density-distance-moisture relationship is not transitive, but that's what the data suggest.</w:t>
      </w:r>
    </w:p>
    <w:p>
      <w:r>
        <w:pict>
          <v:rect style="width:0;height:1.5pt" o:hralign="center" o:hrstd="t" o:hr="t"/>
        </w:pict>
      </w:r>
    </w:p>
    <w:p>
      <w:pPr>
        <w:pStyle w:val="Heading1"/>
      </w:pPr>
      <w:bookmarkStart w:id="33" w:name="lilaeopsis-drought-resistance-and-resilience"/>
      <w:bookmarkEnd w:id="33"/>
      <w:r>
        <w:rPr>
          <w:i/>
        </w:rPr>
        <w:t xml:space="preserve">Lilaeopsis</w:t>
      </w:r>
      <w:r>
        <w:t xml:space="preserve"> </w:t>
      </w:r>
      <w:r>
        <w:t xml:space="preserve">drought resistance and resilience</w:t>
      </w:r>
    </w:p>
    <w:p>
      <w:pPr>
        <w:pStyle w:val="Heading2"/>
      </w:pPr>
      <w:bookmarkStart w:id="34" w:name="experimental-leaf-densities"/>
      <w:bookmarkEnd w:id="34"/>
      <w:r>
        <w:t xml:space="preserve">Experimental leaf densities</w:t>
      </w:r>
    </w:p>
    <w:p>
      <w:pPr>
        <w:pStyle w:val="FirstParagraph"/>
      </w:pPr>
      <w:r>
        <w:t xml:space="preserve">We tested if the leaf density treatment of the resistance and resilience experiments was significantly different.</w:t>
      </w:r>
    </w:p>
    <w:p>
      <w:pPr>
        <w:pStyle w:val="SourceCode"/>
      </w:pPr>
      <w:r>
        <w:rPr>
          <w:rStyle w:val="KeywordTok"/>
        </w:rPr>
        <w:t xml:space="preserve">t.test</w:t>
      </w:r>
      <w:r>
        <w:rPr>
          <w:rStyle w:val="NormalTok"/>
        </w:rPr>
        <w:t xml:space="preserve">(Leaf_count ~</w:t>
      </w:r>
      <w:r>
        <w:rPr>
          <w:rStyle w:val="StringTok"/>
        </w:rPr>
        <w:t xml:space="preserve"> </w:t>
      </w:r>
      <w:r>
        <w:rPr>
          <w:rStyle w:val="NormalTok"/>
        </w:rPr>
        <w:t xml:space="preserve">Density, </w:t>
      </w:r>
      <w:r>
        <w:rPr>
          <w:rStyle w:val="DataTypeTok"/>
        </w:rPr>
        <w:t xml:space="preserve">data =</w:t>
      </w:r>
      <w:r>
        <w:rPr>
          <w:rStyle w:val="NormalTok"/>
        </w:rPr>
        <w:t xml:space="preserve"> </w:t>
      </w:r>
      <w:r>
        <w:rPr>
          <w:rStyle w:val="NormalTok"/>
        </w:rPr>
        <w:t xml:space="preserve">dens_dat)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Leaf_count by Density</w:t>
      </w:r>
      <w:r>
        <w:br w:type="textWrapping"/>
      </w:r>
      <w:r>
        <w:rPr>
          <w:rStyle w:val="VerbatimChar"/>
        </w:rPr>
        <w:t xml:space="preserve">## t = 8.1996, df = 10.685, p-value = 6.227e-06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108.0251 187.6892</w:t>
      </w:r>
      <w:r>
        <w:br w:type="textWrapping"/>
      </w:r>
      <w:r>
        <w:rPr>
          <w:rStyle w:val="VerbatimChar"/>
        </w:rPr>
        <w:t xml:space="preserve">## sample estimates:</w:t>
      </w:r>
      <w:r>
        <w:br w:type="textWrapping"/>
      </w:r>
      <w:r>
        <w:rPr>
          <w:rStyle w:val="VerbatimChar"/>
        </w:rPr>
        <w:t xml:space="preserve">## mean in group High  mean in group Low </w:t>
      </w:r>
      <w:r>
        <w:br w:type="textWrapping"/>
      </w:r>
      <w:r>
        <w:rPr>
          <w:rStyle w:val="VerbatimChar"/>
        </w:rPr>
        <w:t xml:space="preserve">##          201.00000           53.14286</w:t>
      </w:r>
    </w:p>
    <w:p>
      <w:pPr>
        <w:pStyle w:val="FigureWithCaption"/>
      </w:pPr>
      <w:r>
        <w:drawing>
          <wp:inline>
            <wp:extent cx="5486400" cy="5486400"/>
            <wp:effectExtent b="0" l="0" r="0" t="0"/>
            <wp:docPr descr="" id="1" name="Picture"/>
            <a:graphic>
              <a:graphicData uri="http://schemas.openxmlformats.org/drawingml/2006/picture">
                <pic:pic>
                  <pic:nvPicPr>
                    <pic:cNvPr descr="/Users/jacobmalcom/Repos/LilaeopsisDrought/results/supporting_analyses_files/figure-docx/fig-6-1.png" id="0" name="Picture"/>
                    <pic:cNvPicPr>
                      <a:picLocks noChangeArrowheads="1" noChangeAspect="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rPr>
          <w:b/>
        </w:rPr>
        <w:t xml:space="preserve">As expected, the density of</w:t>
      </w:r>
      <w:r>
        <w:rPr>
          <w:b/>
        </w:rPr>
        <w:t xml:space="preserve"> </w:t>
      </w:r>
      <w:r>
        <w:rPr>
          <w:i/>
          <w:b/>
        </w:rPr>
        <w:t xml:space="preserve">Lilaeopsis</w:t>
      </w:r>
      <w:r>
        <w:rPr>
          <w:b/>
        </w:rPr>
        <w:t xml:space="preserve"> </w:t>
      </w:r>
      <w:r>
        <w:rPr>
          <w:b/>
        </w:rPr>
        <w:t xml:space="preserve">leaves was higher for the</w:t>
      </w:r>
      <w:r>
        <w:rPr>
          <w:b/>
        </w:rPr>
        <w:t xml:space="preserve"> </w:t>
      </w:r>
      <w:r>
        <w:rPr>
          <w:i/>
          <w:b/>
        </w:rPr>
        <w:t xml:space="preserve">high</w:t>
      </w:r>
      <w:r>
        <w:rPr>
          <w:b/>
        </w:rPr>
        <w:t xml:space="preserve"> </w:t>
      </w:r>
      <w:r>
        <w:rPr>
          <w:b/>
        </w:rPr>
        <w:t xml:space="preserve">treatment than for the the</w:t>
      </w:r>
      <w:r>
        <w:rPr>
          <w:b/>
        </w:rPr>
        <w:t xml:space="preserve"> </w:t>
      </w:r>
      <w:r>
        <w:rPr>
          <w:i/>
          <w:b/>
        </w:rPr>
        <w:t xml:space="preserve">low</w:t>
      </w:r>
      <w:r>
        <w:rPr>
          <w:b/>
        </w:rPr>
        <w:t xml:space="preserve"> </w:t>
      </w:r>
      <w:r>
        <w:rPr>
          <w:b/>
        </w:rPr>
        <w:t xml:space="preserve">treatment.</w:t>
      </w:r>
    </w:p>
    <w:p>
      <w:pPr>
        <w:pStyle w:val="Heading2"/>
      </w:pPr>
      <w:bookmarkStart w:id="36" w:name="resistance-and-resilence-models"/>
      <w:bookmarkEnd w:id="36"/>
      <w:r>
        <w:t xml:space="preserve">Resistance and resilence models</w:t>
      </w:r>
    </w:p>
    <w:p>
      <w:pPr>
        <w:pStyle w:val="FirstParagraph"/>
      </w:pPr>
      <w:r>
        <w:t xml:space="preserve">For both the resistance and the resilience experiment data we evaluated additive and interaction models, and used Akaike's Information Criterion to select the best-supported model.</w:t>
      </w:r>
    </w:p>
    <w:p>
      <w:pPr>
        <w:pStyle w:val="SourceCode"/>
      </w:pPr>
      <w:r>
        <w:rPr>
          <w:rStyle w:val="CommentTok"/>
        </w:rPr>
        <w:t xml:space="preserve"># Days-to-critical analysis:</w:t>
      </w:r>
      <w:r>
        <w:br w:type="textWrapping"/>
      </w:r>
      <w:r>
        <w:rPr>
          <w:rStyle w:val="NormalTok"/>
        </w:rPr>
        <w:t xml:space="preserve">mod1 &lt;-</w:t>
      </w:r>
      <w:r>
        <w:rPr>
          <w:rStyle w:val="StringTok"/>
        </w:rPr>
        <w:t xml:space="preserve"> </w:t>
      </w:r>
      <w:r>
        <w:rPr>
          <w:rStyle w:val="KeywordTok"/>
        </w:rPr>
        <w:t xml:space="preserve">lm</w:t>
      </w:r>
      <w:r>
        <w:rPr>
          <w:rStyle w:val="NormalTok"/>
        </w:rPr>
        <w:t xml:space="preserve">(Days_to_Crit ~</w:t>
      </w:r>
      <w:r>
        <w:rPr>
          <w:rStyle w:val="StringTok"/>
        </w:rPr>
        <w:t xml:space="preserve"> </w:t>
      </w:r>
      <w:r>
        <w:rPr>
          <w:rStyle w:val="NormalTok"/>
        </w:rPr>
        <w:t xml:space="preserve">Treat +</w:t>
      </w:r>
      <w:r>
        <w:rPr>
          <w:rStyle w:val="StringTok"/>
        </w:rPr>
        <w:t xml:space="preserve"> </w:t>
      </w:r>
      <w:r>
        <w:rPr>
          <w:rStyle w:val="NormalTok"/>
        </w:rPr>
        <w:t xml:space="preserve">Density, </w:t>
      </w:r>
      <w:r>
        <w:rPr>
          <w:rStyle w:val="DataTypeTok"/>
        </w:rPr>
        <w:t xml:space="preserve">data =</w:t>
      </w:r>
      <w:r>
        <w:rPr>
          <w:rStyle w:val="NormalTok"/>
        </w:rPr>
        <w:t xml:space="preserve"> </w:t>
      </w:r>
      <w:r>
        <w:rPr>
          <w:rStyle w:val="NormalTok"/>
        </w:rPr>
        <w:t xml:space="preserve">crit_dat)</w:t>
      </w:r>
      <w:r>
        <w:br w:type="textWrapping"/>
      </w:r>
      <w:r>
        <w:rPr>
          <w:rStyle w:val="NormalTok"/>
        </w:rPr>
        <w:t xml:space="preserve">mod2 &lt;-</w:t>
      </w:r>
      <w:r>
        <w:rPr>
          <w:rStyle w:val="StringTok"/>
        </w:rPr>
        <w:t xml:space="preserve"> </w:t>
      </w:r>
      <w:r>
        <w:rPr>
          <w:rStyle w:val="KeywordTok"/>
        </w:rPr>
        <w:t xml:space="preserve">lm</w:t>
      </w:r>
      <w:r>
        <w:rPr>
          <w:rStyle w:val="NormalTok"/>
        </w:rPr>
        <w:t xml:space="preserve">(Days_to_Crit ~</w:t>
      </w:r>
      <w:r>
        <w:rPr>
          <w:rStyle w:val="StringTok"/>
        </w:rPr>
        <w:t xml:space="preserve"> </w:t>
      </w:r>
      <w:r>
        <w:rPr>
          <w:rStyle w:val="NormalTok"/>
        </w:rPr>
        <w:t xml:space="preserve">Treat *</w:t>
      </w:r>
      <w:r>
        <w:rPr>
          <w:rStyle w:val="StringTok"/>
        </w:rPr>
        <w:t xml:space="preserve"> </w:t>
      </w:r>
      <w:r>
        <w:rPr>
          <w:rStyle w:val="NormalTok"/>
        </w:rPr>
        <w:t xml:space="preserve">Density, </w:t>
      </w:r>
      <w:r>
        <w:rPr>
          <w:rStyle w:val="DataTypeTok"/>
        </w:rPr>
        <w:t xml:space="preserve">data =</w:t>
      </w:r>
      <w:r>
        <w:rPr>
          <w:rStyle w:val="NormalTok"/>
        </w:rPr>
        <w:t xml:space="preserve"> </w:t>
      </w:r>
      <w:r>
        <w:rPr>
          <w:rStyle w:val="NormalTok"/>
        </w:rPr>
        <w:t xml:space="preserve">crit_dat)</w:t>
      </w:r>
      <w:r>
        <w:br w:type="textWrapping"/>
      </w:r>
      <w:r>
        <w:br w:type="textWrapping"/>
      </w:r>
      <w:r>
        <w:rPr>
          <w:rStyle w:val="NormalTok"/>
        </w:rPr>
        <w:t xml:space="preserve">candidates &lt;-</w:t>
      </w:r>
      <w:r>
        <w:rPr>
          <w:rStyle w:val="StringTok"/>
        </w:rPr>
        <w:t xml:space="preserve"> </w:t>
      </w:r>
      <w:r>
        <w:rPr>
          <w:rStyle w:val="KeywordTok"/>
        </w:rPr>
        <w:t xml:space="preserve">list</w:t>
      </w:r>
      <w:r>
        <w:rPr>
          <w:rStyle w:val="NormalTok"/>
        </w:rPr>
        <w:t xml:space="preserve">(mod1, mod2)</w:t>
      </w:r>
      <w:r>
        <w:br w:type="textWrapping"/>
      </w:r>
      <w:r>
        <w:rPr>
          <w:rStyle w:val="NormalTok"/>
        </w:rPr>
        <w:t xml:space="preserve">AICc_table &lt;-</w:t>
      </w:r>
      <w:r>
        <w:rPr>
          <w:rStyle w:val="StringTok"/>
        </w:rPr>
        <w:t xml:space="preserve"> </w:t>
      </w:r>
      <w:r>
        <w:rPr>
          <w:rStyle w:val="KeywordTok"/>
        </w:rPr>
        <w:t xml:space="preserve">aictab</w:t>
      </w:r>
      <w:r>
        <w:rPr>
          <w:rStyle w:val="NormalTok"/>
        </w:rPr>
        <w:t xml:space="preserve">(candidates)</w:t>
      </w:r>
    </w:p>
    <w:p>
      <w:pPr>
        <w:pStyle w:val="SourceCode"/>
      </w:pPr>
      <w:r>
        <w:rPr>
          <w:rStyle w:val="VerbatimChar"/>
        </w:rPr>
        <w:t xml:space="preserve">## Warning in aictab.AIClm(candidates): </w:t>
      </w:r>
      <w:r>
        <w:br w:type="textWrapping"/>
      </w:r>
      <w:r>
        <w:rPr>
          <w:rStyle w:val="VerbatimChar"/>
        </w:rPr>
        <w:t xml:space="preserve">## Model names have been supplied automatically in the table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data.frame</w:t>
      </w:r>
      <w:r>
        <w:rPr>
          <w:rStyle w:val="NormalTok"/>
        </w:rPr>
        <w:t xml:space="preserve">(AICc_table))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Modnames</w:t>
            </w:r>
          </w:p>
        </w:tc>
        <w:tc>
          <w:tcPr>
            <w:tcBorders>
              <w:bottom w:val="single"/>
            </w:tcBorders>
            <w:vAlign w:val="bottom"/>
          </w:tcPr>
          <w:p>
            <w:pPr>
              <w:pStyle w:val="Compact"/>
              <w:jc w:val="right"/>
            </w:pPr>
            <w:r>
              <w:t xml:space="preserve">K</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Delta_AICc</w:t>
            </w:r>
          </w:p>
        </w:tc>
        <w:tc>
          <w:tcPr>
            <w:tcBorders>
              <w:bottom w:val="single"/>
            </w:tcBorders>
            <w:vAlign w:val="bottom"/>
          </w:tcPr>
          <w:p>
            <w:pPr>
              <w:pStyle w:val="Compact"/>
              <w:jc w:val="right"/>
            </w:pPr>
            <w:r>
              <w:t xml:space="preserve">ModelLik</w:t>
            </w:r>
          </w:p>
        </w:tc>
        <w:tc>
          <w:tcPr>
            <w:tcBorders>
              <w:bottom w:val="single"/>
            </w:tcBorders>
            <w:vAlign w:val="bottom"/>
          </w:tcPr>
          <w:p>
            <w:pPr>
              <w:pStyle w:val="Compact"/>
              <w:jc w:val="right"/>
            </w:pPr>
            <w:r>
              <w:t xml:space="preserve">AICcWt</w:t>
            </w:r>
          </w:p>
        </w:tc>
        <w:tc>
          <w:tcPr>
            <w:tcBorders>
              <w:bottom w:val="single"/>
            </w:tcBorders>
            <w:vAlign w:val="bottom"/>
          </w:tcPr>
          <w:p>
            <w:pPr>
              <w:pStyle w:val="Compact"/>
              <w:jc w:val="right"/>
            </w:pPr>
            <w:r>
              <w:t xml:space="preserve">LL</w:t>
            </w:r>
          </w:p>
        </w:tc>
        <w:tc>
          <w:tcPr>
            <w:tcBorders>
              <w:bottom w:val="single"/>
            </w:tcBorders>
            <w:vAlign w:val="bottom"/>
          </w:tcPr>
          <w:p>
            <w:pPr>
              <w:pStyle w:val="Compact"/>
              <w:jc w:val="right"/>
            </w:pPr>
            <w:r>
              <w:t xml:space="preserve">Cum.Wt</w:t>
            </w:r>
          </w:p>
        </w:tc>
      </w:tr>
      <w:tr>
        <w:tc>
          <w:p>
            <w:pPr>
              <w:pStyle w:val="Compact"/>
              <w:jc w:val="left"/>
            </w:pPr>
            <w:r>
              <w:t xml:space="preserve">Mod1</w:t>
            </w:r>
          </w:p>
        </w:tc>
        <w:tc>
          <w:p>
            <w:pPr>
              <w:pStyle w:val="Compact"/>
              <w:jc w:val="right"/>
            </w:pPr>
            <w:r>
              <w:t xml:space="preserve">7</w:t>
            </w:r>
          </w:p>
        </w:tc>
        <w:tc>
          <w:p>
            <w:pPr>
              <w:pStyle w:val="Compact"/>
              <w:jc w:val="right"/>
            </w:pPr>
            <w:r>
              <w:t xml:space="preserve">84.96619</w:t>
            </w:r>
          </w:p>
        </w:tc>
        <w:tc>
          <w:p>
            <w:pPr>
              <w:pStyle w:val="Compact"/>
              <w:jc w:val="right"/>
            </w:pPr>
            <w:r>
              <w:t xml:space="preserve">0.000000</w:t>
            </w:r>
          </w:p>
        </w:tc>
        <w:tc>
          <w:p>
            <w:pPr>
              <w:pStyle w:val="Compact"/>
              <w:jc w:val="right"/>
            </w:pPr>
            <w:r>
              <w:t xml:space="preserve">1.0000000</w:t>
            </w:r>
          </w:p>
        </w:tc>
        <w:tc>
          <w:p>
            <w:pPr>
              <w:pStyle w:val="Compact"/>
              <w:jc w:val="right"/>
            </w:pPr>
            <w:r>
              <w:t xml:space="preserve">0.9057526</w:t>
            </w:r>
          </w:p>
        </w:tc>
        <w:tc>
          <w:p>
            <w:pPr>
              <w:pStyle w:val="Compact"/>
              <w:jc w:val="right"/>
            </w:pPr>
            <w:r>
              <w:t xml:space="preserve">-33.73310</w:t>
            </w:r>
          </w:p>
        </w:tc>
        <w:tc>
          <w:p>
            <w:pPr>
              <w:pStyle w:val="Compact"/>
              <w:jc w:val="right"/>
            </w:pPr>
            <w:r>
              <w:t xml:space="preserve">0.9057526</w:t>
            </w:r>
          </w:p>
        </w:tc>
      </w:tr>
      <w:tr>
        <w:tc>
          <w:p>
            <w:pPr>
              <w:pStyle w:val="Compact"/>
              <w:jc w:val="left"/>
            </w:pPr>
            <w:r>
              <w:t xml:space="preserve">Mod2</w:t>
            </w:r>
          </w:p>
        </w:tc>
        <w:tc>
          <w:p>
            <w:pPr>
              <w:pStyle w:val="Compact"/>
              <w:jc w:val="right"/>
            </w:pPr>
            <w:r>
              <w:t xml:space="preserve">11</w:t>
            </w:r>
          </w:p>
        </w:tc>
        <w:tc>
          <w:p>
            <w:pPr>
              <w:pStyle w:val="Compact"/>
              <w:jc w:val="right"/>
            </w:pPr>
            <w:r>
              <w:t xml:space="preserve">89.49188</w:t>
            </w:r>
          </w:p>
        </w:tc>
        <w:tc>
          <w:p>
            <w:pPr>
              <w:pStyle w:val="Compact"/>
              <w:jc w:val="right"/>
            </w:pPr>
            <w:r>
              <w:t xml:space="preserve">4.525686</w:t>
            </w:r>
          </w:p>
        </w:tc>
        <w:tc>
          <w:p>
            <w:pPr>
              <w:pStyle w:val="Compact"/>
              <w:jc w:val="right"/>
            </w:pPr>
            <w:r>
              <w:t xml:space="preserve">0.1040542</w:t>
            </w:r>
          </w:p>
        </w:tc>
        <w:tc>
          <w:p>
            <w:pPr>
              <w:pStyle w:val="Compact"/>
              <w:jc w:val="right"/>
            </w:pPr>
            <w:r>
              <w:t xml:space="preserve">0.0942474</w:t>
            </w:r>
          </w:p>
        </w:tc>
        <w:tc>
          <w:p>
            <w:pPr>
              <w:pStyle w:val="Compact"/>
              <w:jc w:val="right"/>
            </w:pPr>
            <w:r>
              <w:t xml:space="preserve">-29.03165</w:t>
            </w:r>
          </w:p>
        </w:tc>
        <w:tc>
          <w:p>
            <w:pPr>
              <w:pStyle w:val="Compact"/>
              <w:jc w:val="right"/>
            </w:pPr>
            <w:r>
              <w:t xml:space="preserve">1.0000000</w:t>
            </w:r>
          </w:p>
        </w:tc>
      </w:tr>
    </w:tbl>
    <w:p>
      <w:pPr>
        <w:pStyle w:val="SourceCode"/>
      </w:pPr>
      <w:r>
        <w:rPr>
          <w:rStyle w:val="CommentTok"/>
        </w:rPr>
        <w:t xml:space="preserve"># Drought resilience analysis:</w:t>
      </w:r>
      <w:r>
        <w:br w:type="textWrapping"/>
      </w:r>
      <w:r>
        <w:rPr>
          <w:rStyle w:val="NormalTok"/>
        </w:rPr>
        <w:t xml:space="preserve">mod1 &lt;-</w:t>
      </w:r>
      <w:r>
        <w:rPr>
          <w:rStyle w:val="StringTok"/>
        </w:rPr>
        <w:t xml:space="preserve"> </w:t>
      </w:r>
      <w:r>
        <w:rPr>
          <w:rStyle w:val="KeywordTok"/>
        </w:rPr>
        <w:t xml:space="preserve">lm</w:t>
      </w:r>
      <w:r>
        <w:rPr>
          <w:rStyle w:val="NormalTok"/>
        </w:rPr>
        <w:t xml:space="preserve">(Condition ~</w:t>
      </w:r>
      <w:r>
        <w:rPr>
          <w:rStyle w:val="StringTok"/>
        </w:rPr>
        <w:t xml:space="preserve"> </w:t>
      </w:r>
      <w:r>
        <w:rPr>
          <w:rStyle w:val="NormalTok"/>
        </w:rPr>
        <w:t xml:space="preserve">Density +</w:t>
      </w:r>
      <w:r>
        <w:rPr>
          <w:rStyle w:val="StringTok"/>
        </w:rPr>
        <w:t xml:space="preserve"> </w:t>
      </w:r>
      <w:r>
        <w:rPr>
          <w:rStyle w:val="NormalTok"/>
        </w:rPr>
        <w:t xml:space="preserve">Treat +</w:t>
      </w:r>
      <w:r>
        <w:rPr>
          <w:rStyle w:val="StringTok"/>
        </w:rPr>
        <w:t xml:space="preserve"> </w:t>
      </w:r>
      <w:r>
        <w:rPr>
          <w:rStyle w:val="NormalTok"/>
        </w:rPr>
        <w:t xml:space="preserve">Day, </w:t>
      </w:r>
      <w:r>
        <w:rPr>
          <w:rStyle w:val="DataTypeTok"/>
        </w:rPr>
        <w:t xml:space="preserve">data =</w:t>
      </w:r>
      <w:r>
        <w:rPr>
          <w:rStyle w:val="NormalTok"/>
        </w:rPr>
        <w:t xml:space="preserve"> </w:t>
      </w:r>
      <w:r>
        <w:rPr>
          <w:rStyle w:val="NormalTok"/>
        </w:rPr>
        <w:t xml:space="preserve">resil_dat)</w:t>
      </w:r>
      <w:r>
        <w:br w:type="textWrapping"/>
      </w:r>
      <w:r>
        <w:rPr>
          <w:rStyle w:val="NormalTok"/>
        </w:rPr>
        <w:t xml:space="preserve">mod2 &lt;-</w:t>
      </w:r>
      <w:r>
        <w:rPr>
          <w:rStyle w:val="StringTok"/>
        </w:rPr>
        <w:t xml:space="preserve"> </w:t>
      </w:r>
      <w:r>
        <w:rPr>
          <w:rStyle w:val="KeywordTok"/>
        </w:rPr>
        <w:t xml:space="preserve">lm</w:t>
      </w:r>
      <w:r>
        <w:rPr>
          <w:rStyle w:val="NormalTok"/>
        </w:rPr>
        <w:t xml:space="preserve">(Condition ~</w:t>
      </w:r>
      <w:r>
        <w:rPr>
          <w:rStyle w:val="StringTok"/>
        </w:rPr>
        <w:t xml:space="preserve"> </w:t>
      </w:r>
      <w:r>
        <w:rPr>
          <w:rStyle w:val="NormalTok"/>
        </w:rPr>
        <w:t xml:space="preserve">Density *</w:t>
      </w:r>
      <w:r>
        <w:rPr>
          <w:rStyle w:val="StringTok"/>
        </w:rPr>
        <w:t xml:space="preserve"> </w:t>
      </w:r>
      <w:r>
        <w:rPr>
          <w:rStyle w:val="NormalTok"/>
        </w:rPr>
        <w:t xml:space="preserve">Day +</w:t>
      </w:r>
      <w:r>
        <w:rPr>
          <w:rStyle w:val="StringTok"/>
        </w:rPr>
        <w:t xml:space="preserve"> </w:t>
      </w:r>
      <w:r>
        <w:rPr>
          <w:rStyle w:val="NormalTok"/>
        </w:rPr>
        <w:t xml:space="preserve">Treat, </w:t>
      </w:r>
      <w:r>
        <w:rPr>
          <w:rStyle w:val="DataTypeTok"/>
        </w:rPr>
        <w:t xml:space="preserve">data =</w:t>
      </w:r>
      <w:r>
        <w:rPr>
          <w:rStyle w:val="NormalTok"/>
        </w:rPr>
        <w:t xml:space="preserve"> </w:t>
      </w:r>
      <w:r>
        <w:rPr>
          <w:rStyle w:val="NormalTok"/>
        </w:rPr>
        <w:t xml:space="preserve">resil_dat)</w:t>
      </w:r>
      <w:r>
        <w:br w:type="textWrapping"/>
      </w:r>
      <w:r>
        <w:rPr>
          <w:rStyle w:val="NormalTok"/>
        </w:rPr>
        <w:t xml:space="preserve">mod3 &lt;-</w:t>
      </w:r>
      <w:r>
        <w:rPr>
          <w:rStyle w:val="StringTok"/>
        </w:rPr>
        <w:t xml:space="preserve"> </w:t>
      </w:r>
      <w:r>
        <w:rPr>
          <w:rStyle w:val="KeywordTok"/>
        </w:rPr>
        <w:t xml:space="preserve">lm</w:t>
      </w:r>
      <w:r>
        <w:rPr>
          <w:rStyle w:val="NormalTok"/>
        </w:rPr>
        <w:t xml:space="preserve">(Condition ~</w:t>
      </w:r>
      <w:r>
        <w:rPr>
          <w:rStyle w:val="StringTok"/>
        </w:rPr>
        <w:t xml:space="preserve"> </w:t>
      </w:r>
      <w:r>
        <w:rPr>
          <w:rStyle w:val="NormalTok"/>
        </w:rPr>
        <w:t xml:space="preserve">Density *</w:t>
      </w:r>
      <w:r>
        <w:rPr>
          <w:rStyle w:val="StringTok"/>
        </w:rPr>
        <w:t xml:space="preserve"> </w:t>
      </w:r>
      <w:r>
        <w:rPr>
          <w:rStyle w:val="NormalTok"/>
        </w:rPr>
        <w:t xml:space="preserve">Day *</w:t>
      </w:r>
      <w:r>
        <w:rPr>
          <w:rStyle w:val="StringTok"/>
        </w:rPr>
        <w:t xml:space="preserve"> </w:t>
      </w:r>
      <w:r>
        <w:rPr>
          <w:rStyle w:val="NormalTok"/>
        </w:rPr>
        <w:t xml:space="preserve">Treat, </w:t>
      </w:r>
      <w:r>
        <w:rPr>
          <w:rStyle w:val="DataTypeTok"/>
        </w:rPr>
        <w:t xml:space="preserve">data =</w:t>
      </w:r>
      <w:r>
        <w:rPr>
          <w:rStyle w:val="NormalTok"/>
        </w:rPr>
        <w:t xml:space="preserve"> </w:t>
      </w:r>
      <w:r>
        <w:rPr>
          <w:rStyle w:val="NormalTok"/>
        </w:rPr>
        <w:t xml:space="preserve">resil_dat)</w:t>
      </w:r>
      <w:r>
        <w:br w:type="textWrapping"/>
      </w:r>
      <w:r>
        <w:br w:type="textWrapping"/>
      </w:r>
      <w:r>
        <w:rPr>
          <w:rStyle w:val="NormalTok"/>
        </w:rPr>
        <w:t xml:space="preserve">candidates &lt;-</w:t>
      </w:r>
      <w:r>
        <w:rPr>
          <w:rStyle w:val="StringTok"/>
        </w:rPr>
        <w:t xml:space="preserve"> </w:t>
      </w:r>
      <w:r>
        <w:rPr>
          <w:rStyle w:val="KeywordTok"/>
        </w:rPr>
        <w:t xml:space="preserve">list</w:t>
      </w:r>
      <w:r>
        <w:rPr>
          <w:rStyle w:val="NormalTok"/>
        </w:rPr>
        <w:t xml:space="preserve">(mod1, mod2, mod3)</w:t>
      </w:r>
      <w:r>
        <w:br w:type="textWrapping"/>
      </w:r>
      <w:r>
        <w:rPr>
          <w:rStyle w:val="NormalTok"/>
        </w:rPr>
        <w:t xml:space="preserve">AICc_table &lt;-</w:t>
      </w:r>
      <w:r>
        <w:rPr>
          <w:rStyle w:val="StringTok"/>
        </w:rPr>
        <w:t xml:space="preserve"> </w:t>
      </w:r>
      <w:r>
        <w:rPr>
          <w:rStyle w:val="KeywordTok"/>
        </w:rPr>
        <w:t xml:space="preserve">aictab</w:t>
      </w:r>
      <w:r>
        <w:rPr>
          <w:rStyle w:val="NormalTok"/>
        </w:rPr>
        <w:t xml:space="preserve">(candidates)</w:t>
      </w:r>
    </w:p>
    <w:p>
      <w:pPr>
        <w:pStyle w:val="SourceCode"/>
      </w:pPr>
      <w:r>
        <w:rPr>
          <w:rStyle w:val="VerbatimChar"/>
        </w:rPr>
        <w:t xml:space="preserve">## Warning in aictab.AIClm(candidates): </w:t>
      </w:r>
      <w:r>
        <w:br w:type="textWrapping"/>
      </w:r>
      <w:r>
        <w:rPr>
          <w:rStyle w:val="VerbatimChar"/>
        </w:rPr>
        <w:t xml:space="preserve">## Model names have been supplied automatically in the table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data.frame</w:t>
      </w:r>
      <w:r>
        <w:rPr>
          <w:rStyle w:val="NormalTok"/>
        </w:rPr>
        <w:t xml:space="preserve">(AICc_table))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Modnames</w:t>
            </w:r>
          </w:p>
        </w:tc>
        <w:tc>
          <w:tcPr>
            <w:tcBorders>
              <w:bottom w:val="single"/>
            </w:tcBorders>
            <w:vAlign w:val="bottom"/>
          </w:tcPr>
          <w:p>
            <w:pPr>
              <w:pStyle w:val="Compact"/>
              <w:jc w:val="right"/>
            </w:pPr>
            <w:r>
              <w:t xml:space="preserve">K</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Delta_AICc</w:t>
            </w:r>
          </w:p>
        </w:tc>
        <w:tc>
          <w:tcPr>
            <w:tcBorders>
              <w:bottom w:val="single"/>
            </w:tcBorders>
            <w:vAlign w:val="bottom"/>
          </w:tcPr>
          <w:p>
            <w:pPr>
              <w:pStyle w:val="Compact"/>
              <w:jc w:val="right"/>
            </w:pPr>
            <w:r>
              <w:t xml:space="preserve">ModelLik</w:t>
            </w:r>
          </w:p>
        </w:tc>
        <w:tc>
          <w:tcPr>
            <w:tcBorders>
              <w:bottom w:val="single"/>
            </w:tcBorders>
            <w:vAlign w:val="bottom"/>
          </w:tcPr>
          <w:p>
            <w:pPr>
              <w:pStyle w:val="Compact"/>
              <w:jc w:val="right"/>
            </w:pPr>
            <w:r>
              <w:t xml:space="preserve">AICcWt</w:t>
            </w:r>
          </w:p>
        </w:tc>
        <w:tc>
          <w:tcPr>
            <w:tcBorders>
              <w:bottom w:val="single"/>
            </w:tcBorders>
            <w:vAlign w:val="bottom"/>
          </w:tcPr>
          <w:p>
            <w:pPr>
              <w:pStyle w:val="Compact"/>
              <w:jc w:val="right"/>
            </w:pPr>
            <w:r>
              <w:t xml:space="preserve">LL</w:t>
            </w:r>
          </w:p>
        </w:tc>
        <w:tc>
          <w:tcPr>
            <w:tcBorders>
              <w:bottom w:val="single"/>
            </w:tcBorders>
            <w:vAlign w:val="bottom"/>
          </w:tcPr>
          <w:p>
            <w:pPr>
              <w:pStyle w:val="Compact"/>
              <w:jc w:val="right"/>
            </w:pPr>
            <w:r>
              <w:t xml:space="preserve">Cum.Wt</w:t>
            </w:r>
          </w:p>
        </w:tc>
      </w:tr>
      <w:tr>
        <w:tc>
          <w:p>
            <w:pPr>
              <w:pStyle w:val="Compact"/>
              <w:jc w:val="left"/>
            </w:pPr>
            <w:r>
              <w:t xml:space="preserve">3</w:t>
            </w:r>
          </w:p>
        </w:tc>
        <w:tc>
          <w:p>
            <w:pPr>
              <w:pStyle w:val="Compact"/>
              <w:jc w:val="left"/>
            </w:pPr>
            <w:r>
              <w:t xml:space="preserve">Mod3</w:t>
            </w:r>
          </w:p>
        </w:tc>
        <w:tc>
          <w:p>
            <w:pPr>
              <w:pStyle w:val="Compact"/>
              <w:jc w:val="right"/>
            </w:pPr>
            <w:r>
              <w:t xml:space="preserve">21</w:t>
            </w:r>
          </w:p>
        </w:tc>
        <w:tc>
          <w:p>
            <w:pPr>
              <w:pStyle w:val="Compact"/>
              <w:jc w:val="right"/>
            </w:pPr>
            <w:r>
              <w:t xml:space="preserve">1617.399</w:t>
            </w:r>
          </w:p>
        </w:tc>
        <w:tc>
          <w:p>
            <w:pPr>
              <w:pStyle w:val="Compact"/>
              <w:jc w:val="right"/>
            </w:pPr>
            <w:r>
              <w:t xml:space="preserve">0.000000</w:t>
            </w:r>
          </w:p>
        </w:tc>
        <w:tc>
          <w:p>
            <w:pPr>
              <w:pStyle w:val="Compact"/>
              <w:jc w:val="right"/>
            </w:pPr>
            <w:r>
              <w:t xml:space="preserve">1.0000000</w:t>
            </w:r>
          </w:p>
        </w:tc>
        <w:tc>
          <w:p>
            <w:pPr>
              <w:pStyle w:val="Compact"/>
              <w:jc w:val="right"/>
            </w:pPr>
            <w:r>
              <w:t xml:space="preserve">0.9865197</w:t>
            </w:r>
          </w:p>
        </w:tc>
        <w:tc>
          <w:p>
            <w:pPr>
              <w:pStyle w:val="Compact"/>
              <w:jc w:val="right"/>
            </w:pPr>
            <w:r>
              <w:t xml:space="preserve">-786.9003</w:t>
            </w:r>
          </w:p>
        </w:tc>
        <w:tc>
          <w:p>
            <w:pPr>
              <w:pStyle w:val="Compact"/>
              <w:jc w:val="right"/>
            </w:pPr>
            <w:r>
              <w:t xml:space="preserve">0.9865197</w:t>
            </w:r>
          </w:p>
        </w:tc>
      </w:tr>
      <w:tr>
        <w:tc>
          <w:p>
            <w:pPr>
              <w:pStyle w:val="Compact"/>
              <w:jc w:val="left"/>
            </w:pPr>
            <w:r>
              <w:t xml:space="preserve">2</w:t>
            </w:r>
          </w:p>
        </w:tc>
        <w:tc>
          <w:p>
            <w:pPr>
              <w:pStyle w:val="Compact"/>
              <w:jc w:val="left"/>
            </w:pPr>
            <w:r>
              <w:t xml:space="preserve">Mod2</w:t>
            </w:r>
          </w:p>
        </w:tc>
        <w:tc>
          <w:p>
            <w:pPr>
              <w:pStyle w:val="Compact"/>
              <w:jc w:val="right"/>
            </w:pPr>
            <w:r>
              <w:t xml:space="preserve">9</w:t>
            </w:r>
          </w:p>
        </w:tc>
        <w:tc>
          <w:p>
            <w:pPr>
              <w:pStyle w:val="Compact"/>
              <w:jc w:val="right"/>
            </w:pPr>
            <w:r>
              <w:t xml:space="preserve">1626.177</w:t>
            </w:r>
          </w:p>
        </w:tc>
        <w:tc>
          <w:p>
            <w:pPr>
              <w:pStyle w:val="Compact"/>
              <w:jc w:val="right"/>
            </w:pPr>
            <w:r>
              <w:t xml:space="preserve">8.777422</w:t>
            </w:r>
          </w:p>
        </w:tc>
        <w:tc>
          <w:p>
            <w:pPr>
              <w:pStyle w:val="Compact"/>
              <w:jc w:val="right"/>
            </w:pPr>
            <w:r>
              <w:t xml:space="preserve">0.0124167</w:t>
            </w:r>
          </w:p>
        </w:tc>
        <w:tc>
          <w:p>
            <w:pPr>
              <w:pStyle w:val="Compact"/>
              <w:jc w:val="right"/>
            </w:pPr>
            <w:r>
              <w:t xml:space="preserve">0.0122493</w:t>
            </w:r>
          </w:p>
        </w:tc>
        <w:tc>
          <w:p>
            <w:pPr>
              <w:pStyle w:val="Compact"/>
              <w:jc w:val="right"/>
            </w:pPr>
            <w:r>
              <w:t xml:space="preserve">-803.9358</w:t>
            </w:r>
          </w:p>
        </w:tc>
        <w:tc>
          <w:p>
            <w:pPr>
              <w:pStyle w:val="Compact"/>
              <w:jc w:val="right"/>
            </w:pPr>
            <w:r>
              <w:t xml:space="preserve">0.9987691</w:t>
            </w:r>
          </w:p>
        </w:tc>
      </w:tr>
      <w:tr>
        <w:tc>
          <w:p>
            <w:pPr>
              <w:pStyle w:val="Compact"/>
              <w:jc w:val="left"/>
            </w:pPr>
            <w:r>
              <w:t xml:space="preserve">1</w:t>
            </w:r>
          </w:p>
        </w:tc>
        <w:tc>
          <w:p>
            <w:pPr>
              <w:pStyle w:val="Compact"/>
              <w:jc w:val="left"/>
            </w:pPr>
            <w:r>
              <w:t xml:space="preserve">Mod1</w:t>
            </w:r>
          </w:p>
        </w:tc>
        <w:tc>
          <w:p>
            <w:pPr>
              <w:pStyle w:val="Compact"/>
              <w:jc w:val="right"/>
            </w:pPr>
            <w:r>
              <w:t xml:space="preserve">8</w:t>
            </w:r>
          </w:p>
        </w:tc>
        <w:tc>
          <w:p>
            <w:pPr>
              <w:pStyle w:val="Compact"/>
              <w:jc w:val="right"/>
            </w:pPr>
            <w:r>
              <w:t xml:space="preserve">1630.772</w:t>
            </w:r>
          </w:p>
        </w:tc>
        <w:tc>
          <w:p>
            <w:pPr>
              <w:pStyle w:val="Compact"/>
              <w:jc w:val="right"/>
            </w:pPr>
            <w:r>
              <w:t xml:space="preserve">13.372856</w:t>
            </w:r>
          </w:p>
        </w:tc>
        <w:tc>
          <w:p>
            <w:pPr>
              <w:pStyle w:val="Compact"/>
              <w:jc w:val="right"/>
            </w:pPr>
            <w:r>
              <w:t xml:space="preserve">0.0012477</w:t>
            </w:r>
          </w:p>
        </w:tc>
        <w:tc>
          <w:p>
            <w:pPr>
              <w:pStyle w:val="Compact"/>
              <w:jc w:val="right"/>
            </w:pPr>
            <w:r>
              <w:t xml:space="preserve">0.0012309</w:t>
            </w:r>
          </w:p>
        </w:tc>
        <w:tc>
          <w:p>
            <w:pPr>
              <w:pStyle w:val="Compact"/>
              <w:jc w:val="right"/>
            </w:pPr>
            <w:r>
              <w:t xml:space="preserve">-807.2642</w:t>
            </w:r>
          </w:p>
        </w:tc>
        <w:tc>
          <w:p>
            <w:pPr>
              <w:pStyle w:val="Compact"/>
              <w:jc w:val="right"/>
            </w:pPr>
            <w:r>
              <w:t xml:space="preserve">1.0000000</w:t>
            </w:r>
          </w:p>
        </w:tc>
      </w:tr>
    </w:tbl>
    <w:p>
      <w:pPr>
        <w:pStyle w:val="BodyText"/>
      </w:pPr>
      <w:r>
        <w:t xml:space="preserve">Because of the overwhelming support for the interaction models for both the drought resistance and the drought resilience analyses, we simply use the parameter estimates from the interaction model rather than average the estimates.</w:t>
      </w:r>
    </w:p>
    <w:sectPr w:rsidR="00E006F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14A3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53F5F31"/>
    <w:multiLevelType w:val="multilevel"/>
    <w:tmpl w:val="923EE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5a79b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623AFC"/>
    <w:pPr>
      <w:keepNext/>
      <w:keepLines/>
      <w:spacing w:before="480" w:after="0"/>
      <w:outlineLvl w:val="0"/>
    </w:pPr>
    <w:rPr>
      <w:rFonts w:ascii="Open Sans" w:eastAsiaTheme="majorEastAsia" w:hAnsi="Open Sans" w:cstheme="majorBidi"/>
      <w:b/>
      <w:bCs/>
      <w:sz w:val="28"/>
      <w:szCs w:val="32"/>
    </w:rPr>
  </w:style>
  <w:style w:type="paragraph" w:styleId="Heading2">
    <w:name w:val="heading 2"/>
    <w:basedOn w:val="Normal"/>
    <w:next w:val="BodyText"/>
    <w:uiPriority w:val="9"/>
    <w:unhideWhenUsed/>
    <w:qFormat/>
    <w:rsid w:val="00623AFC"/>
    <w:pPr>
      <w:keepNext/>
      <w:keepLines/>
      <w:spacing w:before="200" w:after="0"/>
      <w:outlineLvl w:val="1"/>
    </w:pPr>
    <w:rPr>
      <w:rFonts w:ascii="Open Sans" w:eastAsiaTheme="majorEastAsia" w:hAnsi="Open Sans" w:cstheme="majorBidi"/>
      <w:b/>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23AFC"/>
    <w:pPr>
      <w:spacing w:after="180" w:line="264" w:lineRule="auto"/>
    </w:pPr>
    <w:rPr>
      <w:rFonts w:ascii="Garamond" w:hAnsi="Garamond"/>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23AFC"/>
    <w:pPr>
      <w:keepNext/>
      <w:keepLines/>
      <w:spacing w:before="480" w:after="240"/>
      <w:jc w:val="center"/>
    </w:pPr>
    <w:rPr>
      <w:rFonts w:ascii="Open Sans" w:eastAsiaTheme="majorEastAsia" w:hAnsi="Open Sans"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23AFC"/>
    <w:pPr>
      <w:keepNext/>
      <w:keepLines/>
      <w:jc w:val="center"/>
    </w:pPr>
    <w:rPr>
      <w:rFonts w:ascii="Garamond" w:hAnsi="Garamond"/>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0723F"/>
    <w:pPr>
      <w:spacing w:after="120"/>
    </w:pPr>
    <w:rPr>
      <w:rFonts w:ascii="Open Sans" w:hAnsi="Open Sans"/>
      <w:i/>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0723F"/>
    <w:rPr>
      <w:rFonts w:ascii="Open Sans" w:hAnsi="Open Sans"/>
      <w:i/>
      <w:sz w:val="20"/>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Open Sans" w:hAnsi="Open Sans"/>
      <w:i/>
      <w:sz w:val="20"/>
      <w:vertAlign w:val="superscript"/>
    </w:rPr>
  </w:style>
  <w:style w:type="character" w:styleId="Hyperlink">
    <w:name w:val="Hyperlink"/>
    <w:basedOn w:val="CaptionChar"/>
    <w:rPr>
      <w:rFonts w:ascii="Open Sans" w:hAnsi="Open Sans"/>
      <w:i/>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alloonText">
    <w:name w:val="Balloon Text"/>
    <w:basedOn w:val="Normal"/>
    <w:link w:val="BalloonTextChar"/>
    <w:rsid w:val="00623A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23A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987</Words>
  <Characters>5630</Characters>
  <Application>Microsoft Macintosh Word</Application>
  <DocSecurity>0</DocSecurity>
  <Lines>46</Lines>
  <Paragraphs>13</Paragraphs>
  <ScaleCrop>false</ScaleCrop>
  <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Analyses for Lilaeopsis Drought Ecology</dc:title>
  <dc:creator>Jacob Malcom, Anna Malcom, and William Radke</dc:creator>
</cp:coreProperties>
</file>