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b/>
          <w:bCs/>
          <w:color w:val="1A1A1A"/>
          <w:sz w:val="64"/>
          <w:szCs w:val="64"/>
        </w:rPr>
        <w:t xml:space="preserve">TURNSTILE</w:t>
      </w:r>
    </w:p>
    <w:p>
      <w:pPr>
        <w:spacing w:before="0" w:after="80"/>
      </w:pPr>
      <w:r>
        <w:rPr>
          <w:rFonts w:ascii="Arial" w:cs="Arial" w:eastAsia="Arial" w:hAnsi="Arial"/>
          <w:b/>
          <w:bCs/>
          <w:color w:val="1A1A1A"/>
          <w:sz w:val="64"/>
          <w:szCs w:val="64"/>
        </w:rPr>
        <w:t xml:space="preserve">TURN</w:t>
      </w:r>
      <w:r>
        <w:rPr>
          <w:rFonts w:ascii="Arial" w:cs="Arial" w:eastAsia="Arial" w:hAnsi="Arial"/>
          <w:b/>
          <w:bCs/>
          <w:color w:val="C44B1B"/>
          <w:sz w:val="64"/>
          <w:szCs w:val="64"/>
        </w:rPr>
        <w:t xml:space="preserve">S</w:t>
      </w:r>
      <w:r>
        <w:rPr>
          <w:rFonts w:ascii="Arial" w:cs="Arial" w:eastAsia="Arial" w:hAnsi="Arial"/>
          <w:b/>
          <w:bCs/>
          <w:color w:val="1A1A1A"/>
          <w:sz w:val="64"/>
          <w:szCs w:val="64"/>
        </w:rPr>
        <w:t xml:space="preserve">TILE</w:t>
      </w:r>
    </w:p>
    <w:p>
      <w:pPr>
        <w:spacing w:before="0" w:after="40"/>
      </w:pPr>
      <w:r>
        <w:rPr>
          <w:rFonts w:ascii="Arial" w:cs="Arial" w:eastAsia="Arial" w:hAnsi="Arial"/>
          <w:color w:val="7A7470"/>
          <w:sz w:val="26"/>
          <w:szCs w:val="26"/>
        </w:rPr>
        <w:t xml:space="preserve">Anti-Scalp Live Music Subscription Platform</w:t>
      </w:r>
    </w:p>
    <w:p>
      <w:pPr>
        <w:spacing w:before="0" w:after="240"/>
      </w:pPr>
      <w:r>
        <w:rPr>
          <w:rFonts w:ascii="Arial" w:cs="Arial" w:eastAsia="Arial" w:hAnsi="Arial"/>
          <w:i/>
          <w:iCs/>
          <w:color w:val="7A7470"/>
          <w:sz w:val="20"/>
          <w:szCs w:val="20"/>
        </w:rPr>
        <w:t xml:space="preserve">Business Model · Unit Economics · Go-to-Market Strategy</w:t>
      </w:r>
    </w:p>
    <w:p>
      <w:pPr>
        <w:pBdr>
          <w:bottom w:val="single" w:color="C44B1B" w:sz="8"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40"/>
        <w:gridCol w:w="9120"/>
      </w:tblGrid>
      <w:tr>
        <w:tc>
          <w:tcPr>
            <w:tcW w:type="dxa" w:w="240"/>
            <w:tcBorders>
              <w:top w:val="none"/>
              <w:left w:val="none"/>
              <w:bottom w:val="none"/>
              <w:right w:val="none"/>
            </w:tcBorders>
            <w:shd w:fill="C44B1B" w:val="clear"/>
          </w:tcPr>
          <w:p>
            <w:r>
              <w:t xml:space="preserve"> </w:t>
            </w:r>
          </w:p>
        </w:tc>
        <w:tc>
          <w:tcPr>
            <w:tcW w:type="dxa" w:w="9120"/>
            <w:tcBorders>
              <w:top w:val="none"/>
              <w:left w:val="none"/>
              <w:bottom w:val="none"/>
              <w:right w:val="none"/>
            </w:tcBorders>
            <w:shd w:fill="F7F4EF" w:val="clear"/>
            <w:tcMar>
              <w:top w:type="dxa" w:w="120"/>
              <w:left w:type="dxa" w:w="200"/>
              <w:bottom w:type="dxa" w:w="120"/>
              <w:right w:type="dxa" w:w="200"/>
            </w:tcMar>
          </w:tcPr>
          <w:p>
            <w:r>
              <w:rPr>
                <w:rFonts w:ascii="Arial" w:cs="Arial" w:eastAsia="Arial" w:hAnsi="Arial"/>
                <w:i/>
                <w:iCs/>
                <w:color w:val="333333"/>
                <w:sz w:val="20"/>
                <w:szCs w:val="20"/>
              </w:rPr>
              <w:t xml:space="preserve">The problem is not that people can't afford concerts. The problem is that bots buy thousands of tickets in seconds, scalpers triple the price before you refresh, and real fans — the ones who actually show up — are priced out. Turnstile fixes the allocation problem, not the pricing problem. Ticketmaster still works. We take 10–15% of every show and give it to the people who earned it.</w:t>
            </w:r>
          </w:p>
        </w:tc>
      </w:tr>
    </w:tbl>
    <w:p>
      <w:pPr>
        <w:spacing w:before="0" w:after="200"/>
      </w:pPr>
    </w:p>
    <w:p>
      <w:pPr>
        <w:pStyle w:val="Heading1"/>
        <w:spacing w:before="400" w:after="120"/>
      </w:pPr>
      <w:r>
        <w:rPr>
          <w:rFonts w:ascii="Arial" w:cs="Arial" w:eastAsia="Arial" w:hAnsi="Arial"/>
          <w:b/>
          <w:bCs/>
          <w:color w:val="1A1A1A"/>
          <w:sz w:val="32"/>
          <w:szCs w:val="32"/>
        </w:rPr>
        <w:t xml:space="preserve">01  THE PROBLEM</w:t>
      </w:r>
    </w:p>
    <w:p>
      <w:pPr>
        <w:pBdr>
          <w:bottom w:val="single" w:color="C44B1B" w:sz="8" w:space="1"/>
        </w:pBdr>
        <w:spacing w:before="200" w:after="200"/>
      </w:pPr>
    </w:p>
    <w:p>
      <w:pPr>
        <w:spacing w:before="80" w:after="80"/>
      </w:pPr>
      <w:r>
        <w:rPr>
          <w:rFonts w:ascii="Arial" w:cs="Arial" w:eastAsia="Arial" w:hAnsi="Arial"/>
          <w:color w:val="333333"/>
          <w:sz w:val="20"/>
          <w:szCs w:val="20"/>
        </w:rPr>
        <w:t xml:space="preserve">The live music industry generates over $30 billion annually in the U.S. A significant and growing portion of that revenue flows not to artists or venues, but to resale platforms and scalpers — automated actors who exploit the gap between initial ticket pricing and what desperate fans will pay hours before a show.</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3120"/>
        <w:gridCol w:w="3120"/>
        <w:gridCol w:w="3120"/>
      </w:tblGrid>
      <w:tr>
        <w:tc>
          <w:tcPr>
            <w:tcW w:type="dxa" w:w="312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pPr>
              <w:jc w:val="left"/>
            </w:pPr>
            <w:r>
              <w:rPr>
                <w:rFonts w:ascii="Arial" w:cs="Arial" w:eastAsia="Arial" w:hAnsi="Arial"/>
                <w:b/>
                <w:bCs/>
                <w:i w:val="false"/>
                <w:iCs w:val="false"/>
                <w:color w:val="F0EBE0"/>
                <w:sz w:val="19"/>
                <w:szCs w:val="19"/>
              </w:rPr>
              <w:t xml:space="preserve">The Scalper Problem</w:t>
            </w:r>
          </w:p>
        </w:tc>
        <w:tc>
          <w:tcPr>
            <w:tcW w:type="dxa" w:w="312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pPr>
              <w:jc w:val="left"/>
            </w:pPr>
            <w:r>
              <w:rPr>
                <w:rFonts w:ascii="Arial" w:cs="Arial" w:eastAsia="Arial" w:hAnsi="Arial"/>
                <w:b/>
                <w:bCs/>
                <w:i w:val="false"/>
                <w:iCs w:val="false"/>
                <w:color w:val="F0EBE0"/>
                <w:sz w:val="19"/>
                <w:szCs w:val="19"/>
              </w:rPr>
              <w:t xml:space="preserve">The Fan Experience</w:t>
            </w:r>
          </w:p>
        </w:tc>
        <w:tc>
          <w:tcPr>
            <w:tcW w:type="dxa" w:w="312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pPr>
              <w:jc w:val="left"/>
            </w:pPr>
            <w:r>
              <w:rPr>
                <w:rFonts w:ascii="Arial" w:cs="Arial" w:eastAsia="Arial" w:hAnsi="Arial"/>
                <w:b/>
                <w:bCs/>
                <w:i w:val="false"/>
                <w:iCs w:val="false"/>
                <w:color w:val="F0EBE0"/>
                <w:sz w:val="19"/>
                <w:szCs w:val="19"/>
              </w:rPr>
              <w:t xml:space="preserve">The Artist/Venue Gap</w:t>
            </w:r>
          </w:p>
        </w:tc>
      </w:tr>
      <w:tr>
        <w:tc>
          <w:tcPr>
            <w:tcW w:type="dxa" w:w="312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9"/>
                <w:szCs w:val="19"/>
              </w:rPr>
              <w:t xml:space="preserve">Bots purchase 40–60% of high-demand ticket inventory within seconds of a drop, before most human buyers can access the queue.</w:t>
            </w:r>
          </w:p>
        </w:tc>
        <w:tc>
          <w:tcPr>
            <w:tcW w:type="dxa" w:w="312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9"/>
                <w:szCs w:val="19"/>
              </w:rPr>
              <w:t xml:space="preserve">Average resale markup on sold-out shows ranges from 200–500%. Fans either pay or miss the show entirely.</w:t>
            </w:r>
          </w:p>
        </w:tc>
        <w:tc>
          <w:tcPr>
            <w:tcW w:type="dxa" w:w="312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9"/>
                <w:szCs w:val="19"/>
              </w:rPr>
              <w:t xml:space="preserve">Artists and venues receive no share of resale markup. Worse — the fan experience degrades, damaging brand and loyalty.</w:t>
            </w:r>
          </w:p>
        </w:tc>
      </w:tr>
    </w:tbl>
    <w:p>
      <w:pPr>
        <w:spacing w:before="0" w:after="120"/>
      </w:pPr>
    </w:p>
    <w:p>
      <w:pPr>
        <w:spacing w:before="80" w:after="80"/>
      </w:pPr>
      <w:r>
        <w:rPr>
          <w:rFonts w:ascii="Arial" w:cs="Arial" w:eastAsia="Arial" w:hAnsi="Arial"/>
          <w:color w:val="333333"/>
          <w:sz w:val="20"/>
          <w:szCs w:val="20"/>
        </w:rPr>
        <w:t xml:space="preserve">Existing solutions are inadequate. Verified Fan programs (Ticketmaster) are invitation-only and still vulnerable to manipulation. Dynamic pricing increases revenue for Ticketmaster but worsens the affordability problem for fans. NFT ticketing experiments have failed to gain mainstream adoption. None address the root cause: a first-come-first-served allocation model that inherently advantages automated buyers.</w:t>
      </w:r>
    </w:p>
    <w:p>
      <w:pPr>
        <w:spacing w:before="0" w:after="200"/>
      </w:pPr>
    </w:p>
    <w:p>
      <w:pPr>
        <w:pStyle w:val="Heading1"/>
        <w:spacing w:before="400" w:after="120"/>
      </w:pPr>
      <w:r>
        <w:rPr>
          <w:rFonts w:ascii="Arial" w:cs="Arial" w:eastAsia="Arial" w:hAnsi="Arial"/>
          <w:b/>
          <w:bCs/>
          <w:color w:val="1A1A1A"/>
          <w:sz w:val="32"/>
          <w:szCs w:val="32"/>
        </w:rPr>
        <w:t xml:space="preserve">02  THE SOLUTION</w:t>
      </w:r>
    </w:p>
    <w:p>
      <w:pPr>
        <w:pBdr>
          <w:bottom w:val="single" w:color="C44B1B" w:sz="8" w:space="1"/>
        </w:pBdr>
        <w:spacing w:before="200" w:after="200"/>
      </w:pPr>
    </w:p>
    <w:p>
      <w:pPr>
        <w:spacing w:before="80" w:after="80"/>
      </w:pPr>
      <w:r>
        <w:rPr>
          <w:rFonts w:ascii="Arial" w:cs="Arial" w:eastAsia="Arial" w:hAnsi="Arial"/>
          <w:color w:val="333333"/>
          <w:sz w:val="20"/>
          <w:szCs w:val="20"/>
        </w:rPr>
        <w:t xml:space="preserve">Turnstile is a subscription membership that reserves a fixed allocation of every participating venue's capacity for verified members. Access to that allocation is governed by the Fan Reliability Index (FRI) — a merit-based score reflecting real attendance history, not speed of click.</w:t>
      </w:r>
    </w:p>
    <w:p>
      <w:pPr>
        <w:spacing w:before="0" w:after="80"/>
      </w:pPr>
    </w:p>
    <w:p>
      <w:pPr>
        <w:pStyle w:val="Heading2"/>
        <w:spacing w:before="280" w:after="100"/>
      </w:pPr>
      <w:r>
        <w:rPr>
          <w:rFonts w:ascii="Arial" w:cs="Arial" w:eastAsia="Arial" w:hAnsi="Arial"/>
          <w:b/>
          <w:bCs/>
          <w:color w:val="C44B1B"/>
          <w:sz w:val="24"/>
          <w:szCs w:val="24"/>
        </w:rPr>
        <w:t xml:space="preserve">The Fan Reliability Index (FRI)</w:t>
      </w:r>
    </w:p>
    <w:p>
      <w:pPr>
        <w:spacing w:before="80" w:after="80"/>
      </w:pPr>
      <w:r>
        <w:rPr>
          <w:rFonts w:ascii="Arial" w:cs="Arial" w:eastAsia="Arial" w:hAnsi="Arial"/>
          <w:color w:val="333333"/>
          <w:sz w:val="20"/>
          <w:szCs w:val="20"/>
        </w:rPr>
        <w:t xml:space="preserve">The FRI is a 0–100 score that makes bots structurally useless. A bot account would need months of real verified show attendance to build a score high enough to claim premium allocations. The score is transparent, public on member profiles, and built from four components: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400"/>
        <w:gridCol w:w="1200"/>
        <w:gridCol w:w="5760"/>
      </w:tblGrid>
      <w:tr>
        <w:tc>
          <w:tcPr>
            <w:tcW w:type="dxa" w:w="24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pPr>
              <w:jc w:val="left"/>
            </w:pPr>
            <w:r>
              <w:rPr>
                <w:rFonts w:ascii="Arial" w:cs="Arial" w:eastAsia="Arial" w:hAnsi="Arial"/>
                <w:b/>
                <w:bCs/>
                <w:i w:val="false"/>
                <w:iCs w:val="false"/>
                <w:color w:val="F0EBE0"/>
                <w:sz w:val="19"/>
                <w:szCs w:val="19"/>
              </w:rPr>
              <w:t xml:space="preserve">Score Component</w:t>
            </w:r>
          </w:p>
        </w:tc>
        <w:tc>
          <w:tcPr>
            <w:tcW w:type="dxa" w:w="12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pPr>
              <w:jc w:val="center"/>
            </w:pPr>
            <w:r>
              <w:rPr>
                <w:rFonts w:ascii="Arial" w:cs="Arial" w:eastAsia="Arial" w:hAnsi="Arial"/>
                <w:b/>
                <w:bCs/>
                <w:i w:val="false"/>
                <w:iCs w:val="false"/>
                <w:color w:val="F0EBE0"/>
                <w:sz w:val="19"/>
                <w:szCs w:val="19"/>
              </w:rPr>
              <w:t xml:space="preserve">Weight</w:t>
            </w:r>
          </w:p>
        </w:tc>
        <w:tc>
          <w:tcPr>
            <w:tcW w:type="dxa" w:w="57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pPr>
              <w:jc w:val="left"/>
            </w:pPr>
            <w:r>
              <w:rPr>
                <w:rFonts w:ascii="Arial" w:cs="Arial" w:eastAsia="Arial" w:hAnsi="Arial"/>
                <w:b/>
                <w:bCs/>
                <w:i w:val="false"/>
                <w:iCs w:val="false"/>
                <w:color w:val="F0EBE0"/>
                <w:sz w:val="19"/>
                <w:szCs w:val="19"/>
              </w:rPr>
              <w:t xml:space="preserve">How It Works</w:t>
            </w:r>
          </w:p>
        </w:tc>
      </w:tr>
      <w:tr>
        <w:tc>
          <w:tcPr>
            <w:tcW w:type="dxa" w:w="240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1A"/>
                <w:sz w:val="19"/>
                <w:szCs w:val="19"/>
              </w:rPr>
              <w:t xml:space="preserve">Attendance Rate</w:t>
            </w:r>
          </w:p>
        </w:tc>
        <w:tc>
          <w:tcPr>
            <w:tcW w:type="dxa" w:w="120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center"/>
            </w:pPr>
            <w:r>
              <w:rPr>
                <w:rFonts w:ascii="Arial" w:cs="Arial" w:eastAsia="Arial" w:hAnsi="Arial"/>
                <w:b/>
                <w:bCs/>
                <w:i w:val="false"/>
                <w:iCs w:val="false"/>
                <w:color w:val="C44B1B"/>
                <w:sz w:val="19"/>
                <w:szCs w:val="19"/>
              </w:rPr>
              <w:t xml:space="preserve">50%</w:t>
            </w:r>
          </w:p>
        </w:tc>
        <w:tc>
          <w:tcPr>
            <w:tcW w:type="dxa" w:w="576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9"/>
                <w:szCs w:val="19"/>
              </w:rPr>
              <w:t xml:space="preserve">Shows attended ÷ shows claimed (rolling 12 months). Consistent attendance over 6+ months builds a score floor new users cannot immediately reach.</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A1A1A"/>
                <w:sz w:val="19"/>
                <w:szCs w:val="19"/>
              </w:rPr>
              <w:t xml:space="preserve">Release Behavior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i w:val="false"/>
                <w:iCs w:val="false"/>
                <w:color w:val="C44B1B"/>
                <w:sz w:val="19"/>
                <w:szCs w:val="19"/>
              </w:rPr>
              <w:t xml:space="preserve">20%</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9"/>
                <w:szCs w:val="19"/>
              </w:rPr>
              <w:t xml:space="preserve">Did you release tickets you couldn't use, and how early? 72+ hours = full credit. 24 hours = partial credit. No-show without release = score penalty.</w:t>
            </w:r>
          </w:p>
        </w:tc>
      </w:tr>
      <w:tr>
        <w:tc>
          <w:tcPr>
            <w:tcW w:type="dxa" w:w="240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1A"/>
                <w:sz w:val="19"/>
                <w:szCs w:val="19"/>
              </w:rPr>
              <w:t xml:space="preserve">Tenure &amp; Activity</w:t>
            </w:r>
          </w:p>
        </w:tc>
        <w:tc>
          <w:tcPr>
            <w:tcW w:type="dxa" w:w="120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center"/>
            </w:pPr>
            <w:r>
              <w:rPr>
                <w:rFonts w:ascii="Arial" w:cs="Arial" w:eastAsia="Arial" w:hAnsi="Arial"/>
                <w:b/>
                <w:bCs/>
                <w:i w:val="false"/>
                <w:iCs w:val="false"/>
                <w:color w:val="C44B1B"/>
                <w:sz w:val="19"/>
                <w:szCs w:val="19"/>
              </w:rPr>
              <w:t xml:space="preserve">15%</w:t>
            </w:r>
          </w:p>
        </w:tc>
        <w:tc>
          <w:tcPr>
            <w:tcW w:type="dxa" w:w="576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9"/>
                <w:szCs w:val="19"/>
              </w:rPr>
              <w:t xml:space="preserve">Length of membership and active engagement. A 2-year subscriber who attends regularly holds a score floor that protects them from single-miss penalties.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1A1A1A"/>
                <w:sz w:val="19"/>
                <w:szCs w:val="19"/>
              </w:rPr>
              <w:t xml:space="preserve">Community Contribution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i w:val="false"/>
                <w:iCs w:val="false"/>
                <w:color w:val="C44B1B"/>
                <w:sz w:val="19"/>
                <w:szCs w:val="19"/>
              </w:rPr>
              <w:t xml:space="preserve">15%</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9"/>
                <w:szCs w:val="19"/>
              </w:rPr>
              <w:t xml:space="preserve">Transferring tickets to waitlisted members, attending undersubscribed shows, flagging bad actors. Small positive signals that compound over time.</w:t>
            </w:r>
          </w:p>
        </w:tc>
      </w:tr>
    </w:tbl>
    <w:p>
      <w:pPr>
        <w:spacing w:before="0" w:after="120"/>
      </w:pPr>
    </w:p>
    <w:p>
      <w:pPr>
        <w:pStyle w:val="Heading2"/>
        <w:spacing w:before="280" w:after="100"/>
      </w:pPr>
      <w:r>
        <w:rPr>
          <w:rFonts w:ascii="Arial" w:cs="Arial" w:eastAsia="Arial" w:hAnsi="Arial"/>
          <w:b/>
          <w:bCs/>
          <w:color w:val="C44B1B"/>
          <w:sz w:val="24"/>
          <w:szCs w:val="24"/>
        </w:rPr>
        <w:t xml:space="preserve">The Transfer &amp; Waitlist System</w:t>
      </w:r>
    </w:p>
    <w:p>
      <w:pPr>
        <w:spacing w:before="80" w:after="80"/>
      </w:pPr>
      <w:r>
        <w:rPr>
          <w:rFonts w:ascii="Arial" w:cs="Arial" w:eastAsia="Arial" w:hAnsi="Arial"/>
          <w:color w:val="333333"/>
          <w:sz w:val="20"/>
          <w:szCs w:val="20"/>
        </w:rPr>
        <w:t xml:space="preserve">When a member cannot attend a claimed show, they release the ticket back into the platform. It routes to the highest-FRI member on the waitlist with a 2-hour claim window. Transfers between members are permitted at face value only. Any attempt to list a Turnstile ticket on a third-party resale platform results in immediate FRI reset to zero — the platform's most severe penalty.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40"/>
        <w:gridCol w:w="9120"/>
      </w:tblGrid>
      <w:tr>
        <w:tc>
          <w:tcPr>
            <w:tcW w:type="dxa" w:w="240"/>
            <w:tcBorders>
              <w:top w:val="none"/>
              <w:left w:val="none"/>
              <w:bottom w:val="none"/>
              <w:right w:val="none"/>
            </w:tcBorders>
            <w:shd w:fill="C44B1B" w:val="clear"/>
          </w:tcPr>
          <w:p>
            <w:r>
              <w:t xml:space="preserve"> </w:t>
            </w:r>
          </w:p>
        </w:tc>
        <w:tc>
          <w:tcPr>
            <w:tcW w:type="dxa" w:w="9120"/>
            <w:tcBorders>
              <w:top w:val="none"/>
              <w:left w:val="none"/>
              <w:bottom w:val="none"/>
              <w:right w:val="none"/>
            </w:tcBorders>
            <w:shd w:fill="F7F4EF" w:val="clear"/>
            <w:tcMar>
              <w:top w:type="dxa" w:w="120"/>
              <w:left w:type="dxa" w:w="200"/>
              <w:bottom w:type="dxa" w:w="120"/>
              <w:right w:type="dxa" w:w="200"/>
            </w:tcMar>
          </w:tcPr>
          <w:p>
            <w:r>
              <w:rPr>
                <w:rFonts w:ascii="Arial" w:cs="Arial" w:eastAsia="Arial" w:hAnsi="Arial"/>
                <w:i/>
                <w:iCs/>
                <w:color w:val="333333"/>
                <w:sz w:val="20"/>
                <w:szCs w:val="20"/>
              </w:rPr>
              <w:t xml:space="preserve">The transfer system is Turnstile's most powerful anti-scalper feature. A scalper account that builds an FRI score to claim premium tickets cannot profit from them — they can only sell at face value through the platform or lose their entire score history. The incentive structure makes scalping economically irrational.</w:t>
            </w:r>
          </w:p>
        </w:tc>
      </w:tr>
    </w:tbl>
    <w:p>
      <w:pPr>
        <w:spacing w:before="0" w:after="200"/>
      </w:pPr>
    </w:p>
    <w:p>
      <w:pPr>
        <w:pStyle w:val="Heading1"/>
        <w:spacing w:before="400" w:after="120"/>
      </w:pPr>
      <w:r>
        <w:rPr>
          <w:rFonts w:ascii="Arial" w:cs="Arial" w:eastAsia="Arial" w:hAnsi="Arial"/>
          <w:b/>
          <w:bCs/>
          <w:color w:val="1A1A1A"/>
          <w:sz w:val="32"/>
          <w:szCs w:val="32"/>
        </w:rPr>
        <w:t xml:space="preserve">03  SUBSCRIPTION MODEL</w:t>
      </w:r>
    </w:p>
    <w:p>
      <w:pPr>
        <w:pBdr>
          <w:bottom w:val="single" w:color="C44B1B" w:sz="8"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800"/>
        <w:gridCol w:w="1800"/>
        <w:gridCol w:w="1800"/>
        <w:gridCol w:w="2160"/>
        <w:gridCol w:w="1800"/>
      </w:tblGrid>
      <w:tr>
        <w:tc>
          <w:tcPr>
            <w:tcW w:type="dxa" w:w="1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pPr>
              <w:jc w:val="left"/>
            </w:pPr>
            <w:r>
              <w:rPr>
                <w:rFonts w:ascii="Arial" w:cs="Arial" w:eastAsia="Arial" w:hAnsi="Arial"/>
                <w:b/>
                <w:bCs/>
                <w:i w:val="false"/>
                <w:iCs w:val="false"/>
                <w:color w:val="F0EBE0"/>
                <w:sz w:val="19"/>
                <w:szCs w:val="19"/>
              </w:rPr>
              <w:t xml:space="preserve">Tier</w:t>
            </w:r>
          </w:p>
        </w:tc>
        <w:tc>
          <w:tcPr>
            <w:tcW w:type="dxa" w:w="1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pPr>
              <w:jc w:val="center"/>
            </w:pPr>
            <w:r>
              <w:rPr>
                <w:rFonts w:ascii="Arial" w:cs="Arial" w:eastAsia="Arial" w:hAnsi="Arial"/>
                <w:b/>
                <w:bCs/>
                <w:i w:val="false"/>
                <w:iCs w:val="false"/>
                <w:color w:val="F0EBE0"/>
                <w:sz w:val="19"/>
                <w:szCs w:val="19"/>
              </w:rPr>
              <w:t xml:space="preserve">Monthly</w:t>
            </w:r>
          </w:p>
        </w:tc>
        <w:tc>
          <w:tcPr>
            <w:tcW w:type="dxa" w:w="1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pPr>
              <w:jc w:val="center"/>
            </w:pPr>
            <w:r>
              <w:rPr>
                <w:rFonts w:ascii="Arial" w:cs="Arial" w:eastAsia="Arial" w:hAnsi="Arial"/>
                <w:b/>
                <w:bCs/>
                <w:i w:val="false"/>
                <w:iCs w:val="false"/>
                <w:color w:val="F0EBE0"/>
                <w:sz w:val="19"/>
                <w:szCs w:val="19"/>
              </w:rPr>
              <w:t xml:space="preserve">Annual</w:t>
            </w:r>
          </w:p>
        </w:tc>
        <w:tc>
          <w:tcPr>
            <w:tcW w:type="dxa" w:w="21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pPr>
              <w:jc w:val="center"/>
            </w:pPr>
            <w:r>
              <w:rPr>
                <w:rFonts w:ascii="Arial" w:cs="Arial" w:eastAsia="Arial" w:hAnsi="Arial"/>
                <w:b/>
                <w:bCs/>
                <w:i w:val="false"/>
                <w:iCs w:val="false"/>
                <w:color w:val="F0EBE0"/>
                <w:sz w:val="19"/>
                <w:szCs w:val="19"/>
              </w:rPr>
              <w:t xml:space="preserve">Claims / Month</w:t>
            </w:r>
          </w:p>
        </w:tc>
        <w:tc>
          <w:tcPr>
            <w:tcW w:type="dxa" w:w="18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pPr>
              <w:jc w:val="center"/>
            </w:pPr>
            <w:r>
              <w:rPr>
                <w:rFonts w:ascii="Arial" w:cs="Arial" w:eastAsia="Arial" w:hAnsi="Arial"/>
                <w:b/>
                <w:bCs/>
                <w:i w:val="false"/>
                <w:iCs w:val="false"/>
                <w:color w:val="F0EBE0"/>
                <w:sz w:val="19"/>
                <w:szCs w:val="19"/>
              </w:rPr>
              <w:t xml:space="preserve">FRI Req. (Premium)</w:t>
            </w:r>
          </w:p>
        </w:tc>
      </w:tr>
      <w:tr>
        <w:tc>
          <w:tcPr>
            <w:tcW w:type="dxa" w:w="180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1A"/>
                <w:sz w:val="19"/>
                <w:szCs w:val="19"/>
              </w:rPr>
              <w:t xml:space="preserve">ENCORE</w:t>
            </w:r>
          </w:p>
        </w:tc>
        <w:tc>
          <w:tcPr>
            <w:tcW w:type="dxa" w:w="180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1A1A1A"/>
                <w:sz w:val="19"/>
                <w:szCs w:val="19"/>
              </w:rPr>
              <w:t xml:space="preserve">$25</w:t>
            </w:r>
          </w:p>
        </w:tc>
        <w:tc>
          <w:tcPr>
            <w:tcW w:type="dxa" w:w="180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1A1A1A"/>
                <w:sz w:val="19"/>
                <w:szCs w:val="19"/>
              </w:rPr>
              <w:t xml:space="preserve">$240</w:t>
            </w:r>
          </w:p>
        </w:tc>
        <w:tc>
          <w:tcPr>
            <w:tcW w:type="dxa" w:w="216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1A1A1A"/>
                <w:sz w:val="19"/>
                <w:szCs w:val="19"/>
              </w:rPr>
              <w:t xml:space="preserve">2 claims</w:t>
            </w:r>
          </w:p>
        </w:tc>
        <w:tc>
          <w:tcPr>
            <w:tcW w:type="dxa" w:w="180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center"/>
            </w:pPr>
            <w:r>
              <w:rPr>
                <w:rFonts w:ascii="Arial" w:cs="Arial" w:eastAsia="Arial" w:hAnsi="Arial"/>
                <w:b/>
                <w:bCs/>
                <w:i w:val="false"/>
                <w:iCs w:val="false"/>
                <w:color w:val="C44B1B"/>
                <w:sz w:val="19"/>
                <w:szCs w:val="19"/>
              </w:rPr>
              <w:t xml:space="preserve">40+</w:t>
            </w:r>
          </w:p>
        </w:tc>
      </w:tr>
      <w:tr>
        <w:tc>
          <w:tcPr>
            <w:tcW w:type="dxa" w:w="1800"/>
            <w:tcBorders>
              <w:top w:val="single" w:color="CCCCCC" w:sz="1"/>
              <w:left w:val="single" w:color="CCCCCC" w:sz="1"/>
              <w:bottom w:val="single" w:color="CCCCCC" w:sz="1"/>
              <w:right w:val="single" w:color="CCCCCC" w:sz="1"/>
            </w:tcBorders>
            <w:shd w:fill="EDE8E0" w:val="clear"/>
            <w:tcMar>
              <w:top w:type="dxa" w:w="100"/>
              <w:left w:type="dxa" w:w="140"/>
              <w:bottom w:type="dxa" w:w="100"/>
              <w:right w:type="dxa" w:w="140"/>
            </w:tcMar>
          </w:tcPr>
          <w:p>
            <w:pPr>
              <w:jc w:val="left"/>
            </w:pPr>
            <w:r>
              <w:rPr>
                <w:rFonts w:ascii="Arial" w:cs="Arial" w:eastAsia="Arial" w:hAnsi="Arial"/>
                <w:b/>
                <w:bCs/>
                <w:i w:val="false"/>
                <w:iCs w:val="false"/>
                <w:color w:val="C44B1B"/>
                <w:sz w:val="19"/>
                <w:szCs w:val="19"/>
              </w:rPr>
              <w:t xml:space="preserve">SETLIST</w:t>
            </w:r>
          </w:p>
        </w:tc>
        <w:tc>
          <w:tcPr>
            <w:tcW w:type="dxa" w:w="1800"/>
            <w:tcBorders>
              <w:top w:val="single" w:color="CCCCCC" w:sz="1"/>
              <w:left w:val="single" w:color="CCCCCC" w:sz="1"/>
              <w:bottom w:val="single" w:color="CCCCCC" w:sz="1"/>
              <w:right w:val="single" w:color="CCCCCC" w:sz="1"/>
            </w:tcBorders>
            <w:shd w:fill="EDE8E0" w:val="clear"/>
            <w:tcMar>
              <w:top w:type="dxa" w:w="100"/>
              <w:left w:type="dxa" w:w="140"/>
              <w:bottom w:type="dxa" w:w="100"/>
              <w:right w:type="dxa" w:w="140"/>
            </w:tcMar>
          </w:tcPr>
          <w:p>
            <w:pPr>
              <w:jc w:val="center"/>
            </w:pPr>
            <w:r>
              <w:rPr>
                <w:rFonts w:ascii="Arial" w:cs="Arial" w:eastAsia="Arial" w:hAnsi="Arial"/>
                <w:b w:val="false"/>
                <w:bCs w:val="false"/>
                <w:i w:val="false"/>
                <w:iCs w:val="false"/>
                <w:color w:val="1A1A1A"/>
                <w:sz w:val="19"/>
                <w:szCs w:val="19"/>
              </w:rPr>
              <w:t xml:space="preserve">$65</w:t>
            </w:r>
          </w:p>
        </w:tc>
        <w:tc>
          <w:tcPr>
            <w:tcW w:type="dxa" w:w="1800"/>
            <w:tcBorders>
              <w:top w:val="single" w:color="CCCCCC" w:sz="1"/>
              <w:left w:val="single" w:color="CCCCCC" w:sz="1"/>
              <w:bottom w:val="single" w:color="CCCCCC" w:sz="1"/>
              <w:right w:val="single" w:color="CCCCCC" w:sz="1"/>
            </w:tcBorders>
            <w:shd w:fill="EDE8E0" w:val="clear"/>
            <w:tcMar>
              <w:top w:type="dxa" w:w="100"/>
              <w:left w:type="dxa" w:w="140"/>
              <w:bottom w:type="dxa" w:w="100"/>
              <w:right w:type="dxa" w:w="140"/>
            </w:tcMar>
          </w:tcPr>
          <w:p>
            <w:pPr>
              <w:jc w:val="center"/>
            </w:pPr>
            <w:r>
              <w:rPr>
                <w:rFonts w:ascii="Arial" w:cs="Arial" w:eastAsia="Arial" w:hAnsi="Arial"/>
                <w:b w:val="false"/>
                <w:bCs w:val="false"/>
                <w:i w:val="false"/>
                <w:iCs w:val="false"/>
                <w:color w:val="1A1A1A"/>
                <w:sz w:val="19"/>
                <w:szCs w:val="19"/>
              </w:rPr>
              <w:t xml:space="preserve">$624</w:t>
            </w:r>
          </w:p>
        </w:tc>
        <w:tc>
          <w:tcPr>
            <w:tcW w:type="dxa" w:w="2160"/>
            <w:tcBorders>
              <w:top w:val="single" w:color="CCCCCC" w:sz="1"/>
              <w:left w:val="single" w:color="CCCCCC" w:sz="1"/>
              <w:bottom w:val="single" w:color="CCCCCC" w:sz="1"/>
              <w:right w:val="single" w:color="CCCCCC" w:sz="1"/>
            </w:tcBorders>
            <w:shd w:fill="EDE8E0" w:val="clear"/>
            <w:tcMar>
              <w:top w:type="dxa" w:w="100"/>
              <w:left w:type="dxa" w:w="140"/>
              <w:bottom w:type="dxa" w:w="100"/>
              <w:right w:type="dxa" w:w="140"/>
            </w:tcMar>
          </w:tcPr>
          <w:p>
            <w:pPr>
              <w:jc w:val="center"/>
            </w:pPr>
            <w:r>
              <w:rPr>
                <w:rFonts w:ascii="Arial" w:cs="Arial" w:eastAsia="Arial" w:hAnsi="Arial"/>
                <w:b w:val="false"/>
                <w:bCs w:val="false"/>
                <w:i w:val="false"/>
                <w:iCs w:val="false"/>
                <w:color w:val="1A1A1A"/>
                <w:sz w:val="19"/>
                <w:szCs w:val="19"/>
              </w:rPr>
              <w:t xml:space="preserve">4 claims</w:t>
            </w:r>
          </w:p>
        </w:tc>
        <w:tc>
          <w:tcPr>
            <w:tcW w:type="dxa" w:w="1800"/>
            <w:tcBorders>
              <w:top w:val="single" w:color="CCCCCC" w:sz="1"/>
              <w:left w:val="single" w:color="CCCCCC" w:sz="1"/>
              <w:bottom w:val="single" w:color="CCCCCC" w:sz="1"/>
              <w:right w:val="single" w:color="CCCCCC" w:sz="1"/>
            </w:tcBorders>
            <w:shd w:fill="EDE8E0" w:val="clear"/>
            <w:tcMar>
              <w:top w:type="dxa" w:w="100"/>
              <w:left w:type="dxa" w:w="140"/>
              <w:bottom w:type="dxa" w:w="100"/>
              <w:right w:type="dxa" w:w="140"/>
            </w:tcMar>
          </w:tcPr>
          <w:p>
            <w:pPr>
              <w:jc w:val="center"/>
            </w:pPr>
            <w:r>
              <w:rPr>
                <w:rFonts w:ascii="Arial" w:cs="Arial" w:eastAsia="Arial" w:hAnsi="Arial"/>
                <w:b/>
                <w:bCs/>
                <w:i w:val="false"/>
                <w:iCs w:val="false"/>
                <w:color w:val="C44B1B"/>
                <w:sz w:val="19"/>
                <w:szCs w:val="19"/>
              </w:rPr>
              <w:t xml:space="preserve">60+</w:t>
            </w:r>
          </w:p>
        </w:tc>
      </w:tr>
      <w:tr>
        <w:tc>
          <w:tcPr>
            <w:tcW w:type="dxa" w:w="180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1A1A1A"/>
                <w:sz w:val="19"/>
                <w:szCs w:val="19"/>
              </w:rPr>
              <w:t xml:space="preserve">BACKSTAGE</w:t>
            </w:r>
          </w:p>
        </w:tc>
        <w:tc>
          <w:tcPr>
            <w:tcW w:type="dxa" w:w="180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1A1A1A"/>
                <w:sz w:val="19"/>
                <w:szCs w:val="19"/>
              </w:rPr>
              <w:t xml:space="preserve">$120</w:t>
            </w:r>
          </w:p>
        </w:tc>
        <w:tc>
          <w:tcPr>
            <w:tcW w:type="dxa" w:w="180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1A1A1A"/>
                <w:sz w:val="19"/>
                <w:szCs w:val="19"/>
              </w:rPr>
              <w:t xml:space="preserve">$1,150</w:t>
            </w:r>
          </w:p>
        </w:tc>
        <w:tc>
          <w:tcPr>
            <w:tcW w:type="dxa" w:w="216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1A1A1A"/>
                <w:sz w:val="19"/>
                <w:szCs w:val="19"/>
              </w:rPr>
              <w:t xml:space="preserve">Unlimited*</w:t>
            </w:r>
          </w:p>
        </w:tc>
        <w:tc>
          <w:tcPr>
            <w:tcW w:type="dxa" w:w="180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center"/>
            </w:pPr>
            <w:r>
              <w:rPr>
                <w:rFonts w:ascii="Arial" w:cs="Arial" w:eastAsia="Arial" w:hAnsi="Arial"/>
                <w:b/>
                <w:bCs/>
                <w:i w:val="false"/>
                <w:iCs w:val="false"/>
                <w:color w:val="C44B1B"/>
                <w:sz w:val="19"/>
                <w:szCs w:val="19"/>
              </w:rPr>
              <w:t xml:space="preserve">80+</w:t>
            </w:r>
          </w:p>
        </w:tc>
      </w:tr>
    </w:tbl>
    <w:p>
      <w:pPr>
        <w:spacing w:before="0" w:after="60"/>
      </w:pPr>
    </w:p>
    <w:p>
      <w:pPr>
        <w:spacing w:before="80" w:after="80"/>
      </w:pPr>
      <w:r>
        <w:rPr>
          <w:rFonts w:ascii="Arial" w:cs="Arial" w:eastAsia="Arial" w:hAnsi="Arial"/>
          <w:i/>
          <w:iCs/>
          <w:color w:val="7A7470"/>
          <w:sz w:val="20"/>
          <w:szCs w:val="20"/>
        </w:rPr>
        <w:t xml:space="preserve">*Backstage unlimited claims subject to availability and FRI thresholds for top-tier events. Annual pricing saves 20% and is the primary conversion target.</w:t>
      </w:r>
    </w:p>
    <w:p>
      <w:pPr>
        <w:spacing w:before="0" w:after="120"/>
      </w:pPr>
    </w:p>
    <w:p>
      <w:pPr>
        <w:pStyle w:val="Heading2"/>
        <w:spacing w:before="280" w:after="100"/>
      </w:pPr>
      <w:r>
        <w:rPr>
          <w:rFonts w:ascii="Arial" w:cs="Arial" w:eastAsia="Arial" w:hAnsi="Arial"/>
          <w:b/>
          <w:bCs/>
          <w:color w:val="C44B1B"/>
          <w:sz w:val="24"/>
          <w:szCs w:val="24"/>
        </w:rPr>
        <w:t xml:space="preserve">Cold Start &amp; Onboarding</w:t>
      </w:r>
    </w:p>
    <w:p>
      <w:pPr>
        <w:spacing w:before="80" w:after="80"/>
      </w:pPr>
      <w:r>
        <w:rPr>
          <w:rFonts w:ascii="Arial" w:cs="Arial" w:eastAsia="Arial" w:hAnsi="Arial"/>
          <w:color w:val="333333"/>
          <w:sz w:val="20"/>
          <w:szCs w:val="20"/>
        </w:rPr>
        <w:t xml:space="preserve">New subscribers receive a 90-day Founding Fan provisional period: base-tier show access only, FRI starts at 50 (not zero), and 2 shows claimable during the period to begin building history. Early adopters receive Founding Member status — a permanent small score bonus and a visible badge on their profile — creating urgency to sign up before launch.</w:t>
      </w:r>
    </w:p>
    <w:p>
      <w:pPr>
        <w:spacing w:before="0" w:after="200"/>
      </w:pPr>
    </w:p>
    <w:p>
      <w:pPr>
        <w:pStyle w:val="Heading1"/>
        <w:spacing w:before="400" w:after="120"/>
      </w:pPr>
      <w:r>
        <w:rPr>
          <w:rFonts w:ascii="Arial" w:cs="Arial" w:eastAsia="Arial" w:hAnsi="Arial"/>
          <w:b/>
          <w:bCs/>
          <w:color w:val="1A1A1A"/>
          <w:sz w:val="32"/>
          <w:szCs w:val="32"/>
        </w:rPr>
        <w:t xml:space="preserve">04  UNIT ECONOMICS</w:t>
      </w:r>
    </w:p>
    <w:p>
      <w:pPr>
        <w:pBdr>
          <w:bottom w:val="single" w:color="C44B1B" w:sz="8" w:space="1"/>
        </w:pBdr>
        <w:spacing w:before="200" w:after="200"/>
      </w:pPr>
    </w:p>
    <w:p>
      <w:pPr>
        <w:pStyle w:val="Heading2"/>
        <w:spacing w:before="280" w:after="100"/>
      </w:pPr>
      <w:r>
        <w:rPr>
          <w:rFonts w:ascii="Arial" w:cs="Arial" w:eastAsia="Arial" w:hAnsi="Arial"/>
          <w:b/>
          <w:bCs/>
          <w:color w:val="C44B1B"/>
          <w:sz w:val="24"/>
          <w:szCs w:val="24"/>
        </w:rPr>
        <w:t xml:space="preserve">Revenue Per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4000"/>
        <w:gridCol w:w="2000"/>
        <w:gridCol w:w="1680"/>
        <w:gridCol w:w="1680"/>
      </w:tblGrid>
      <w:tr>
        <w:tc>
          <w:tcPr>
            <w:tcW w:type="dxa" w:w="4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pPr>
              <w:jc w:val="left"/>
            </w:pPr>
            <w:r>
              <w:rPr>
                <w:rFonts w:ascii="Arial" w:cs="Arial" w:eastAsia="Arial" w:hAnsi="Arial"/>
                <w:b/>
                <w:bCs/>
                <w:i w:val="false"/>
                <w:iCs w:val="false"/>
                <w:color w:val="F0EBE0"/>
                <w:sz w:val="19"/>
                <w:szCs w:val="19"/>
              </w:rPr>
              <w:t xml:space="preserve">Tier</w:t>
            </w:r>
          </w:p>
        </w:tc>
        <w:tc>
          <w:tcPr>
            <w:tcW w:type="dxa" w:w="2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pPr>
              <w:jc w:val="right"/>
            </w:pPr>
            <w:r>
              <w:rPr>
                <w:rFonts w:ascii="Arial" w:cs="Arial" w:eastAsia="Arial" w:hAnsi="Arial"/>
                <w:b/>
                <w:bCs/>
                <w:i w:val="false"/>
                <w:iCs w:val="false"/>
                <w:color w:val="F0EBE0"/>
                <w:sz w:val="19"/>
                <w:szCs w:val="19"/>
              </w:rPr>
              <w:t xml:space="preserve">Annual Rev</w:t>
            </w:r>
          </w:p>
        </w:tc>
        <w:tc>
          <w:tcPr>
            <w:tcW w:type="dxa" w:w="168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pPr>
              <w:jc w:val="center"/>
            </w:pPr>
            <w:r>
              <w:rPr>
                <w:rFonts w:ascii="Arial" w:cs="Arial" w:eastAsia="Arial" w:hAnsi="Arial"/>
                <w:b/>
                <w:bCs/>
                <w:i w:val="false"/>
                <w:iCs w:val="false"/>
                <w:color w:val="F0EBE0"/>
                <w:sz w:val="19"/>
                <w:szCs w:val="19"/>
              </w:rPr>
              <w:t xml:space="preserve">Est. Mix %</w:t>
            </w:r>
          </w:p>
        </w:tc>
        <w:tc>
          <w:tcPr>
            <w:tcW w:type="dxa" w:w="168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pPr>
              <w:jc w:val="right"/>
            </w:pPr>
            <w:r>
              <w:rPr>
                <w:rFonts w:ascii="Arial" w:cs="Arial" w:eastAsia="Arial" w:hAnsi="Arial"/>
                <w:b/>
                <w:bCs/>
                <w:i w:val="false"/>
                <w:iCs w:val="false"/>
                <w:color w:val="F0EBE0"/>
                <w:sz w:val="19"/>
                <w:szCs w:val="19"/>
              </w:rPr>
              <w:t xml:space="preserve">Weighted ARPU</w:t>
            </w:r>
          </w:p>
        </w:tc>
      </w:tr>
      <w:tr>
        <w:tc>
          <w:tcPr>
            <w:tcW w:type="dxa" w:w="400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9"/>
                <w:szCs w:val="19"/>
              </w:rPr>
              <w:t xml:space="preserve">Encore (entry, largest cohort)</w:t>
            </w:r>
          </w:p>
        </w:tc>
        <w:tc>
          <w:tcPr>
            <w:tcW w:type="dxa" w:w="200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right"/>
            </w:pPr>
            <w:r>
              <w:rPr>
                <w:rFonts w:ascii="Arial" w:cs="Arial" w:eastAsia="Arial" w:hAnsi="Arial"/>
                <w:b w:val="false"/>
                <w:bCs w:val="false"/>
                <w:i w:val="false"/>
                <w:iCs w:val="false"/>
                <w:color w:val="1A1A1A"/>
                <w:sz w:val="19"/>
                <w:szCs w:val="19"/>
              </w:rPr>
              <w:t xml:space="preserve">$240</w:t>
            </w:r>
          </w:p>
        </w:tc>
        <w:tc>
          <w:tcPr>
            <w:tcW w:type="dxa" w:w="168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1A1A1A"/>
                <w:sz w:val="19"/>
                <w:szCs w:val="19"/>
              </w:rPr>
              <w:t xml:space="preserve">40%</w:t>
            </w:r>
          </w:p>
        </w:tc>
        <w:tc>
          <w:tcPr>
            <w:tcW w:type="dxa" w:w="168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right"/>
            </w:pPr>
            <w:r>
              <w:rPr>
                <w:rFonts w:ascii="Arial" w:cs="Arial" w:eastAsia="Arial" w:hAnsi="Arial"/>
                <w:b w:val="false"/>
                <w:bCs w:val="false"/>
                <w:i w:val="false"/>
                <w:iCs w:val="false"/>
                <w:color w:val="1A1A1A"/>
                <w:sz w:val="19"/>
                <w:szCs w:val="19"/>
              </w:rPr>
              <w:t xml:space="preserve">$96</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9"/>
                <w:szCs w:val="19"/>
              </w:rPr>
              <w:t xml:space="preserve">Setlist (core revenue tier)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right"/>
            </w:pPr>
            <w:r>
              <w:rPr>
                <w:rFonts w:ascii="Arial" w:cs="Arial" w:eastAsia="Arial" w:hAnsi="Arial"/>
                <w:b w:val="false"/>
                <w:bCs w:val="false"/>
                <w:i w:val="false"/>
                <w:iCs w:val="false"/>
                <w:color w:val="1A1A1A"/>
                <w:sz w:val="19"/>
                <w:szCs w:val="19"/>
              </w:rPr>
              <w:t xml:space="preserve">$624</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A1A1A"/>
                <w:sz w:val="19"/>
                <w:szCs w:val="19"/>
              </w:rPr>
              <w:t xml:space="preserve">45%</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right"/>
            </w:pPr>
            <w:r>
              <w:rPr>
                <w:rFonts w:ascii="Arial" w:cs="Arial" w:eastAsia="Arial" w:hAnsi="Arial"/>
                <w:b w:val="false"/>
                <w:bCs w:val="false"/>
                <w:i w:val="false"/>
                <w:iCs w:val="false"/>
                <w:color w:val="1A1A1A"/>
                <w:sz w:val="19"/>
                <w:szCs w:val="19"/>
              </w:rPr>
              <w:t xml:space="preserve">$281</w:t>
            </w:r>
          </w:p>
        </w:tc>
      </w:tr>
      <w:tr>
        <w:tc>
          <w:tcPr>
            <w:tcW w:type="dxa" w:w="400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9"/>
                <w:szCs w:val="19"/>
              </w:rPr>
              <w:t xml:space="preserve">Backstage (power users, high LTV)</w:t>
            </w:r>
          </w:p>
        </w:tc>
        <w:tc>
          <w:tcPr>
            <w:tcW w:type="dxa" w:w="200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right"/>
            </w:pPr>
            <w:r>
              <w:rPr>
                <w:rFonts w:ascii="Arial" w:cs="Arial" w:eastAsia="Arial" w:hAnsi="Arial"/>
                <w:b w:val="false"/>
                <w:bCs w:val="false"/>
                <w:i w:val="false"/>
                <w:iCs w:val="false"/>
                <w:color w:val="1A1A1A"/>
                <w:sz w:val="19"/>
                <w:szCs w:val="19"/>
              </w:rPr>
              <w:t xml:space="preserve">$1,150</w:t>
            </w:r>
          </w:p>
        </w:tc>
        <w:tc>
          <w:tcPr>
            <w:tcW w:type="dxa" w:w="168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1A1A1A"/>
                <w:sz w:val="19"/>
                <w:szCs w:val="19"/>
              </w:rPr>
              <w:t xml:space="preserve">15%</w:t>
            </w:r>
          </w:p>
        </w:tc>
        <w:tc>
          <w:tcPr>
            <w:tcW w:type="dxa" w:w="168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right"/>
            </w:pPr>
            <w:r>
              <w:rPr>
                <w:rFonts w:ascii="Arial" w:cs="Arial" w:eastAsia="Arial" w:hAnsi="Arial"/>
                <w:b w:val="false"/>
                <w:bCs w:val="false"/>
                <w:i w:val="false"/>
                <w:iCs w:val="false"/>
                <w:color w:val="1A1A1A"/>
                <w:sz w:val="19"/>
                <w:szCs w:val="19"/>
              </w:rPr>
              <w:t xml:space="preserve">$173</w:t>
            </w:r>
          </w:p>
        </w:tc>
      </w:tr>
      <w:tr>
        <w:tc>
          <w:tcPr>
            <w:tcW w:type="dxa" w:w="400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pPr>
              <w:jc w:val="left"/>
            </w:pPr>
            <w:r>
              <w:rPr>
                <w:rFonts w:ascii="Arial" w:cs="Arial" w:eastAsia="Arial" w:hAnsi="Arial"/>
                <w:b/>
                <w:bCs/>
                <w:i w:val="false"/>
                <w:iCs w:val="false"/>
                <w:color w:val="F0EBE0"/>
                <w:sz w:val="19"/>
                <w:szCs w:val="19"/>
              </w:rPr>
              <w:t xml:space="preserve">BLENDED ARPU</w:t>
            </w:r>
          </w:p>
        </w:tc>
        <w:tc>
          <w:tcPr>
            <w:tcW w:type="dxa" w:w="2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9"/>
                <w:szCs w:val="19"/>
              </w:rPr>
              <w:t xml:space="preserve"/>
            </w:r>
          </w:p>
        </w:tc>
        <w:tc>
          <w:tcPr>
            <w:tcW w:type="dxa" w:w="168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pPr>
              <w:jc w:val="center"/>
            </w:pPr>
            <w:r>
              <w:rPr>
                <w:rFonts w:ascii="Arial" w:cs="Arial" w:eastAsia="Arial" w:hAnsi="Arial"/>
                <w:b w:val="false"/>
                <w:bCs w:val="false"/>
                <w:i w:val="false"/>
                <w:iCs w:val="false"/>
                <w:color w:val="F0EBE0"/>
                <w:sz w:val="19"/>
                <w:szCs w:val="19"/>
              </w:rPr>
              <w:t xml:space="preserve">100%</w:t>
            </w:r>
          </w:p>
        </w:tc>
        <w:tc>
          <w:tcPr>
            <w:tcW w:type="dxa" w:w="1680"/>
            <w:tcBorders>
              <w:top w:val="single" w:color="CCCCCC" w:sz="1"/>
              <w:left w:val="single" w:color="CCCCCC" w:sz="1"/>
              <w:bottom w:val="single" w:color="CCCCCC" w:sz="1"/>
              <w:right w:val="single" w:color="CCCCCC" w:sz="1"/>
            </w:tcBorders>
            <w:shd w:fill="1A1A1A" w:val="clear"/>
            <w:tcMar>
              <w:top w:type="dxa" w:w="100"/>
              <w:left w:type="dxa" w:w="140"/>
              <w:bottom w:type="dxa" w:w="100"/>
              <w:right w:type="dxa" w:w="140"/>
            </w:tcMar>
          </w:tcPr>
          <w:p>
            <w:pPr>
              <w:jc w:val="right"/>
            </w:pPr>
            <w:r>
              <w:rPr>
                <w:rFonts w:ascii="Arial" w:cs="Arial" w:eastAsia="Arial" w:hAnsi="Arial"/>
                <w:b/>
                <w:bCs/>
                <w:i w:val="false"/>
                <w:iCs w:val="false"/>
                <w:color w:val="C88A18"/>
                <w:sz w:val="19"/>
                <w:szCs w:val="19"/>
              </w:rPr>
              <w:t xml:space="preserve">$550 / yr</w:t>
            </w:r>
          </w:p>
        </w:tc>
      </w:tr>
    </w:tbl>
    <w:p>
      <w:pPr>
        <w:spacing w:before="0" w:after="120"/>
      </w:pPr>
    </w:p>
    <w:p>
      <w:pPr>
        <w:pStyle w:val="Heading2"/>
        <w:spacing w:before="280" w:after="100"/>
      </w:pPr>
      <w:r>
        <w:rPr>
          <w:rFonts w:ascii="Arial" w:cs="Arial" w:eastAsia="Arial" w:hAnsi="Arial"/>
          <w:b/>
          <w:bCs/>
          <w:color w:val="C44B1B"/>
          <w:sz w:val="24"/>
          <w:szCs w:val="24"/>
        </w:rPr>
        <w:t xml:space="preserve">Cost Structure (Per User,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6480"/>
        <w:gridCol w:w="2880"/>
      </w:tblGrid>
      <w:tr>
        <w:tc>
          <w:tcPr>
            <w:tcW w:type="dxa" w:w="648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pPr>
              <w:jc w:val="left"/>
            </w:pPr>
            <w:r>
              <w:rPr>
                <w:rFonts w:ascii="Arial" w:cs="Arial" w:eastAsia="Arial" w:hAnsi="Arial"/>
                <w:b/>
                <w:bCs/>
                <w:i w:val="false"/>
                <w:iCs w:val="false"/>
                <w:color w:val="F0EBE0"/>
                <w:sz w:val="19"/>
                <w:szCs w:val="19"/>
              </w:rPr>
              <w:t xml:space="preserve">Cost Item</w:t>
            </w:r>
          </w:p>
        </w:tc>
        <w:tc>
          <w:tcPr>
            <w:tcW w:type="dxa" w:w="288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pPr>
              <w:jc w:val="right"/>
            </w:pPr>
            <w:r>
              <w:rPr>
                <w:rFonts w:ascii="Arial" w:cs="Arial" w:eastAsia="Arial" w:hAnsi="Arial"/>
                <w:b/>
                <w:bCs/>
                <w:i w:val="false"/>
                <w:iCs w:val="false"/>
                <w:color w:val="F0EBE0"/>
                <w:sz w:val="19"/>
                <w:szCs w:val="19"/>
              </w:rPr>
              <w:t xml:space="preserve">Est. Annual Cost</w:t>
            </w:r>
          </w:p>
        </w:tc>
      </w:tr>
      <w:tr>
        <w:tc>
          <w:tcPr>
            <w:tcW w:type="dxa" w:w="648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9"/>
                <w:szCs w:val="19"/>
              </w:rPr>
              <w:t xml:space="preserve">Payment processing (Stripe, ~2.9% + $0.30)</w:t>
            </w:r>
          </w:p>
        </w:tc>
        <w:tc>
          <w:tcPr>
            <w:tcW w:type="dxa" w:w="288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right"/>
            </w:pPr>
            <w:r>
              <w:rPr>
                <w:rFonts w:ascii="Arial" w:cs="Arial" w:eastAsia="Arial" w:hAnsi="Arial"/>
                <w:b w:val="false"/>
                <w:bCs w:val="false"/>
                <w:i w:val="false"/>
                <w:iCs w:val="false"/>
                <w:color w:val="8B2020"/>
                <w:sz w:val="19"/>
                <w:szCs w:val="19"/>
              </w:rPr>
              <w:t xml:space="preserve">$16</w:t>
            </w:r>
          </w:p>
        </w:tc>
      </w:tr>
      <w:tr>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9"/>
                <w:szCs w:val="19"/>
              </w:rPr>
              <w:t xml:space="preserve">Venue allocation fee (est. 5% of face-value claims)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right"/>
            </w:pPr>
            <w:r>
              <w:rPr>
                <w:rFonts w:ascii="Arial" w:cs="Arial" w:eastAsia="Arial" w:hAnsi="Arial"/>
                <w:b w:val="false"/>
                <w:bCs w:val="false"/>
                <w:i w:val="false"/>
                <w:iCs w:val="false"/>
                <w:color w:val="8B2020"/>
                <w:sz w:val="19"/>
                <w:szCs w:val="19"/>
              </w:rPr>
              <w:t xml:space="preserve">$27</w:t>
            </w:r>
          </w:p>
        </w:tc>
      </w:tr>
      <w:tr>
        <w:tc>
          <w:tcPr>
            <w:tcW w:type="dxa" w:w="648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9"/>
                <w:szCs w:val="19"/>
              </w:rPr>
              <w:t xml:space="preserve">Platform infrastructure, hosting, CDN</w:t>
            </w:r>
          </w:p>
        </w:tc>
        <w:tc>
          <w:tcPr>
            <w:tcW w:type="dxa" w:w="288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right"/>
            </w:pPr>
            <w:r>
              <w:rPr>
                <w:rFonts w:ascii="Arial" w:cs="Arial" w:eastAsia="Arial" w:hAnsi="Arial"/>
                <w:b w:val="false"/>
                <w:bCs w:val="false"/>
                <w:i w:val="false"/>
                <w:iCs w:val="false"/>
                <w:color w:val="8B2020"/>
                <w:sz w:val="19"/>
                <w:szCs w:val="19"/>
              </w:rPr>
              <w:t xml:space="preserve">$24</w:t>
            </w:r>
          </w:p>
        </w:tc>
      </w:tr>
      <w:tr>
        <w:tc>
          <w:tcPr>
            <w:tcW w:type="dxa" w:w="6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9"/>
                <w:szCs w:val="19"/>
              </w:rPr>
              <w:t xml:space="preserve">Customer support &amp; ops (per-user allocation)</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right"/>
            </w:pPr>
            <w:r>
              <w:rPr>
                <w:rFonts w:ascii="Arial" w:cs="Arial" w:eastAsia="Arial" w:hAnsi="Arial"/>
                <w:b w:val="false"/>
                <w:bCs w:val="false"/>
                <w:i w:val="false"/>
                <w:iCs w:val="false"/>
                <w:color w:val="8B2020"/>
                <w:sz w:val="19"/>
                <w:szCs w:val="19"/>
              </w:rPr>
              <w:t xml:space="preserve">$16</w:t>
            </w:r>
          </w:p>
        </w:tc>
      </w:tr>
      <w:tr>
        <w:tc>
          <w:tcPr>
            <w:tcW w:type="dxa" w:w="648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9"/>
                <w:szCs w:val="19"/>
              </w:rPr>
              <w:t xml:space="preserve">Customer acquisition cost, amortized over 2 yr LTV</w:t>
            </w:r>
          </w:p>
        </w:tc>
        <w:tc>
          <w:tcPr>
            <w:tcW w:type="dxa" w:w="288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right"/>
            </w:pPr>
            <w:r>
              <w:rPr>
                <w:rFonts w:ascii="Arial" w:cs="Arial" w:eastAsia="Arial" w:hAnsi="Arial"/>
                <w:b w:val="false"/>
                <w:bCs w:val="false"/>
                <w:i w:val="false"/>
                <w:iCs w:val="false"/>
                <w:color w:val="8B2020"/>
                <w:sz w:val="19"/>
                <w:szCs w:val="19"/>
              </w:rPr>
              <w:t xml:space="preserve">$55</w:t>
            </w:r>
          </w:p>
        </w:tc>
      </w:tr>
      <w:tr>
        <w:tc>
          <w:tcPr>
            <w:tcW w:type="dxa" w:w="6480"/>
            <w:tcBorders>
              <w:top w:val="single" w:color="CCCCCC" w:sz="1"/>
              <w:left w:val="single" w:color="CCCCCC" w:sz="1"/>
              <w:bottom w:val="single" w:color="CCCCCC" w:sz="1"/>
              <w:right w:val="single" w:color="CCCCCC" w:sz="1"/>
            </w:tcBorders>
            <w:shd w:fill="EDE8E0" w:val="clear"/>
            <w:tcMar>
              <w:top w:type="dxa" w:w="100"/>
              <w:left w:type="dxa" w:w="140"/>
              <w:bottom w:type="dxa" w:w="100"/>
              <w:right w:type="dxa" w:w="140"/>
            </w:tcMar>
          </w:tcPr>
          <w:p>
            <w:pPr>
              <w:jc w:val="left"/>
            </w:pPr>
            <w:r>
              <w:rPr>
                <w:rFonts w:ascii="Arial" w:cs="Arial" w:eastAsia="Arial" w:hAnsi="Arial"/>
                <w:b/>
                <w:bCs/>
                <w:i w:val="false"/>
                <w:iCs w:val="false"/>
                <w:color w:val="1A1A1A"/>
                <w:sz w:val="19"/>
                <w:szCs w:val="19"/>
              </w:rPr>
              <w:t xml:space="preserve">Gross Margin per User (Year 1)</w:t>
            </w:r>
          </w:p>
        </w:tc>
        <w:tc>
          <w:tcPr>
            <w:tcW w:type="dxa" w:w="2880"/>
            <w:tcBorders>
              <w:top w:val="single" w:color="CCCCCC" w:sz="1"/>
              <w:left w:val="single" w:color="CCCCCC" w:sz="1"/>
              <w:bottom w:val="single" w:color="CCCCCC" w:sz="1"/>
              <w:right w:val="single" w:color="CCCCCC" w:sz="1"/>
            </w:tcBorders>
            <w:shd w:fill="EDE8E0" w:val="clear"/>
            <w:tcMar>
              <w:top w:type="dxa" w:w="100"/>
              <w:left w:type="dxa" w:w="140"/>
              <w:bottom w:type="dxa" w:w="100"/>
              <w:right w:type="dxa" w:w="140"/>
            </w:tcMar>
          </w:tcPr>
          <w:p>
            <w:pPr>
              <w:jc w:val="right"/>
            </w:pPr>
            <w:r>
              <w:rPr>
                <w:rFonts w:ascii="Arial" w:cs="Arial" w:eastAsia="Arial" w:hAnsi="Arial"/>
                <w:b/>
                <w:bCs/>
                <w:i w:val="false"/>
                <w:iCs w:val="false"/>
                <w:color w:val="3D7A50"/>
                <w:sz w:val="19"/>
                <w:szCs w:val="19"/>
              </w:rPr>
              <w:t xml:space="preserve">~$412 / user  (75%)</w:t>
            </w:r>
          </w:p>
        </w:tc>
      </w:tr>
    </w:tbl>
    <w:p>
      <w:pPr>
        <w:spacing w:before="0" w:after="60"/>
      </w:pPr>
    </w:p>
    <w:p>
      <w:pPr>
        <w:spacing w:before="80" w:after="80"/>
      </w:pPr>
      <w:r>
        <w:rPr>
          <w:rFonts w:ascii="Arial" w:cs="Arial" w:eastAsia="Arial" w:hAnsi="Arial"/>
          <w:i/>
          <w:iCs/>
          <w:color w:val="7A7470"/>
          <w:sz w:val="20"/>
          <w:szCs w:val="20"/>
        </w:rPr>
        <w:t xml:space="preserve">Year 2+ margins improve significantly as CAC is amortized and infrastructure costs scale sub-linearly. Target steady-state gross margin: 82–85%.</w:t>
      </w:r>
    </w:p>
    <w:p>
      <w:pPr>
        <w:spacing w:before="0" w:after="200"/>
      </w:pPr>
    </w:p>
    <w:p>
      <w:pPr>
        <w:pStyle w:val="Heading1"/>
        <w:spacing w:before="400" w:after="120"/>
      </w:pPr>
      <w:r>
        <w:rPr>
          <w:rFonts w:ascii="Arial" w:cs="Arial" w:eastAsia="Arial" w:hAnsi="Arial"/>
          <w:b/>
          <w:bCs/>
          <w:color w:val="1A1A1A"/>
          <w:sz w:val="32"/>
          <w:szCs w:val="32"/>
        </w:rPr>
        <w:t xml:space="preserve">05  SCALE MILESTONES &amp; REVENUE</w:t>
      </w:r>
    </w:p>
    <w:p>
      <w:pPr>
        <w:pBdr>
          <w:bottom w:val="single" w:color="C44B1B" w:sz="8"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600"/>
        <w:gridCol w:w="2000"/>
        <w:gridCol w:w="1760"/>
        <w:gridCol w:w="2000"/>
        <w:gridCol w:w="2000"/>
      </w:tblGrid>
      <w:tr>
        <w:tc>
          <w:tcPr>
            <w:tcW w:type="dxa" w:w="16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pPr>
              <w:jc w:val="left"/>
            </w:pPr>
            <w:r>
              <w:rPr>
                <w:rFonts w:ascii="Arial" w:cs="Arial" w:eastAsia="Arial" w:hAnsi="Arial"/>
                <w:b/>
                <w:bCs/>
                <w:i w:val="false"/>
                <w:iCs w:val="false"/>
                <w:color w:val="F0EBE0"/>
                <w:sz w:val="19"/>
                <w:szCs w:val="19"/>
              </w:rPr>
              <w:t xml:space="preserve">Milestone</w:t>
            </w:r>
          </w:p>
        </w:tc>
        <w:tc>
          <w:tcPr>
            <w:tcW w:type="dxa" w:w="2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pPr>
              <w:jc w:val="center"/>
            </w:pPr>
            <w:r>
              <w:rPr>
                <w:rFonts w:ascii="Arial" w:cs="Arial" w:eastAsia="Arial" w:hAnsi="Arial"/>
                <w:b/>
                <w:bCs/>
                <w:i w:val="false"/>
                <w:iCs w:val="false"/>
                <w:color w:val="F0EBE0"/>
                <w:sz w:val="19"/>
                <w:szCs w:val="19"/>
              </w:rPr>
              <w:t xml:space="preserve">Subscribers</w:t>
            </w:r>
          </w:p>
        </w:tc>
        <w:tc>
          <w:tcPr>
            <w:tcW w:type="dxa" w:w="176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pPr>
              <w:jc w:val="center"/>
            </w:pPr>
            <w:r>
              <w:rPr>
                <w:rFonts w:ascii="Arial" w:cs="Arial" w:eastAsia="Arial" w:hAnsi="Arial"/>
                <w:b/>
                <w:bCs/>
                <w:i w:val="false"/>
                <w:iCs w:val="false"/>
                <w:color w:val="F0EBE0"/>
                <w:sz w:val="19"/>
                <w:szCs w:val="19"/>
              </w:rPr>
              <w:t xml:space="preserve">Venue Partners</w:t>
            </w:r>
          </w:p>
        </w:tc>
        <w:tc>
          <w:tcPr>
            <w:tcW w:type="dxa" w:w="2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pPr>
              <w:jc w:val="right"/>
            </w:pPr>
            <w:r>
              <w:rPr>
                <w:rFonts w:ascii="Arial" w:cs="Arial" w:eastAsia="Arial" w:hAnsi="Arial"/>
                <w:b/>
                <w:bCs/>
                <w:i w:val="false"/>
                <w:iCs w:val="false"/>
                <w:color w:val="F0EBE0"/>
                <w:sz w:val="19"/>
                <w:szCs w:val="19"/>
              </w:rPr>
              <w:t xml:space="preserve">ARR</w:t>
            </w:r>
          </w:p>
        </w:tc>
        <w:tc>
          <w:tcPr>
            <w:tcW w:type="dxa" w:w="20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pPr>
              <w:jc w:val="left"/>
            </w:pPr>
            <w:r>
              <w:rPr>
                <w:rFonts w:ascii="Arial" w:cs="Arial" w:eastAsia="Arial" w:hAnsi="Arial"/>
                <w:b/>
                <w:bCs/>
                <w:i w:val="false"/>
                <w:iCs w:val="false"/>
                <w:color w:val="F0EBE0"/>
                <w:sz w:val="19"/>
                <w:szCs w:val="19"/>
              </w:rPr>
              <w:t xml:space="preserve">Key Objective</w:t>
            </w:r>
          </w:p>
        </w:tc>
      </w:tr>
      <w:tr>
        <w:tc>
          <w:tcPr>
            <w:tcW w:type="dxa" w:w="160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C44B1B"/>
                <w:sz w:val="19"/>
                <w:szCs w:val="19"/>
              </w:rPr>
              <w:t xml:space="preserve">Month 3</w:t>
            </w:r>
          </w:p>
        </w:tc>
        <w:tc>
          <w:tcPr>
            <w:tcW w:type="dxa" w:w="200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1A1A1A"/>
                <w:sz w:val="19"/>
                <w:szCs w:val="19"/>
              </w:rPr>
              <w:t xml:space="preserve">500</w:t>
            </w:r>
          </w:p>
        </w:tc>
        <w:tc>
          <w:tcPr>
            <w:tcW w:type="dxa" w:w="176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1A1A1A"/>
                <w:sz w:val="19"/>
                <w:szCs w:val="19"/>
              </w:rPr>
              <w:t xml:space="preserve">3–5</w:t>
            </w:r>
          </w:p>
        </w:tc>
        <w:tc>
          <w:tcPr>
            <w:tcW w:type="dxa" w:w="200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right"/>
            </w:pPr>
            <w:r>
              <w:rPr>
                <w:rFonts w:ascii="Arial" w:cs="Arial" w:eastAsia="Arial" w:hAnsi="Arial"/>
                <w:b/>
                <w:bCs/>
                <w:i w:val="false"/>
                <w:iCs w:val="false"/>
                <w:color w:val="1A1A1A"/>
                <w:sz w:val="19"/>
                <w:szCs w:val="19"/>
              </w:rPr>
              <w:t xml:space="preserve">$275K</w:t>
            </w:r>
          </w:p>
        </w:tc>
        <w:tc>
          <w:tcPr>
            <w:tcW w:type="dxa" w:w="200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9"/>
                <w:szCs w:val="19"/>
              </w:rPr>
              <w:t xml:space="preserve">Prove attendance rates. Build FRI data.</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C44B1B"/>
                <w:sz w:val="19"/>
                <w:szCs w:val="19"/>
              </w:rPr>
              <w:t xml:space="preserve">Month 9</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A1A1A"/>
                <w:sz w:val="19"/>
                <w:szCs w:val="19"/>
              </w:rPr>
              <w:t xml:space="preserve">2,500</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A1A1A"/>
                <w:sz w:val="19"/>
                <w:szCs w:val="19"/>
              </w:rPr>
              <w:t xml:space="preserve">10–15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right"/>
            </w:pPr>
            <w:r>
              <w:rPr>
                <w:rFonts w:ascii="Arial" w:cs="Arial" w:eastAsia="Arial" w:hAnsi="Arial"/>
                <w:b/>
                <w:bCs/>
                <w:i w:val="false"/>
                <w:iCs w:val="false"/>
                <w:color w:val="1A1A1A"/>
                <w:sz w:val="19"/>
                <w:szCs w:val="19"/>
              </w:rPr>
              <w:t xml:space="preserve">$1.37M</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9"/>
                <w:szCs w:val="19"/>
              </w:rPr>
              <w:t xml:space="preserve">Profitability. Launch city #2.</w:t>
            </w:r>
          </w:p>
        </w:tc>
      </w:tr>
      <w:tr>
        <w:tc>
          <w:tcPr>
            <w:tcW w:type="dxa" w:w="160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left"/>
            </w:pPr>
            <w:r>
              <w:rPr>
                <w:rFonts w:ascii="Arial" w:cs="Arial" w:eastAsia="Arial" w:hAnsi="Arial"/>
                <w:b/>
                <w:bCs/>
                <w:i w:val="false"/>
                <w:iCs w:val="false"/>
                <w:color w:val="C44B1B"/>
                <w:sz w:val="19"/>
                <w:szCs w:val="19"/>
              </w:rPr>
              <w:t xml:space="preserve">Year 2</w:t>
            </w:r>
          </w:p>
        </w:tc>
        <w:tc>
          <w:tcPr>
            <w:tcW w:type="dxa" w:w="200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1A1A1A"/>
                <w:sz w:val="19"/>
                <w:szCs w:val="19"/>
              </w:rPr>
              <w:t xml:space="preserve">10,000</w:t>
            </w:r>
          </w:p>
        </w:tc>
        <w:tc>
          <w:tcPr>
            <w:tcW w:type="dxa" w:w="176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1A1A1A"/>
                <w:sz w:val="19"/>
                <w:szCs w:val="19"/>
              </w:rPr>
              <w:t xml:space="preserve">40+</w:t>
            </w:r>
          </w:p>
        </w:tc>
        <w:tc>
          <w:tcPr>
            <w:tcW w:type="dxa" w:w="200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right"/>
            </w:pPr>
            <w:r>
              <w:rPr>
                <w:rFonts w:ascii="Arial" w:cs="Arial" w:eastAsia="Arial" w:hAnsi="Arial"/>
                <w:b/>
                <w:bCs/>
                <w:i w:val="false"/>
                <w:iCs w:val="false"/>
                <w:color w:val="1A1A1A"/>
                <w:sz w:val="19"/>
                <w:szCs w:val="19"/>
              </w:rPr>
              <w:t xml:space="preserve">$5.5M</w:t>
            </w:r>
          </w:p>
        </w:tc>
        <w:tc>
          <w:tcPr>
            <w:tcW w:type="dxa" w:w="200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9"/>
                <w:szCs w:val="19"/>
              </w:rPr>
              <w:t xml:space="preserve">Multi-city. Festival deals. Data product.</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i w:val="false"/>
                <w:iCs w:val="false"/>
                <w:color w:val="C44B1B"/>
                <w:sz w:val="19"/>
                <w:szCs w:val="19"/>
              </w:rPr>
              <w:t xml:space="preserve">Year 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A1A1A"/>
                <w:sz w:val="19"/>
                <w:szCs w:val="19"/>
              </w:rPr>
              <w:t xml:space="preserve">50,000</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1A1A1A"/>
                <w:sz w:val="19"/>
                <w:szCs w:val="19"/>
              </w:rPr>
              <w:t xml:space="preserve">150+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right"/>
            </w:pPr>
            <w:r>
              <w:rPr>
                <w:rFonts w:ascii="Arial" w:cs="Arial" w:eastAsia="Arial" w:hAnsi="Arial"/>
                <w:b/>
                <w:bCs/>
                <w:i w:val="false"/>
                <w:iCs w:val="false"/>
                <w:color w:val="1A1A1A"/>
                <w:sz w:val="19"/>
                <w:szCs w:val="19"/>
              </w:rPr>
              <w:t xml:space="preserve">$27.5M</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9"/>
                <w:szCs w:val="19"/>
              </w:rPr>
              <w:t xml:space="preserve">Series A. National network. Social layer.</w:t>
            </w:r>
          </w:p>
        </w:tc>
      </w:tr>
    </w:tbl>
    <w:p>
      <w:pPr>
        <w:spacing w:before="0" w:after="200"/>
      </w:pPr>
    </w:p>
    <w:p>
      <w:pPr>
        <w:pStyle w:val="Heading1"/>
        <w:spacing w:before="400" w:after="120"/>
      </w:pPr>
      <w:r>
        <w:rPr>
          <w:rFonts w:ascii="Arial" w:cs="Arial" w:eastAsia="Arial" w:hAnsi="Arial"/>
          <w:b/>
          <w:bCs/>
          <w:color w:val="1A1A1A"/>
          <w:sz w:val="32"/>
          <w:szCs w:val="32"/>
        </w:rPr>
        <w:t xml:space="preserve">06  GO-TO-MARKET &amp; VENUE STRATEGY</w:t>
      </w:r>
    </w:p>
    <w:p>
      <w:pPr>
        <w:pBdr>
          <w:bottom w:val="single" w:color="C44B1B" w:sz="8" w:space="1"/>
        </w:pBdr>
        <w:spacing w:before="200" w:after="200"/>
      </w:pPr>
    </w:p>
    <w:p>
      <w:pPr>
        <w:pStyle w:val="Heading2"/>
        <w:spacing w:before="280" w:after="100"/>
      </w:pPr>
      <w:r>
        <w:rPr>
          <w:rFonts w:ascii="Arial" w:cs="Arial" w:eastAsia="Arial" w:hAnsi="Arial"/>
          <w:b/>
          <w:bCs/>
          <w:color w:val="C44B1B"/>
          <w:sz w:val="24"/>
          <w:szCs w:val="24"/>
        </w:rPr>
        <w:t xml:space="preserve">Phase 1: Chicago (Months 1–9)</w:t>
      </w:r>
    </w:p>
    <w:p>
      <w:pPr>
        <w:spacing w:before="80" w:after="80"/>
      </w:pPr>
      <w:r>
        <w:rPr>
          <w:rFonts w:ascii="Arial" w:cs="Arial" w:eastAsia="Arial" w:hAnsi="Arial"/>
          <w:color w:val="333333"/>
          <w:sz w:val="20"/>
          <w:szCs w:val="20"/>
        </w:rPr>
        <w:t xml:space="preserve">Chicago is the optimal launch market: 4th largest U.S. city by population, exceptional indie venue ecosystem (Metro, Thalia Hall, Empty Bottle, Schubas, Lincoln Hall), and a music culture with high fan loyalty and acute frustration with scalping. The decision-makers at independent venues are 1–2 people, accessible, and directly hurt by scalping in ways that corporate arena operators are not.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240"/>
        <w:gridCol w:w="9120"/>
      </w:tblGrid>
      <w:tr>
        <w:tc>
          <w:tcPr>
            <w:tcW w:type="dxa" w:w="240"/>
            <w:tcBorders>
              <w:top w:val="none"/>
              <w:left w:val="none"/>
              <w:bottom w:val="none"/>
              <w:right w:val="none"/>
            </w:tcBorders>
            <w:shd w:fill="C44B1B" w:val="clear"/>
          </w:tcPr>
          <w:p>
            <w:r>
              <w:t xml:space="preserve"> </w:t>
            </w:r>
          </w:p>
        </w:tc>
        <w:tc>
          <w:tcPr>
            <w:tcW w:type="dxa" w:w="9120"/>
            <w:tcBorders>
              <w:top w:val="none"/>
              <w:left w:val="none"/>
              <w:bottom w:val="none"/>
              <w:right w:val="none"/>
            </w:tcBorders>
            <w:shd w:fill="F7F4EF" w:val="clear"/>
            <w:tcMar>
              <w:top w:type="dxa" w:w="120"/>
              <w:left w:type="dxa" w:w="200"/>
              <w:bottom w:type="dxa" w:w="120"/>
              <w:right w:type="dxa" w:w="200"/>
            </w:tcMar>
          </w:tcPr>
          <w:p>
            <w:r>
              <w:rPr>
                <w:rFonts w:ascii="Arial" w:cs="Arial" w:eastAsia="Arial" w:hAnsi="Arial"/>
                <w:i/>
                <w:iCs/>
                <w:color w:val="333333"/>
                <w:sz w:val="20"/>
                <w:szCs w:val="20"/>
              </w:rPr>
              <w:t xml:space="preserve">The venue pitch: 'We guarantee filled seats from verified fans who have a financial and reputational stake in showing up. Our no-show rate will be demonstrably lower than general sale within 90 days — and we'll give you the data to prove it.' Start with 10% allocation, grow to 15% once data validates the model.</w:t>
            </w:r>
          </w:p>
        </w:tc>
      </w:tr>
    </w:tbl>
    <w:p>
      <w:pPr>
        <w:spacing w:before="0" w:after="120"/>
      </w:pPr>
    </w:p>
    <w:p>
      <w:pPr>
        <w:pStyle w:val="Heading2"/>
        <w:spacing w:before="280" w:after="100"/>
      </w:pPr>
      <w:r>
        <w:rPr>
          <w:rFonts w:ascii="Arial" w:cs="Arial" w:eastAsia="Arial" w:hAnsi="Arial"/>
          <w:b/>
          <w:bCs/>
          <w:color w:val="C44B1B"/>
          <w:sz w:val="24"/>
          <w:szCs w:val="24"/>
        </w:rPr>
        <w:t xml:space="preserve">Phase 2: Expansion &amp; Partnerships (Months 9–24)</w:t>
      </w:r>
    </w:p>
    <w:p>
      <w:pPr>
        <w:spacing w:before="80" w:after="80"/>
      </w:pPr>
      <w:r>
        <w:rPr>
          <w:rFonts w:ascii="Arial" w:cs="Arial" w:eastAsia="Arial" w:hAnsi="Arial"/>
          <w:color w:val="333333"/>
          <w:sz w:val="20"/>
          <w:szCs w:val="20"/>
        </w:rPr>
        <w:t xml:space="preserve">Second market (New York or Los Angeles) follows Chicago validation. Festival allocation deals — targeting 500–1,000 cap independent festivals initially — represent a high-value segment where scalping is most painful and fan loyalty is highest. Artist management partnerships offer an additional channel: managers who want their fanbase in the room (not flippers) become natural distribution partners.</w:t>
      </w:r>
    </w:p>
    <w:p>
      <w:pPr>
        <w:spacing w:before="0" w:after="120"/>
      </w:pPr>
    </w:p>
    <w:p>
      <w:pPr>
        <w:pStyle w:val="Heading2"/>
        <w:spacing w:before="280" w:after="100"/>
      </w:pPr>
      <w:r>
        <w:rPr>
          <w:rFonts w:ascii="Arial" w:cs="Arial" w:eastAsia="Arial" w:hAnsi="Arial"/>
          <w:b/>
          <w:bCs/>
          <w:color w:val="C44B1B"/>
          <w:sz w:val="24"/>
          <w:szCs w:val="24"/>
        </w:rPr>
        <w:t xml:space="preserve">The Data Product Layer (Year 2+)</w:t>
      </w:r>
    </w:p>
    <w:p>
      <w:pPr>
        <w:spacing w:before="80" w:after="80"/>
      </w:pPr>
      <w:r>
        <w:rPr>
          <w:rFonts w:ascii="Arial" w:cs="Arial" w:eastAsia="Arial" w:hAnsi="Arial"/>
          <w:color w:val="333333"/>
          <w:sz w:val="20"/>
          <w:szCs w:val="20"/>
        </w:rPr>
        <w:t xml:space="preserve">Turnstile's most underappreciated long-term asset is the attendance data. No existing platform knows who actually showed up, what genres they attend across, how far they travel, or what their show frequency is across a year. This anonymized fan intelligence — sold to venues, booking agents, and artist management — becomes a meaningful secondary revenue stream and a defensible competitive moat.</w:t>
      </w:r>
    </w:p>
    <w:p>
      <w:pPr>
        <w:spacing w:before="0" w:after="120"/>
      </w:pPr>
    </w:p>
    <w:p>
      <w:pPr>
        <w:pStyle w:val="Heading2"/>
        <w:spacing w:before="280" w:after="100"/>
      </w:pPr>
      <w:r>
        <w:rPr>
          <w:rFonts w:ascii="Arial" w:cs="Arial" w:eastAsia="Arial" w:hAnsi="Arial"/>
          <w:b/>
          <w:bCs/>
          <w:color w:val="C44B1B"/>
          <w:sz w:val="24"/>
          <w:szCs w:val="24"/>
        </w:rPr>
        <w:t xml:space="preserve">Social Integration (Year 3)</w:t>
      </w:r>
    </w:p>
    <w:p>
      <w:pPr>
        <w:spacing w:before="80" w:after="80"/>
      </w:pPr>
      <w:r>
        <w:rPr>
          <w:rFonts w:ascii="Arial" w:cs="Arial" w:eastAsia="Arial" w:hAnsi="Arial"/>
          <w:color w:val="333333"/>
          <w:sz w:val="20"/>
          <w:szCs w:val="20"/>
        </w:rPr>
        <w:t xml:space="preserve">The social layer (friend's MVP app) integrates as a fan discovery and community feature: see what shows your network is claiming, coordinate group claims, share FRI scores as a badge of credibility. This turns Turnstile from a utility into a community — the highest-retention product category in consumer subscription.</w:t>
      </w:r>
    </w:p>
    <w:p>
      <w:pPr>
        <w:spacing w:before="0" w:after="200"/>
      </w:pPr>
    </w:p>
    <w:p>
      <w:pPr>
        <w:pStyle w:val="Heading1"/>
        <w:spacing w:before="400" w:after="120"/>
      </w:pPr>
      <w:r>
        <w:rPr>
          <w:rFonts w:ascii="Arial" w:cs="Arial" w:eastAsia="Arial" w:hAnsi="Arial"/>
          <w:b/>
          <w:bCs/>
          <w:color w:val="1A1A1A"/>
          <w:sz w:val="32"/>
          <w:szCs w:val="32"/>
        </w:rPr>
        <w:t xml:space="preserve">07  COMPETITIVE MOAT</w:t>
      </w:r>
    </w:p>
    <w:p>
      <w:pPr>
        <w:pBdr>
          <w:bottom w:val="single" w:color="C44B1B" w:sz="8" w:space="1"/>
        </w:pBdr>
        <w:spacing w:before="200" w:after="200"/>
      </w:pPr>
    </w:p>
    <w:p>
      <w:pPr>
        <w:spacing w:before="80" w:after="80"/>
      </w:pPr>
      <w:r>
        <w:rPr>
          <w:rFonts w:ascii="Arial" w:cs="Arial" w:eastAsia="Arial" w:hAnsi="Arial"/>
          <w:color w:val="333333"/>
          <w:sz w:val="20"/>
          <w:szCs w:val="20"/>
        </w:rPr>
        <w:t xml:space="preserve">Turnstile's defensibility is not technological — it's behavioral. The FRI score has no value until it's been earned over months of real attendance. This creates a switching cost that grows with time: a member who has built an FRI of 80 over 18 months has something no competitor can offer them on day one. The data moat (attendance history) and the community moat (social layer) compound this over time.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600"/>
        <w:gridCol w:w="1690"/>
        <w:gridCol w:w="1690"/>
        <w:gridCol w:w="1690"/>
        <w:gridCol w:w="1690"/>
      </w:tblGrid>
      <w:tr>
        <w:tc>
          <w:tcPr>
            <w:tcW w:type="dxa" w:w="260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pPr>
              <w:jc w:val="left"/>
            </w:pPr>
            <w:r>
              <w:rPr>
                <w:rFonts w:ascii="Arial" w:cs="Arial" w:eastAsia="Arial" w:hAnsi="Arial"/>
                <w:b/>
                <w:bCs/>
                <w:i w:val="false"/>
                <w:iCs w:val="false"/>
                <w:color w:val="F0EBE0"/>
                <w:sz w:val="19"/>
                <w:szCs w:val="19"/>
              </w:rPr>
              <w:t xml:space="preserve">Feature</w:t>
            </w:r>
          </w:p>
        </w:tc>
        <w:tc>
          <w:tcPr>
            <w:tcW w:type="dxa" w:w="169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pPr>
              <w:jc w:val="center"/>
            </w:pPr>
            <w:r>
              <w:rPr>
                <w:rFonts w:ascii="Arial" w:cs="Arial" w:eastAsia="Arial" w:hAnsi="Arial"/>
                <w:b/>
                <w:bCs/>
                <w:i w:val="false"/>
                <w:iCs w:val="false"/>
                <w:color w:val="F0EBE0"/>
                <w:sz w:val="19"/>
                <w:szCs w:val="19"/>
              </w:rPr>
              <w:t xml:space="preserve">Turnstile</w:t>
            </w:r>
          </w:p>
        </w:tc>
        <w:tc>
          <w:tcPr>
            <w:tcW w:type="dxa" w:w="169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pPr>
              <w:jc w:val="center"/>
            </w:pPr>
            <w:r>
              <w:rPr>
                <w:rFonts w:ascii="Arial" w:cs="Arial" w:eastAsia="Arial" w:hAnsi="Arial"/>
                <w:b/>
                <w:bCs/>
                <w:i w:val="false"/>
                <w:iCs w:val="false"/>
                <w:color w:val="F0EBE0"/>
                <w:sz w:val="19"/>
                <w:szCs w:val="19"/>
              </w:rPr>
              <w:t xml:space="preserve">Ticketmaster VF</w:t>
            </w:r>
          </w:p>
        </w:tc>
        <w:tc>
          <w:tcPr>
            <w:tcW w:type="dxa" w:w="169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pPr>
              <w:jc w:val="center"/>
            </w:pPr>
            <w:r>
              <w:rPr>
                <w:rFonts w:ascii="Arial" w:cs="Arial" w:eastAsia="Arial" w:hAnsi="Arial"/>
                <w:b/>
                <w:bCs/>
                <w:i w:val="false"/>
                <w:iCs w:val="false"/>
                <w:color w:val="F0EBE0"/>
                <w:sz w:val="19"/>
                <w:szCs w:val="19"/>
              </w:rPr>
              <w:t xml:space="preserve">StubHub</w:t>
            </w:r>
          </w:p>
        </w:tc>
        <w:tc>
          <w:tcPr>
            <w:tcW w:type="dxa" w:w="1690"/>
            <w:tcBorders>
              <w:top w:val="single" w:color="1A1A1A" w:sz="1"/>
              <w:left w:val="single" w:color="1A1A1A" w:sz="1"/>
              <w:bottom w:val="single" w:color="1A1A1A" w:sz="1"/>
              <w:right w:val="single" w:color="1A1A1A" w:sz="1"/>
            </w:tcBorders>
            <w:shd w:fill="1A1A1A" w:val="clear"/>
            <w:tcMar>
              <w:top w:type="dxa" w:w="100"/>
              <w:left w:type="dxa" w:w="140"/>
              <w:bottom w:type="dxa" w:w="100"/>
              <w:right w:type="dxa" w:w="140"/>
            </w:tcMar>
          </w:tcPr>
          <w:p>
            <w:pPr>
              <w:jc w:val="center"/>
            </w:pPr>
            <w:r>
              <w:rPr>
                <w:rFonts w:ascii="Arial" w:cs="Arial" w:eastAsia="Arial" w:hAnsi="Arial"/>
                <w:b/>
                <w:bCs/>
                <w:i w:val="false"/>
                <w:iCs w:val="false"/>
                <w:color w:val="F0EBE0"/>
                <w:sz w:val="19"/>
                <w:szCs w:val="19"/>
              </w:rPr>
              <w:t xml:space="preserve">DICE</w:t>
            </w:r>
          </w:p>
        </w:tc>
      </w:tr>
      <w:tr>
        <w:tc>
          <w:tcPr>
            <w:tcW w:type="dxa" w:w="260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9"/>
                <w:szCs w:val="19"/>
              </w:rPr>
              <w:t xml:space="preserve">Bot-proof allocation</w:t>
            </w:r>
          </w:p>
        </w:tc>
        <w:tc>
          <w:tcPr>
            <w:tcW w:type="dxa" w:w="169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center"/>
            </w:pPr>
            <w:r>
              <w:rPr>
                <w:rFonts w:ascii="Arial" w:cs="Arial" w:eastAsia="Arial" w:hAnsi="Arial"/>
                <w:b/>
                <w:bCs/>
                <w:i w:val="false"/>
                <w:iCs w:val="false"/>
                <w:color w:val="3D7A50"/>
                <w:sz w:val="19"/>
                <w:szCs w:val="19"/>
              </w:rPr>
              <w:t xml:space="preserve">✓</w:t>
            </w:r>
          </w:p>
        </w:tc>
        <w:tc>
          <w:tcPr>
            <w:tcW w:type="dxa" w:w="169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7A7470"/>
                <w:sz w:val="19"/>
                <w:szCs w:val="19"/>
              </w:rPr>
              <w:t xml:space="preserve">Partial</w:t>
            </w:r>
          </w:p>
        </w:tc>
        <w:tc>
          <w:tcPr>
            <w:tcW w:type="dxa" w:w="169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8B2020"/>
                <w:sz w:val="19"/>
                <w:szCs w:val="19"/>
              </w:rPr>
              <w:t xml:space="preserve">✗</w:t>
            </w:r>
          </w:p>
        </w:tc>
        <w:tc>
          <w:tcPr>
            <w:tcW w:type="dxa" w:w="169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7A7470"/>
                <w:sz w:val="19"/>
                <w:szCs w:val="19"/>
              </w:rPr>
              <w:t xml:space="preserve">Partial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9"/>
                <w:szCs w:val="19"/>
              </w:rPr>
              <w:t xml:space="preserve">Face value guaranteed</w:t>
            </w:r>
          </w:p>
        </w:tc>
        <w:tc>
          <w:tcPr>
            <w:tcW w:type="dxa" w:w="16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i w:val="false"/>
                <w:iCs w:val="false"/>
                <w:color w:val="3D7A50"/>
                <w:sz w:val="19"/>
                <w:szCs w:val="19"/>
              </w:rPr>
              <w:t xml:space="preserve">✓</w:t>
            </w:r>
          </w:p>
        </w:tc>
        <w:tc>
          <w:tcPr>
            <w:tcW w:type="dxa" w:w="16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8B2020"/>
                <w:sz w:val="19"/>
                <w:szCs w:val="19"/>
              </w:rPr>
              <w:t xml:space="preserve">✗</w:t>
            </w:r>
          </w:p>
        </w:tc>
        <w:tc>
          <w:tcPr>
            <w:tcW w:type="dxa" w:w="16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8B2020"/>
                <w:sz w:val="19"/>
                <w:szCs w:val="19"/>
              </w:rPr>
              <w:t xml:space="preserve">✗</w:t>
            </w:r>
          </w:p>
        </w:tc>
        <w:tc>
          <w:tcPr>
            <w:tcW w:type="dxa" w:w="16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3D7A50"/>
                <w:sz w:val="19"/>
                <w:szCs w:val="19"/>
              </w:rPr>
              <w:t xml:space="preserve">✓</w:t>
            </w:r>
          </w:p>
        </w:tc>
      </w:tr>
      <w:tr>
        <w:tc>
          <w:tcPr>
            <w:tcW w:type="dxa" w:w="260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9"/>
                <w:szCs w:val="19"/>
              </w:rPr>
              <w:t xml:space="preserve">Merit-based access</w:t>
            </w:r>
          </w:p>
        </w:tc>
        <w:tc>
          <w:tcPr>
            <w:tcW w:type="dxa" w:w="169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center"/>
            </w:pPr>
            <w:r>
              <w:rPr>
                <w:rFonts w:ascii="Arial" w:cs="Arial" w:eastAsia="Arial" w:hAnsi="Arial"/>
                <w:b/>
                <w:bCs/>
                <w:i w:val="false"/>
                <w:iCs w:val="false"/>
                <w:color w:val="3D7A50"/>
                <w:sz w:val="19"/>
                <w:szCs w:val="19"/>
              </w:rPr>
              <w:t xml:space="preserve">✓</w:t>
            </w:r>
          </w:p>
        </w:tc>
        <w:tc>
          <w:tcPr>
            <w:tcW w:type="dxa" w:w="169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8B2020"/>
                <w:sz w:val="19"/>
                <w:szCs w:val="19"/>
              </w:rPr>
              <w:t xml:space="preserve">✗</w:t>
            </w:r>
          </w:p>
        </w:tc>
        <w:tc>
          <w:tcPr>
            <w:tcW w:type="dxa" w:w="169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8B2020"/>
                <w:sz w:val="19"/>
                <w:szCs w:val="19"/>
              </w:rPr>
              <w:t xml:space="preserve">✗</w:t>
            </w:r>
          </w:p>
        </w:tc>
        <w:tc>
          <w:tcPr>
            <w:tcW w:type="dxa" w:w="169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8B2020"/>
                <w:sz w:val="19"/>
                <w:szCs w:val="19"/>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9"/>
                <w:szCs w:val="19"/>
              </w:rPr>
              <w:t xml:space="preserve">Fan attendance data</w:t>
            </w:r>
          </w:p>
        </w:tc>
        <w:tc>
          <w:tcPr>
            <w:tcW w:type="dxa" w:w="16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i w:val="false"/>
                <w:iCs w:val="false"/>
                <w:color w:val="3D7A50"/>
                <w:sz w:val="19"/>
                <w:szCs w:val="19"/>
              </w:rPr>
              <w:t xml:space="preserve">✓</w:t>
            </w:r>
          </w:p>
        </w:tc>
        <w:tc>
          <w:tcPr>
            <w:tcW w:type="dxa" w:w="16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7A7470"/>
                <w:sz w:val="19"/>
                <w:szCs w:val="19"/>
              </w:rPr>
              <w:t xml:space="preserve">Partial</w:t>
            </w:r>
          </w:p>
        </w:tc>
        <w:tc>
          <w:tcPr>
            <w:tcW w:type="dxa" w:w="16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8B2020"/>
                <w:sz w:val="19"/>
                <w:szCs w:val="19"/>
              </w:rPr>
              <w:t xml:space="preserve">✗</w:t>
            </w:r>
          </w:p>
        </w:tc>
        <w:tc>
          <w:tcPr>
            <w:tcW w:type="dxa" w:w="16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7A7470"/>
                <w:sz w:val="19"/>
                <w:szCs w:val="19"/>
              </w:rPr>
              <w:t xml:space="preserve">Partial</w:t>
            </w:r>
          </w:p>
        </w:tc>
      </w:tr>
      <w:tr>
        <w:tc>
          <w:tcPr>
            <w:tcW w:type="dxa" w:w="260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9"/>
                <w:szCs w:val="19"/>
              </w:rPr>
              <w:t xml:space="preserve">No outside resale</w:t>
            </w:r>
          </w:p>
        </w:tc>
        <w:tc>
          <w:tcPr>
            <w:tcW w:type="dxa" w:w="169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center"/>
            </w:pPr>
            <w:r>
              <w:rPr>
                <w:rFonts w:ascii="Arial" w:cs="Arial" w:eastAsia="Arial" w:hAnsi="Arial"/>
                <w:b/>
                <w:bCs/>
                <w:i w:val="false"/>
                <w:iCs w:val="false"/>
                <w:color w:val="3D7A50"/>
                <w:sz w:val="19"/>
                <w:szCs w:val="19"/>
              </w:rPr>
              <w:t xml:space="preserve">✓</w:t>
            </w:r>
          </w:p>
        </w:tc>
        <w:tc>
          <w:tcPr>
            <w:tcW w:type="dxa" w:w="169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8B2020"/>
                <w:sz w:val="19"/>
                <w:szCs w:val="19"/>
              </w:rPr>
              <w:t xml:space="preserve">✗</w:t>
            </w:r>
          </w:p>
        </w:tc>
        <w:tc>
          <w:tcPr>
            <w:tcW w:type="dxa" w:w="169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8B2020"/>
                <w:sz w:val="19"/>
                <w:szCs w:val="19"/>
              </w:rPr>
              <w:t xml:space="preserve">✗</w:t>
            </w:r>
          </w:p>
        </w:tc>
        <w:tc>
          <w:tcPr>
            <w:tcW w:type="dxa" w:w="1690"/>
            <w:tcBorders>
              <w:top w:val="single" w:color="CCCCCC" w:sz="1"/>
              <w:left w:val="single" w:color="CCCCCC" w:sz="1"/>
              <w:bottom w:val="single" w:color="CCCCCC" w:sz="1"/>
              <w:right w:val="single" w:color="CCCCCC" w:sz="1"/>
            </w:tcBorders>
            <w:shd w:fill="F7F4EF" w:val="clear"/>
            <w:tcMar>
              <w:top w:type="dxa" w:w="100"/>
              <w:left w:type="dxa" w:w="140"/>
              <w:bottom w:type="dxa" w:w="100"/>
              <w:right w:type="dxa" w:w="140"/>
            </w:tcMar>
          </w:tcPr>
          <w:p>
            <w:pPr>
              <w:jc w:val="center"/>
            </w:pPr>
            <w:r>
              <w:rPr>
                <w:rFonts w:ascii="Arial" w:cs="Arial" w:eastAsia="Arial" w:hAnsi="Arial"/>
                <w:b w:val="false"/>
                <w:bCs w:val="false"/>
                <w:i w:val="false"/>
                <w:iCs w:val="false"/>
                <w:color w:val="3D7A50"/>
                <w:sz w:val="19"/>
                <w:szCs w:val="19"/>
              </w:rPr>
              <w:t xml:space="preserv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i w:val="false"/>
                <w:iCs w:val="false"/>
                <w:color w:val="1A1A1A"/>
                <w:sz w:val="19"/>
                <w:szCs w:val="19"/>
              </w:rPr>
              <w:t xml:space="preserve">Works alongside Ticketmaster</w:t>
            </w:r>
          </w:p>
        </w:tc>
        <w:tc>
          <w:tcPr>
            <w:tcW w:type="dxa" w:w="16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bCs/>
                <w:i w:val="false"/>
                <w:iCs w:val="false"/>
                <w:color w:val="3D7A50"/>
                <w:sz w:val="19"/>
                <w:szCs w:val="19"/>
              </w:rPr>
              <w:t xml:space="preserve">✓</w:t>
            </w:r>
          </w:p>
        </w:tc>
        <w:tc>
          <w:tcPr>
            <w:tcW w:type="dxa" w:w="16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7A7470"/>
                <w:sz w:val="19"/>
                <w:szCs w:val="19"/>
              </w:rPr>
              <w:t xml:space="preserve">N/A</w:t>
            </w:r>
          </w:p>
        </w:tc>
        <w:tc>
          <w:tcPr>
            <w:tcW w:type="dxa" w:w="16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3D7A50"/>
                <w:sz w:val="19"/>
                <w:szCs w:val="19"/>
              </w:rPr>
              <w:t xml:space="preserve">✓</w:t>
            </w:r>
          </w:p>
        </w:tc>
        <w:tc>
          <w:tcPr>
            <w:tcW w:type="dxa" w:w="169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i w:val="false"/>
                <w:iCs w:val="false"/>
                <w:color w:val="3D7A50"/>
                <w:sz w:val="19"/>
                <w:szCs w:val="19"/>
              </w:rPr>
              <w:t xml:space="preserve">✓</w:t>
            </w:r>
          </w:p>
        </w:tc>
      </w:tr>
    </w:tbl>
    <w:p>
      <w:pPr>
        <w:spacing w:before="0" w:after="200"/>
      </w:pPr>
    </w:p>
    <w:p>
      <w:pPr>
        <w:pBdr>
          <w:bottom w:val="single" w:color="C44B1B" w:sz="8" w:space="1"/>
        </w:pBdr>
        <w:spacing w:before="200" w:after="200"/>
      </w:pPr>
    </w:p>
    <w:p>
      <w:pPr>
        <w:spacing w:before="120" w:after="40"/>
        <w:jc w:val="center"/>
      </w:pPr>
      <w:r>
        <w:rPr>
          <w:rFonts w:ascii="Arial" w:cs="Arial" w:eastAsia="Arial" w:hAnsi="Arial"/>
          <w:b/>
          <w:bCs/>
          <w:color w:val="1A1A1A"/>
          <w:sz w:val="24"/>
          <w:szCs w:val="24"/>
        </w:rPr>
        <w:t xml:space="preserve">TURNSTILE  ·  Stop Fighting. Start Going to Shows.</w:t>
      </w:r>
    </w:p>
    <w:p>
      <w:pPr>
        <w:jc w:val="center"/>
      </w:pPr>
      <w:r>
        <w:rPr>
          <w:rFonts w:ascii="Arial" w:cs="Arial" w:eastAsia="Arial" w:hAnsi="Arial"/>
          <w:i/>
          <w:iCs/>
          <w:color w:val="7A7470"/>
          <w:sz w:val="18"/>
          <w:szCs w:val="18"/>
        </w:rPr>
        <w:t xml:space="preserve">For real fans only.</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TURNSTILE — Business Model &amp; Unit Economics  |  Confidential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C44B1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2026-03-16T17:54:16.082Z</dcterms:created>
  <dcterms:modified xsi:type="dcterms:W3CDTF">2026-03-16T17:54:16.083Z</dcterms:modified>
</cp:coreProperties>
</file>

<file path=docProps/custom.xml><?xml version="1.0" encoding="utf-8"?>
<Properties xmlns="http://schemas.openxmlformats.org/officeDocument/2006/custom-properties" xmlns:vt="http://schemas.openxmlformats.org/officeDocument/2006/docPropsVTypes"/>
</file>