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74294" w14:textId="77777777" w:rsidR="00755F9B" w:rsidRPr="00623F8C" w:rsidRDefault="00755F9B" w:rsidP="00755F9B">
      <w:pPr>
        <w:jc w:val="center"/>
        <w:rPr>
          <w:b/>
          <w:sz w:val="28"/>
        </w:rPr>
      </w:pPr>
      <w:r>
        <w:rPr>
          <w:b/>
          <w:sz w:val="28"/>
        </w:rPr>
        <w:t>F609</w:t>
      </w:r>
      <w:r w:rsidRPr="00623F8C">
        <w:rPr>
          <w:b/>
          <w:sz w:val="28"/>
        </w:rPr>
        <w:t>: Public Finance and Budgeting</w:t>
      </w:r>
    </w:p>
    <w:p w14:paraId="34620919" w14:textId="0F7729E7" w:rsidR="00755F9B" w:rsidRPr="00623F8C" w:rsidRDefault="00861CB4" w:rsidP="00755F9B">
      <w:pPr>
        <w:jc w:val="center"/>
        <w:rPr>
          <w:sz w:val="28"/>
        </w:rPr>
      </w:pPr>
      <w:r>
        <w:rPr>
          <w:sz w:val="28"/>
        </w:rPr>
        <w:t>Spring 20</w:t>
      </w:r>
      <w:r w:rsidR="00CA561E">
        <w:rPr>
          <w:sz w:val="28"/>
        </w:rPr>
        <w:t>2</w:t>
      </w:r>
      <w:r w:rsidR="00C66C7E">
        <w:rPr>
          <w:sz w:val="28"/>
        </w:rPr>
        <w:t>2</w:t>
      </w:r>
    </w:p>
    <w:p w14:paraId="3003DC0D" w14:textId="77777777" w:rsidR="00755F9B" w:rsidRDefault="00755F9B" w:rsidP="00755F9B">
      <w:pPr>
        <w:jc w:val="center"/>
        <w:rPr>
          <w:sz w:val="28"/>
        </w:rPr>
      </w:pPr>
      <w:r w:rsidRPr="00623F8C">
        <w:rPr>
          <w:sz w:val="28"/>
        </w:rPr>
        <w:t>Assignment #</w:t>
      </w:r>
      <w:r w:rsidR="00721E17">
        <w:rPr>
          <w:sz w:val="28"/>
        </w:rPr>
        <w:t>1</w:t>
      </w:r>
      <w:r>
        <w:rPr>
          <w:sz w:val="28"/>
        </w:rPr>
        <w:t>:</w:t>
      </w:r>
      <w:r w:rsidRPr="00755F9B">
        <w:rPr>
          <w:b/>
        </w:rPr>
        <w:t xml:space="preserve"> </w:t>
      </w:r>
      <w:r w:rsidRPr="00524819">
        <w:rPr>
          <w:b/>
        </w:rPr>
        <w:t>Revenue Forecasting</w:t>
      </w:r>
    </w:p>
    <w:p w14:paraId="1F1D9BA4" w14:textId="77777777" w:rsidR="00755F9B" w:rsidRPr="00623F8C" w:rsidRDefault="00755F9B" w:rsidP="00755F9B">
      <w:pPr>
        <w:jc w:val="center"/>
        <w:rPr>
          <w:sz w:val="28"/>
        </w:rPr>
      </w:pPr>
    </w:p>
    <w:p w14:paraId="4DE8AFE7" w14:textId="77777777" w:rsidR="00F2601E" w:rsidRPr="00524819" w:rsidRDefault="00F2601E"/>
    <w:p w14:paraId="72B11C23" w14:textId="77777777" w:rsidR="007C06A0" w:rsidRPr="00524819" w:rsidRDefault="00060F0E">
      <w:r w:rsidRPr="00524819">
        <w:t>For</w:t>
      </w:r>
      <w:r w:rsidR="007C06A0" w:rsidRPr="00524819">
        <w:t xml:space="preserve"> th</w:t>
      </w:r>
      <w:r w:rsidR="00F2601E" w:rsidRPr="00524819">
        <w:t>is assignment</w:t>
      </w:r>
      <w:r w:rsidR="007C06A0" w:rsidRPr="00524819">
        <w:t>, your “client” is</w:t>
      </w:r>
      <w:r w:rsidR="00714087" w:rsidRPr="00524819">
        <w:t xml:space="preserve"> the Indiana State Budget Committee</w:t>
      </w:r>
      <w:r w:rsidR="007C06A0" w:rsidRPr="00524819">
        <w:t>.</w:t>
      </w:r>
      <w:r w:rsidR="00714087" w:rsidRPr="00524819">
        <w:t xml:space="preserve">  Your forecast will be used as the revenue baseline by the governor in preparing his budget and by the General Assembly in making its appropriations.</w:t>
      </w:r>
      <w:r w:rsidR="006C531A" w:rsidRPr="00524819">
        <w:t xml:space="preserve"> </w:t>
      </w:r>
      <w:r w:rsidRPr="00524819">
        <w:t xml:space="preserve">  Write your response </w:t>
      </w:r>
      <w:r w:rsidR="00525A0D" w:rsidRPr="00524819">
        <w:t>as a memo to the state budget committee</w:t>
      </w:r>
      <w:r w:rsidRPr="00524819">
        <w:t>.</w:t>
      </w:r>
    </w:p>
    <w:p w14:paraId="0F916826" w14:textId="77777777" w:rsidR="007C06A0" w:rsidRPr="00524819" w:rsidRDefault="007C06A0"/>
    <w:p w14:paraId="58552FFA" w14:textId="77777777" w:rsidR="00524819" w:rsidRPr="00524819" w:rsidRDefault="00524819">
      <w:pPr>
        <w:rPr>
          <w:b/>
          <w:u w:val="single"/>
        </w:rPr>
      </w:pPr>
      <w:r w:rsidRPr="00524819">
        <w:rPr>
          <w:b/>
          <w:u w:val="single"/>
        </w:rPr>
        <w:t>Task:</w:t>
      </w:r>
    </w:p>
    <w:p w14:paraId="571E702C" w14:textId="54AF27BD" w:rsidR="005B02A8" w:rsidRPr="00524819" w:rsidRDefault="007C06A0">
      <w:r w:rsidRPr="00524819">
        <w:t xml:space="preserve">Your task is to forecast the revenue collected by Indiana from the retail sales tax and the individual income tax.  You will forecast each of the last </w:t>
      </w:r>
      <w:r w:rsidR="00741EE9" w:rsidRPr="00524819">
        <w:t>two quarters of f</w:t>
      </w:r>
      <w:r w:rsidR="00DC04AB" w:rsidRPr="00524819">
        <w:t>iscal year 20</w:t>
      </w:r>
      <w:r w:rsidR="00543BAF">
        <w:t>2</w:t>
      </w:r>
      <w:r w:rsidR="00C66C7E">
        <w:t>2</w:t>
      </w:r>
      <w:r w:rsidRPr="00524819">
        <w:t xml:space="preserve"> (i.e., the first two quarters of the</w:t>
      </w:r>
      <w:r w:rsidR="00224322" w:rsidRPr="00524819">
        <w:t xml:space="preserve"> calendar year</w:t>
      </w:r>
      <w:r w:rsidR="006F2A6E">
        <w:t xml:space="preserve"> 20</w:t>
      </w:r>
      <w:r w:rsidR="00543BAF">
        <w:t>2</w:t>
      </w:r>
      <w:r w:rsidR="00C66C7E">
        <w:t>2</w:t>
      </w:r>
      <w:r w:rsidR="00224322" w:rsidRPr="00524819">
        <w:t xml:space="preserve">) plus fiscal </w:t>
      </w:r>
      <w:r w:rsidR="00524819">
        <w:t xml:space="preserve">year </w:t>
      </w:r>
      <w:r w:rsidR="00224322" w:rsidRPr="00524819">
        <w:t>20</w:t>
      </w:r>
      <w:r w:rsidR="00721E17">
        <w:t>2</w:t>
      </w:r>
      <w:r w:rsidR="00C66C7E">
        <w:t>3</w:t>
      </w:r>
      <w:r w:rsidR="00224322" w:rsidRPr="00524819">
        <w:t xml:space="preserve"> (July 20</w:t>
      </w:r>
      <w:r w:rsidR="005D2962">
        <w:t>2</w:t>
      </w:r>
      <w:r w:rsidR="00C66C7E">
        <w:t>2</w:t>
      </w:r>
      <w:r w:rsidR="00224322" w:rsidRPr="00524819">
        <w:t xml:space="preserve"> through June 20</w:t>
      </w:r>
      <w:r w:rsidR="00721E17">
        <w:t>2</w:t>
      </w:r>
      <w:r w:rsidR="00C66C7E">
        <w:t>3</w:t>
      </w:r>
      <w:r w:rsidR="0047733E" w:rsidRPr="00524819">
        <w:t>).</w:t>
      </w:r>
      <w:r w:rsidR="006342FA">
        <w:t xml:space="preserve"> </w:t>
      </w:r>
      <w:r w:rsidR="006342FA" w:rsidRPr="004C68B0">
        <w:rPr>
          <w:b/>
          <w:bCs/>
        </w:rPr>
        <w:t>Please report your forecasts using the template in Table 1 below</w:t>
      </w:r>
      <w:r w:rsidR="006342FA">
        <w:t>.</w:t>
      </w:r>
    </w:p>
    <w:p w14:paraId="45C22678" w14:textId="77777777" w:rsidR="005B02A8" w:rsidRPr="00524819" w:rsidRDefault="005B02A8"/>
    <w:p w14:paraId="444AA54E" w14:textId="5054B699" w:rsidR="007C06A0" w:rsidRPr="00524819" w:rsidRDefault="007C06A0">
      <w:r w:rsidRPr="00524819">
        <w:t>Quarterly collection dat</w:t>
      </w:r>
      <w:r w:rsidR="00BB3BAC" w:rsidRPr="00524819">
        <w:t xml:space="preserve">a for the </w:t>
      </w:r>
      <w:r w:rsidR="00EF73BE" w:rsidRPr="00524819">
        <w:t>two taxes are posted on Canvas</w:t>
      </w:r>
      <w:r w:rsidR="000301F8" w:rsidRPr="00524819">
        <w:t>.</w:t>
      </w:r>
      <w:r w:rsidR="0092735E" w:rsidRPr="00524819">
        <w:t xml:space="preserve">  These are quarters of the calendar year</w:t>
      </w:r>
      <w:r w:rsidR="00E11691" w:rsidRPr="00524819">
        <w:t>.  T</w:t>
      </w:r>
      <w:r w:rsidR="0092735E" w:rsidRPr="00524819">
        <w:t xml:space="preserve">he data have not been adjusted for changes in rate, structure, or </w:t>
      </w:r>
      <w:r w:rsidR="00524819">
        <w:t>anything else; h</w:t>
      </w:r>
      <w:r w:rsidR="009A67FD" w:rsidRPr="00524819">
        <w:t xml:space="preserve">istoric rate data are presented below.  </w:t>
      </w:r>
    </w:p>
    <w:p w14:paraId="7EB487C2" w14:textId="77777777" w:rsidR="00BB3BAC" w:rsidRPr="00524819" w:rsidRDefault="00BB3BAC"/>
    <w:p w14:paraId="2EA6A4FA" w14:textId="08ACDB81" w:rsidR="00CA561E" w:rsidRPr="00524819" w:rsidRDefault="00BB3BAC" w:rsidP="00CA561E">
      <w:r w:rsidRPr="00524819">
        <w:t>Much information on the official Indiana revenue forecast are available at the Office of Management and Budget website:</w:t>
      </w:r>
      <w:r w:rsidR="00A10DD3" w:rsidRPr="00A10DD3">
        <w:t xml:space="preserve"> </w:t>
      </w:r>
      <w:hyperlink r:id="rId7" w:history="1">
        <w:r w:rsidR="00A10DD3" w:rsidRPr="001B31DA">
          <w:rPr>
            <w:rStyle w:val="Hyperlink"/>
          </w:rPr>
          <w:t>https://www.in.gov/sba/2363.htm</w:t>
        </w:r>
      </w:hyperlink>
      <w:r w:rsidR="00CA561E">
        <w:t xml:space="preserve"> and here: </w:t>
      </w:r>
      <w:hyperlink r:id="rId8" w:history="1">
        <w:r w:rsidR="00CA561E">
          <w:rPr>
            <w:rStyle w:val="Hyperlink"/>
          </w:rPr>
          <w:t>https://www.in.gov/sba/2760.htm</w:t>
        </w:r>
      </w:hyperlink>
      <w:r w:rsidR="00CA561E">
        <w:t xml:space="preserve">. </w:t>
      </w:r>
      <w:r w:rsidR="00A10DD3">
        <w:t xml:space="preserve"> </w:t>
      </w:r>
      <w:r w:rsidRPr="00524819">
        <w:t>You will find the methodology currently used, data used in driving the forecast (GDP, in</w:t>
      </w:r>
      <w:r w:rsidR="00006A8A" w:rsidRPr="00524819">
        <w:t>flation, personal income, etc.)</w:t>
      </w:r>
      <w:r w:rsidRPr="00524819">
        <w:t xml:space="preserve">, and the current forecast.   The forecasts for the economic data were prepared by IHS Global Insight.  </w:t>
      </w:r>
      <w:r w:rsidR="00524819">
        <w:t>The state</w:t>
      </w:r>
      <w:r w:rsidRPr="00524819">
        <w:t xml:space="preserve"> paid them a handsome price for these forecasts, so feel free to use them in your forecasting.  Note that quarterly forecasts in the table are at annual rates.  In other words, if the economy continued at the pace in the quarter, the annual total would be whatever.  This is done to remove the impact of seasonal variation.</w:t>
      </w:r>
      <w:r w:rsidR="00CA561E">
        <w:t xml:space="preserve"> </w:t>
      </w:r>
      <w:r w:rsidR="00CA561E" w:rsidRPr="00524819">
        <w:t>You will find various economic data that might be useful from the Bureau of Economic Analysis of the U. S. Department of Commerce (</w:t>
      </w:r>
      <w:hyperlink r:id="rId9" w:history="1">
        <w:r w:rsidR="00CA561E" w:rsidRPr="009F4F90">
          <w:rPr>
            <w:rStyle w:val="Hyperlink"/>
          </w:rPr>
          <w:t>www.bea.gov</w:t>
        </w:r>
      </w:hyperlink>
      <w:r w:rsidR="00CA561E" w:rsidRPr="00524819">
        <w:t xml:space="preserve">).  </w:t>
      </w:r>
    </w:p>
    <w:p w14:paraId="3641F9FD" w14:textId="77777777" w:rsidR="007C06A0" w:rsidRPr="00524819" w:rsidRDefault="007C06A0"/>
    <w:p w14:paraId="1C202D5D" w14:textId="77777777" w:rsidR="00524819" w:rsidRPr="00524819" w:rsidRDefault="00524819">
      <w:pPr>
        <w:rPr>
          <w:b/>
        </w:rPr>
      </w:pPr>
      <w:r w:rsidRPr="00524819">
        <w:rPr>
          <w:b/>
        </w:rPr>
        <w:t xml:space="preserve">Deliverable: </w:t>
      </w:r>
    </w:p>
    <w:p w14:paraId="02F91DFF" w14:textId="77777777" w:rsidR="00CA561E" w:rsidRDefault="007C06A0">
      <w:r w:rsidRPr="00524819">
        <w:t xml:space="preserve">Your report, limited to </w:t>
      </w:r>
      <w:r w:rsidRPr="00524819">
        <w:rPr>
          <w:u w:val="single"/>
        </w:rPr>
        <w:t>two pages</w:t>
      </w:r>
      <w:r w:rsidRPr="00524819">
        <w:t xml:space="preserve">, will include your forecasts and a </w:t>
      </w:r>
      <w:r w:rsidRPr="00524819">
        <w:rPr>
          <w:u w:val="single"/>
        </w:rPr>
        <w:t>short</w:t>
      </w:r>
      <w:r w:rsidRPr="00524819">
        <w:t xml:space="preserve"> explanation of your method.</w:t>
      </w:r>
      <w:r w:rsidR="005B02A8" w:rsidRPr="00524819">
        <w:t xml:space="preserve">  You should make sure that an</w:t>
      </w:r>
      <w:r w:rsidR="00060F0E" w:rsidRPr="00524819">
        <w:t>y</w:t>
      </w:r>
      <w:r w:rsidR="005B02A8" w:rsidRPr="00524819">
        <w:t xml:space="preserve"> intelligent reader (or a newspaper reporter or a legislator) c</w:t>
      </w:r>
      <w:r w:rsidR="00814117">
        <w:t>an</w:t>
      </w:r>
      <w:r w:rsidR="005B02A8" w:rsidRPr="00524819">
        <w:t xml:space="preserve"> replicate what you have done from that explanation.</w:t>
      </w:r>
      <w:r w:rsidR="00060F0E" w:rsidRPr="00524819">
        <w:t xml:space="preserve"> </w:t>
      </w:r>
      <w:r w:rsidR="004020FF" w:rsidRPr="00524819">
        <w:t xml:space="preserve">  You absolutely must make clear your forecast for </w:t>
      </w:r>
      <w:r w:rsidR="00976F62">
        <w:t>each</w:t>
      </w:r>
      <w:r w:rsidR="00BB78CE" w:rsidRPr="00524819">
        <w:t xml:space="preserve"> </w:t>
      </w:r>
      <w:r w:rsidR="00BB78CE" w:rsidRPr="00DB3215">
        <w:rPr>
          <w:b/>
        </w:rPr>
        <w:t>quarter</w:t>
      </w:r>
      <w:r w:rsidR="00BB78CE" w:rsidRPr="00524819">
        <w:t xml:space="preserve"> and for </w:t>
      </w:r>
      <w:r w:rsidR="00976F62">
        <w:t xml:space="preserve">each </w:t>
      </w:r>
      <w:r w:rsidR="00BB78CE" w:rsidRPr="00DB3215">
        <w:rPr>
          <w:b/>
        </w:rPr>
        <w:t>fiscal year</w:t>
      </w:r>
      <w:r w:rsidR="004020FF" w:rsidRPr="00524819">
        <w:t xml:space="preserve"> and you must give only one number for each period</w:t>
      </w:r>
      <w:r w:rsidR="00976F62">
        <w:t xml:space="preserve"> and each tax</w:t>
      </w:r>
      <w:r w:rsidR="004020FF" w:rsidRPr="00524819">
        <w:t xml:space="preserve"> – </w:t>
      </w:r>
      <w:r w:rsidR="004020FF" w:rsidRPr="00524819">
        <w:rPr>
          <w:u w:val="single"/>
        </w:rPr>
        <w:t>no ranges or speculations</w:t>
      </w:r>
      <w:r w:rsidR="004020FF" w:rsidRPr="00524819">
        <w:t>.</w:t>
      </w:r>
      <w:r w:rsidR="00C2178B" w:rsidRPr="00524819">
        <w:t xml:space="preserve">  You can’t hide.</w:t>
      </w:r>
      <w:r w:rsidR="004020FF" w:rsidRPr="00524819">
        <w:t xml:space="preserve">  The Budget Committee needs </w:t>
      </w:r>
      <w:r w:rsidR="004020FF" w:rsidRPr="00DB3215">
        <w:rPr>
          <w:b/>
          <w:u w:val="single"/>
        </w:rPr>
        <w:t>a</w:t>
      </w:r>
      <w:r w:rsidR="004020FF" w:rsidRPr="00524819">
        <w:t xml:space="preserve"> number to use in building the budget. </w:t>
      </w:r>
      <w:r w:rsidR="00060F0E" w:rsidRPr="00524819">
        <w:t xml:space="preserve"> </w:t>
      </w:r>
    </w:p>
    <w:p w14:paraId="6E91EE1A" w14:textId="77777777" w:rsidR="00CA561E" w:rsidRDefault="00CA561E"/>
    <w:p w14:paraId="5C700E3B" w14:textId="7BFA9AF0" w:rsidR="00CA561E" w:rsidRDefault="00CA561E" w:rsidP="002F2348">
      <w:pPr>
        <w:ind w:left="1710"/>
      </w:pPr>
      <w:r>
        <w:t>Table 1: Indiana Revenue Forecasts</w:t>
      </w:r>
      <w:r w:rsidR="005B02A8" w:rsidRPr="00524819">
        <w:t xml:space="preserve"> </w:t>
      </w:r>
    </w:p>
    <w:tbl>
      <w:tblPr>
        <w:tblW w:w="5160" w:type="dxa"/>
        <w:jc w:val="center"/>
        <w:tblLook w:val="04A0" w:firstRow="1" w:lastRow="0" w:firstColumn="1" w:lastColumn="0" w:noHBand="0" w:noVBand="1"/>
      </w:tblPr>
      <w:tblGrid>
        <w:gridCol w:w="937"/>
        <w:gridCol w:w="1060"/>
        <w:gridCol w:w="1100"/>
        <w:gridCol w:w="1060"/>
        <w:gridCol w:w="1060"/>
      </w:tblGrid>
      <w:tr w:rsidR="00CA561E" w14:paraId="3E51F312" w14:textId="77777777" w:rsidTr="002F2348">
        <w:trPr>
          <w:trHeight w:val="560"/>
          <w:jc w:val="center"/>
        </w:trPr>
        <w:tc>
          <w:tcPr>
            <w:tcW w:w="880" w:type="dxa"/>
            <w:tcBorders>
              <w:top w:val="single" w:sz="4" w:space="0" w:color="auto"/>
              <w:left w:val="nil"/>
              <w:bottom w:val="single" w:sz="4" w:space="0" w:color="auto"/>
              <w:right w:val="nil"/>
            </w:tcBorders>
            <w:shd w:val="clear" w:color="auto" w:fill="auto"/>
            <w:vAlign w:val="center"/>
            <w:hideMark/>
          </w:tcPr>
          <w:p w14:paraId="3EB2EB27" w14:textId="77777777" w:rsidR="00CA561E" w:rsidRDefault="00CA561E">
            <w:pPr>
              <w:jc w:val="center"/>
              <w:rPr>
                <w:rFonts w:ascii="Courier" w:hAnsi="Courier"/>
                <w:sz w:val="20"/>
                <w:szCs w:val="20"/>
              </w:rPr>
            </w:pPr>
            <w:r>
              <w:rPr>
                <w:rFonts w:ascii="Courier" w:hAnsi="Courier"/>
                <w:sz w:val="20"/>
                <w:szCs w:val="20"/>
              </w:rPr>
              <w:t>Fiscal Year</w:t>
            </w:r>
          </w:p>
        </w:tc>
        <w:tc>
          <w:tcPr>
            <w:tcW w:w="1060" w:type="dxa"/>
            <w:tcBorders>
              <w:top w:val="single" w:sz="4" w:space="0" w:color="auto"/>
              <w:left w:val="nil"/>
              <w:bottom w:val="single" w:sz="4" w:space="0" w:color="auto"/>
              <w:right w:val="nil"/>
            </w:tcBorders>
            <w:shd w:val="clear" w:color="auto" w:fill="auto"/>
            <w:noWrap/>
            <w:vAlign w:val="center"/>
            <w:hideMark/>
          </w:tcPr>
          <w:p w14:paraId="70F40B16" w14:textId="77777777" w:rsidR="00CA561E" w:rsidRDefault="00CA561E">
            <w:pPr>
              <w:jc w:val="center"/>
              <w:rPr>
                <w:rFonts w:ascii="Courier" w:hAnsi="Courier"/>
                <w:sz w:val="20"/>
                <w:szCs w:val="20"/>
              </w:rPr>
            </w:pPr>
            <w:r>
              <w:rPr>
                <w:rFonts w:ascii="Courier" w:hAnsi="Courier"/>
                <w:sz w:val="20"/>
                <w:szCs w:val="20"/>
              </w:rPr>
              <w:t>Quarter</w:t>
            </w:r>
          </w:p>
        </w:tc>
        <w:tc>
          <w:tcPr>
            <w:tcW w:w="1100" w:type="dxa"/>
            <w:tcBorders>
              <w:top w:val="single" w:sz="4" w:space="0" w:color="auto"/>
              <w:left w:val="nil"/>
              <w:bottom w:val="single" w:sz="4" w:space="0" w:color="auto"/>
              <w:right w:val="nil"/>
            </w:tcBorders>
            <w:shd w:val="clear" w:color="auto" w:fill="auto"/>
            <w:noWrap/>
            <w:vAlign w:val="center"/>
            <w:hideMark/>
          </w:tcPr>
          <w:p w14:paraId="5D5A359D" w14:textId="77777777" w:rsidR="00CA561E" w:rsidRDefault="00CA561E">
            <w:pPr>
              <w:jc w:val="center"/>
              <w:rPr>
                <w:rFonts w:ascii="Courier" w:hAnsi="Courier"/>
                <w:sz w:val="20"/>
                <w:szCs w:val="20"/>
              </w:rPr>
            </w:pPr>
            <w:r>
              <w:rPr>
                <w:rFonts w:ascii="Courier" w:hAnsi="Courier"/>
                <w:sz w:val="20"/>
                <w:szCs w:val="20"/>
              </w:rPr>
              <w:t>PIT</w:t>
            </w:r>
          </w:p>
        </w:tc>
        <w:tc>
          <w:tcPr>
            <w:tcW w:w="1060" w:type="dxa"/>
            <w:tcBorders>
              <w:top w:val="single" w:sz="4" w:space="0" w:color="auto"/>
              <w:left w:val="nil"/>
              <w:bottom w:val="single" w:sz="4" w:space="0" w:color="auto"/>
              <w:right w:val="nil"/>
            </w:tcBorders>
            <w:shd w:val="clear" w:color="auto" w:fill="auto"/>
            <w:noWrap/>
            <w:vAlign w:val="center"/>
            <w:hideMark/>
          </w:tcPr>
          <w:p w14:paraId="68C7B428" w14:textId="77777777" w:rsidR="00CA561E" w:rsidRDefault="00CA561E">
            <w:pPr>
              <w:jc w:val="center"/>
              <w:rPr>
                <w:rFonts w:ascii="Courier" w:hAnsi="Courier"/>
                <w:sz w:val="20"/>
                <w:szCs w:val="20"/>
              </w:rPr>
            </w:pPr>
            <w:r>
              <w:rPr>
                <w:rFonts w:ascii="Courier" w:hAnsi="Courier"/>
                <w:sz w:val="20"/>
                <w:szCs w:val="20"/>
              </w:rPr>
              <w:t>RST</w:t>
            </w:r>
          </w:p>
        </w:tc>
        <w:tc>
          <w:tcPr>
            <w:tcW w:w="1060" w:type="dxa"/>
            <w:tcBorders>
              <w:top w:val="single" w:sz="4" w:space="0" w:color="auto"/>
              <w:left w:val="nil"/>
              <w:bottom w:val="single" w:sz="4" w:space="0" w:color="auto"/>
              <w:right w:val="nil"/>
            </w:tcBorders>
            <w:shd w:val="clear" w:color="auto" w:fill="auto"/>
            <w:noWrap/>
            <w:vAlign w:val="center"/>
            <w:hideMark/>
          </w:tcPr>
          <w:p w14:paraId="5057407E" w14:textId="77777777" w:rsidR="00CA561E" w:rsidRDefault="00CA561E">
            <w:pPr>
              <w:jc w:val="center"/>
              <w:rPr>
                <w:rFonts w:ascii="Courier" w:hAnsi="Courier"/>
                <w:sz w:val="20"/>
                <w:szCs w:val="20"/>
              </w:rPr>
            </w:pPr>
            <w:r>
              <w:rPr>
                <w:rFonts w:ascii="Courier" w:hAnsi="Courier"/>
                <w:sz w:val="20"/>
                <w:szCs w:val="20"/>
              </w:rPr>
              <w:t>Total</w:t>
            </w:r>
          </w:p>
        </w:tc>
      </w:tr>
      <w:tr w:rsidR="00CA561E" w14:paraId="40246CC0" w14:textId="77777777" w:rsidTr="002F2348">
        <w:trPr>
          <w:trHeight w:val="320"/>
          <w:jc w:val="center"/>
        </w:trPr>
        <w:tc>
          <w:tcPr>
            <w:tcW w:w="880" w:type="dxa"/>
            <w:tcBorders>
              <w:top w:val="nil"/>
              <w:left w:val="nil"/>
              <w:bottom w:val="nil"/>
              <w:right w:val="nil"/>
            </w:tcBorders>
            <w:shd w:val="clear" w:color="auto" w:fill="auto"/>
            <w:noWrap/>
            <w:vAlign w:val="center"/>
            <w:hideMark/>
          </w:tcPr>
          <w:p w14:paraId="68E6D673" w14:textId="773A189D" w:rsidR="00CA561E" w:rsidRDefault="00CA561E">
            <w:r>
              <w:t>2</w:t>
            </w:r>
            <w:r w:rsidR="00F633AE">
              <w:t>1/</w:t>
            </w:r>
            <w:r>
              <w:t>2</w:t>
            </w:r>
            <w:r w:rsidR="00C66C7E">
              <w:t>2</w:t>
            </w:r>
          </w:p>
        </w:tc>
        <w:tc>
          <w:tcPr>
            <w:tcW w:w="1060" w:type="dxa"/>
            <w:tcBorders>
              <w:top w:val="nil"/>
              <w:left w:val="nil"/>
              <w:bottom w:val="nil"/>
              <w:right w:val="nil"/>
            </w:tcBorders>
            <w:shd w:val="clear" w:color="auto" w:fill="auto"/>
            <w:noWrap/>
            <w:vAlign w:val="bottom"/>
            <w:hideMark/>
          </w:tcPr>
          <w:p w14:paraId="7ABDDC9B" w14:textId="77777777" w:rsidR="00CA561E" w:rsidRDefault="00CA561E">
            <w:pPr>
              <w:jc w:val="center"/>
            </w:pPr>
            <w:r>
              <w:t>3</w:t>
            </w:r>
          </w:p>
        </w:tc>
        <w:tc>
          <w:tcPr>
            <w:tcW w:w="1100" w:type="dxa"/>
            <w:tcBorders>
              <w:top w:val="nil"/>
              <w:left w:val="nil"/>
              <w:bottom w:val="nil"/>
              <w:right w:val="nil"/>
            </w:tcBorders>
            <w:shd w:val="clear" w:color="auto" w:fill="auto"/>
            <w:noWrap/>
            <w:vAlign w:val="bottom"/>
            <w:hideMark/>
          </w:tcPr>
          <w:p w14:paraId="60C5168D" w14:textId="77777777" w:rsidR="00CA561E" w:rsidRDefault="00CA561E">
            <w:pPr>
              <w:jc w:val="center"/>
            </w:pPr>
          </w:p>
        </w:tc>
        <w:tc>
          <w:tcPr>
            <w:tcW w:w="1060" w:type="dxa"/>
            <w:tcBorders>
              <w:top w:val="nil"/>
              <w:left w:val="nil"/>
              <w:bottom w:val="nil"/>
              <w:right w:val="nil"/>
            </w:tcBorders>
            <w:shd w:val="clear" w:color="auto" w:fill="auto"/>
            <w:noWrap/>
            <w:vAlign w:val="bottom"/>
            <w:hideMark/>
          </w:tcPr>
          <w:p w14:paraId="03FEFCF6" w14:textId="77777777" w:rsidR="00CA561E" w:rsidRDefault="00CA561E">
            <w:pPr>
              <w:rPr>
                <w:sz w:val="20"/>
                <w:szCs w:val="20"/>
              </w:rPr>
            </w:pPr>
          </w:p>
        </w:tc>
        <w:tc>
          <w:tcPr>
            <w:tcW w:w="1060" w:type="dxa"/>
            <w:tcBorders>
              <w:top w:val="nil"/>
              <w:left w:val="nil"/>
              <w:bottom w:val="nil"/>
              <w:right w:val="nil"/>
            </w:tcBorders>
            <w:shd w:val="clear" w:color="auto" w:fill="auto"/>
            <w:noWrap/>
            <w:vAlign w:val="bottom"/>
            <w:hideMark/>
          </w:tcPr>
          <w:p w14:paraId="683B25C2" w14:textId="77777777" w:rsidR="00CA561E" w:rsidRDefault="00CA561E">
            <w:pPr>
              <w:rPr>
                <w:sz w:val="20"/>
                <w:szCs w:val="20"/>
              </w:rPr>
            </w:pPr>
          </w:p>
        </w:tc>
      </w:tr>
      <w:tr w:rsidR="00CA561E" w14:paraId="698668C1" w14:textId="77777777" w:rsidTr="002F2348">
        <w:trPr>
          <w:trHeight w:val="320"/>
          <w:jc w:val="center"/>
        </w:trPr>
        <w:tc>
          <w:tcPr>
            <w:tcW w:w="880" w:type="dxa"/>
            <w:tcBorders>
              <w:top w:val="nil"/>
              <w:left w:val="nil"/>
              <w:bottom w:val="nil"/>
              <w:right w:val="nil"/>
            </w:tcBorders>
            <w:shd w:val="clear" w:color="auto" w:fill="auto"/>
            <w:noWrap/>
            <w:vAlign w:val="center"/>
            <w:hideMark/>
          </w:tcPr>
          <w:p w14:paraId="506CE375" w14:textId="065107AD" w:rsidR="00CA561E" w:rsidRDefault="00CA561E">
            <w:r>
              <w:t>2</w:t>
            </w:r>
            <w:r w:rsidR="00F633AE">
              <w:t>1/</w:t>
            </w:r>
            <w:r>
              <w:t>2</w:t>
            </w:r>
            <w:r w:rsidR="00C66C7E">
              <w:t>2</w:t>
            </w:r>
          </w:p>
        </w:tc>
        <w:tc>
          <w:tcPr>
            <w:tcW w:w="1060" w:type="dxa"/>
            <w:tcBorders>
              <w:top w:val="nil"/>
              <w:left w:val="nil"/>
              <w:bottom w:val="nil"/>
              <w:right w:val="nil"/>
            </w:tcBorders>
            <w:shd w:val="clear" w:color="auto" w:fill="auto"/>
            <w:noWrap/>
            <w:vAlign w:val="bottom"/>
            <w:hideMark/>
          </w:tcPr>
          <w:p w14:paraId="7C5ED3F2" w14:textId="77777777" w:rsidR="00CA561E" w:rsidRDefault="00CA561E">
            <w:pPr>
              <w:jc w:val="center"/>
            </w:pPr>
            <w:r>
              <w:t>4</w:t>
            </w:r>
          </w:p>
        </w:tc>
        <w:tc>
          <w:tcPr>
            <w:tcW w:w="1100" w:type="dxa"/>
            <w:tcBorders>
              <w:top w:val="nil"/>
              <w:left w:val="nil"/>
              <w:bottom w:val="nil"/>
              <w:right w:val="nil"/>
            </w:tcBorders>
            <w:shd w:val="clear" w:color="auto" w:fill="auto"/>
            <w:noWrap/>
            <w:vAlign w:val="bottom"/>
            <w:hideMark/>
          </w:tcPr>
          <w:p w14:paraId="5CF5DFF3" w14:textId="77777777" w:rsidR="00CA561E" w:rsidRDefault="00CA561E">
            <w:pPr>
              <w:jc w:val="center"/>
            </w:pPr>
          </w:p>
        </w:tc>
        <w:tc>
          <w:tcPr>
            <w:tcW w:w="1060" w:type="dxa"/>
            <w:tcBorders>
              <w:top w:val="nil"/>
              <w:left w:val="nil"/>
              <w:bottom w:val="nil"/>
              <w:right w:val="nil"/>
            </w:tcBorders>
            <w:shd w:val="clear" w:color="auto" w:fill="auto"/>
            <w:noWrap/>
            <w:vAlign w:val="bottom"/>
            <w:hideMark/>
          </w:tcPr>
          <w:p w14:paraId="5F9D62FD" w14:textId="77777777" w:rsidR="00CA561E" w:rsidRDefault="00CA561E">
            <w:pPr>
              <w:rPr>
                <w:sz w:val="20"/>
                <w:szCs w:val="20"/>
              </w:rPr>
            </w:pPr>
          </w:p>
        </w:tc>
        <w:tc>
          <w:tcPr>
            <w:tcW w:w="1060" w:type="dxa"/>
            <w:tcBorders>
              <w:top w:val="nil"/>
              <w:left w:val="nil"/>
              <w:bottom w:val="nil"/>
              <w:right w:val="nil"/>
            </w:tcBorders>
            <w:shd w:val="clear" w:color="auto" w:fill="auto"/>
            <w:noWrap/>
            <w:vAlign w:val="bottom"/>
            <w:hideMark/>
          </w:tcPr>
          <w:p w14:paraId="33EB6B76" w14:textId="77777777" w:rsidR="00CA561E" w:rsidRDefault="00CA561E">
            <w:pPr>
              <w:rPr>
                <w:sz w:val="20"/>
                <w:szCs w:val="20"/>
              </w:rPr>
            </w:pPr>
          </w:p>
        </w:tc>
      </w:tr>
      <w:tr w:rsidR="00CA561E" w14:paraId="0661BB17" w14:textId="77777777" w:rsidTr="002F2348">
        <w:trPr>
          <w:trHeight w:val="320"/>
          <w:jc w:val="center"/>
        </w:trPr>
        <w:tc>
          <w:tcPr>
            <w:tcW w:w="880" w:type="dxa"/>
            <w:tcBorders>
              <w:top w:val="single" w:sz="4" w:space="0" w:color="auto"/>
              <w:left w:val="nil"/>
              <w:bottom w:val="single" w:sz="4" w:space="0" w:color="auto"/>
              <w:right w:val="nil"/>
            </w:tcBorders>
            <w:shd w:val="clear" w:color="auto" w:fill="auto"/>
            <w:noWrap/>
            <w:vAlign w:val="bottom"/>
            <w:hideMark/>
          </w:tcPr>
          <w:p w14:paraId="646D9A9D" w14:textId="77777777" w:rsidR="00CA561E" w:rsidRDefault="00CA561E">
            <w:pPr>
              <w:rPr>
                <w:rFonts w:ascii="Courier" w:hAnsi="Courier"/>
                <w:sz w:val="20"/>
                <w:szCs w:val="20"/>
              </w:rPr>
            </w:pPr>
            <w:r>
              <w:rPr>
                <w:rFonts w:ascii="Courier" w:hAnsi="Courier"/>
                <w:sz w:val="20"/>
                <w:szCs w:val="20"/>
              </w:rPr>
              <w:lastRenderedPageBreak/>
              <w:t>Total</w:t>
            </w:r>
          </w:p>
        </w:tc>
        <w:tc>
          <w:tcPr>
            <w:tcW w:w="1060" w:type="dxa"/>
            <w:tcBorders>
              <w:top w:val="single" w:sz="4" w:space="0" w:color="auto"/>
              <w:left w:val="nil"/>
              <w:bottom w:val="single" w:sz="4" w:space="0" w:color="auto"/>
              <w:right w:val="nil"/>
            </w:tcBorders>
            <w:shd w:val="clear" w:color="auto" w:fill="auto"/>
            <w:noWrap/>
            <w:vAlign w:val="bottom"/>
            <w:hideMark/>
          </w:tcPr>
          <w:p w14:paraId="5BD16574" w14:textId="77777777" w:rsidR="00CA561E" w:rsidRDefault="00CA561E">
            <w:pPr>
              <w:rPr>
                <w:rFonts w:ascii="Courier" w:hAnsi="Courier"/>
                <w:sz w:val="20"/>
                <w:szCs w:val="20"/>
              </w:rPr>
            </w:pPr>
            <w:r>
              <w:rPr>
                <w:rFonts w:ascii="Courier" w:hAnsi="Courier"/>
                <w:sz w:val="20"/>
                <w:szCs w:val="20"/>
              </w:rPr>
              <w:t> </w:t>
            </w:r>
          </w:p>
        </w:tc>
        <w:tc>
          <w:tcPr>
            <w:tcW w:w="1100" w:type="dxa"/>
            <w:tcBorders>
              <w:top w:val="single" w:sz="4" w:space="0" w:color="auto"/>
              <w:left w:val="nil"/>
              <w:bottom w:val="single" w:sz="4" w:space="0" w:color="auto"/>
              <w:right w:val="nil"/>
            </w:tcBorders>
            <w:shd w:val="clear" w:color="auto" w:fill="auto"/>
            <w:noWrap/>
            <w:vAlign w:val="bottom"/>
            <w:hideMark/>
          </w:tcPr>
          <w:p w14:paraId="0B2E0CFA" w14:textId="77777777" w:rsidR="00CA561E" w:rsidRDefault="00CA561E">
            <w:pPr>
              <w:rPr>
                <w:rFonts w:ascii="Courier" w:hAnsi="Courier"/>
                <w:sz w:val="20"/>
                <w:szCs w:val="20"/>
              </w:rPr>
            </w:pPr>
            <w:r>
              <w:rPr>
                <w:rFonts w:ascii="Courier" w:hAnsi="Courier"/>
                <w:sz w:val="20"/>
                <w:szCs w:val="20"/>
              </w:rPr>
              <w:t> </w:t>
            </w:r>
          </w:p>
        </w:tc>
        <w:tc>
          <w:tcPr>
            <w:tcW w:w="1060" w:type="dxa"/>
            <w:tcBorders>
              <w:top w:val="single" w:sz="4" w:space="0" w:color="auto"/>
              <w:left w:val="nil"/>
              <w:bottom w:val="single" w:sz="4" w:space="0" w:color="auto"/>
              <w:right w:val="nil"/>
            </w:tcBorders>
            <w:shd w:val="clear" w:color="auto" w:fill="auto"/>
            <w:noWrap/>
            <w:vAlign w:val="bottom"/>
            <w:hideMark/>
          </w:tcPr>
          <w:p w14:paraId="00B493A3" w14:textId="77777777" w:rsidR="00CA561E" w:rsidRDefault="00CA561E">
            <w:pPr>
              <w:rPr>
                <w:rFonts w:ascii="Courier" w:hAnsi="Courier"/>
                <w:sz w:val="20"/>
                <w:szCs w:val="20"/>
              </w:rPr>
            </w:pPr>
            <w:r>
              <w:rPr>
                <w:rFonts w:ascii="Courier" w:hAnsi="Courier"/>
                <w:sz w:val="20"/>
                <w:szCs w:val="20"/>
              </w:rPr>
              <w:t> </w:t>
            </w:r>
          </w:p>
        </w:tc>
        <w:tc>
          <w:tcPr>
            <w:tcW w:w="1060" w:type="dxa"/>
            <w:tcBorders>
              <w:top w:val="single" w:sz="4" w:space="0" w:color="auto"/>
              <w:left w:val="nil"/>
              <w:bottom w:val="single" w:sz="4" w:space="0" w:color="auto"/>
              <w:right w:val="nil"/>
            </w:tcBorders>
            <w:shd w:val="clear" w:color="auto" w:fill="auto"/>
            <w:noWrap/>
            <w:vAlign w:val="bottom"/>
            <w:hideMark/>
          </w:tcPr>
          <w:p w14:paraId="2A908C43" w14:textId="77777777" w:rsidR="00CA561E" w:rsidRDefault="00CA561E">
            <w:pPr>
              <w:rPr>
                <w:rFonts w:ascii="Courier" w:hAnsi="Courier"/>
                <w:sz w:val="20"/>
                <w:szCs w:val="20"/>
              </w:rPr>
            </w:pPr>
            <w:r>
              <w:rPr>
                <w:rFonts w:ascii="Courier" w:hAnsi="Courier"/>
                <w:sz w:val="20"/>
                <w:szCs w:val="20"/>
              </w:rPr>
              <w:t> </w:t>
            </w:r>
          </w:p>
        </w:tc>
      </w:tr>
      <w:tr w:rsidR="00CA561E" w14:paraId="379D30FA" w14:textId="77777777" w:rsidTr="002F2348">
        <w:trPr>
          <w:trHeight w:val="320"/>
          <w:jc w:val="center"/>
        </w:trPr>
        <w:tc>
          <w:tcPr>
            <w:tcW w:w="880" w:type="dxa"/>
            <w:tcBorders>
              <w:top w:val="nil"/>
              <w:left w:val="nil"/>
              <w:bottom w:val="nil"/>
              <w:right w:val="nil"/>
            </w:tcBorders>
            <w:shd w:val="clear" w:color="auto" w:fill="auto"/>
            <w:noWrap/>
            <w:vAlign w:val="center"/>
            <w:hideMark/>
          </w:tcPr>
          <w:p w14:paraId="6E530AAD" w14:textId="49345484" w:rsidR="00CA561E" w:rsidRDefault="00CA561E">
            <w:r>
              <w:t>2</w:t>
            </w:r>
            <w:r w:rsidR="00F633AE">
              <w:t>2/23</w:t>
            </w:r>
          </w:p>
        </w:tc>
        <w:tc>
          <w:tcPr>
            <w:tcW w:w="1060" w:type="dxa"/>
            <w:tcBorders>
              <w:top w:val="nil"/>
              <w:left w:val="nil"/>
              <w:bottom w:val="nil"/>
              <w:right w:val="nil"/>
            </w:tcBorders>
            <w:shd w:val="clear" w:color="auto" w:fill="auto"/>
            <w:noWrap/>
            <w:vAlign w:val="bottom"/>
            <w:hideMark/>
          </w:tcPr>
          <w:p w14:paraId="02CD8294" w14:textId="77777777" w:rsidR="00CA561E" w:rsidRDefault="00CA561E">
            <w:pPr>
              <w:jc w:val="center"/>
            </w:pPr>
            <w:r>
              <w:t>1</w:t>
            </w:r>
          </w:p>
        </w:tc>
        <w:tc>
          <w:tcPr>
            <w:tcW w:w="1100" w:type="dxa"/>
            <w:tcBorders>
              <w:top w:val="nil"/>
              <w:left w:val="nil"/>
              <w:bottom w:val="nil"/>
              <w:right w:val="nil"/>
            </w:tcBorders>
            <w:shd w:val="clear" w:color="auto" w:fill="auto"/>
            <w:noWrap/>
            <w:vAlign w:val="bottom"/>
            <w:hideMark/>
          </w:tcPr>
          <w:p w14:paraId="21171D0B" w14:textId="77777777" w:rsidR="00CA561E" w:rsidRDefault="00CA561E">
            <w:pPr>
              <w:jc w:val="center"/>
            </w:pPr>
          </w:p>
        </w:tc>
        <w:tc>
          <w:tcPr>
            <w:tcW w:w="1060" w:type="dxa"/>
            <w:tcBorders>
              <w:top w:val="nil"/>
              <w:left w:val="nil"/>
              <w:bottom w:val="nil"/>
              <w:right w:val="nil"/>
            </w:tcBorders>
            <w:shd w:val="clear" w:color="auto" w:fill="auto"/>
            <w:noWrap/>
            <w:vAlign w:val="bottom"/>
            <w:hideMark/>
          </w:tcPr>
          <w:p w14:paraId="0EC1E819" w14:textId="77777777" w:rsidR="00CA561E" w:rsidRDefault="00CA561E">
            <w:pPr>
              <w:rPr>
                <w:sz w:val="20"/>
                <w:szCs w:val="20"/>
              </w:rPr>
            </w:pPr>
          </w:p>
        </w:tc>
        <w:tc>
          <w:tcPr>
            <w:tcW w:w="1060" w:type="dxa"/>
            <w:tcBorders>
              <w:top w:val="nil"/>
              <w:left w:val="nil"/>
              <w:bottom w:val="nil"/>
              <w:right w:val="nil"/>
            </w:tcBorders>
            <w:shd w:val="clear" w:color="auto" w:fill="auto"/>
            <w:noWrap/>
            <w:vAlign w:val="bottom"/>
            <w:hideMark/>
          </w:tcPr>
          <w:p w14:paraId="3FF1BAEF" w14:textId="77777777" w:rsidR="00CA561E" w:rsidRDefault="00CA561E">
            <w:pPr>
              <w:rPr>
                <w:sz w:val="20"/>
                <w:szCs w:val="20"/>
              </w:rPr>
            </w:pPr>
          </w:p>
        </w:tc>
      </w:tr>
      <w:tr w:rsidR="00CA561E" w14:paraId="5724FCC0" w14:textId="77777777" w:rsidTr="002F2348">
        <w:trPr>
          <w:trHeight w:val="320"/>
          <w:jc w:val="center"/>
        </w:trPr>
        <w:tc>
          <w:tcPr>
            <w:tcW w:w="880" w:type="dxa"/>
            <w:tcBorders>
              <w:top w:val="nil"/>
              <w:left w:val="nil"/>
              <w:bottom w:val="nil"/>
              <w:right w:val="nil"/>
            </w:tcBorders>
            <w:shd w:val="clear" w:color="auto" w:fill="auto"/>
            <w:noWrap/>
            <w:vAlign w:val="center"/>
            <w:hideMark/>
          </w:tcPr>
          <w:p w14:paraId="246CAB9B" w14:textId="5F4180FB" w:rsidR="00CA561E" w:rsidRDefault="00F633AE">
            <w:r>
              <w:t>22/23</w:t>
            </w:r>
          </w:p>
        </w:tc>
        <w:tc>
          <w:tcPr>
            <w:tcW w:w="1060" w:type="dxa"/>
            <w:tcBorders>
              <w:top w:val="nil"/>
              <w:left w:val="nil"/>
              <w:bottom w:val="nil"/>
              <w:right w:val="nil"/>
            </w:tcBorders>
            <w:shd w:val="clear" w:color="auto" w:fill="auto"/>
            <w:noWrap/>
            <w:vAlign w:val="bottom"/>
            <w:hideMark/>
          </w:tcPr>
          <w:p w14:paraId="78002967" w14:textId="77777777" w:rsidR="00CA561E" w:rsidRDefault="00CA561E">
            <w:pPr>
              <w:jc w:val="center"/>
            </w:pPr>
            <w:r>
              <w:t>2</w:t>
            </w:r>
          </w:p>
        </w:tc>
        <w:tc>
          <w:tcPr>
            <w:tcW w:w="1100" w:type="dxa"/>
            <w:tcBorders>
              <w:top w:val="nil"/>
              <w:left w:val="nil"/>
              <w:bottom w:val="nil"/>
              <w:right w:val="nil"/>
            </w:tcBorders>
            <w:shd w:val="clear" w:color="auto" w:fill="auto"/>
            <w:noWrap/>
            <w:vAlign w:val="bottom"/>
            <w:hideMark/>
          </w:tcPr>
          <w:p w14:paraId="39415B4A" w14:textId="77777777" w:rsidR="00CA561E" w:rsidRDefault="00CA561E">
            <w:pPr>
              <w:jc w:val="center"/>
            </w:pPr>
          </w:p>
        </w:tc>
        <w:tc>
          <w:tcPr>
            <w:tcW w:w="1060" w:type="dxa"/>
            <w:tcBorders>
              <w:top w:val="nil"/>
              <w:left w:val="nil"/>
              <w:bottom w:val="nil"/>
              <w:right w:val="nil"/>
            </w:tcBorders>
            <w:shd w:val="clear" w:color="auto" w:fill="auto"/>
            <w:noWrap/>
            <w:vAlign w:val="bottom"/>
            <w:hideMark/>
          </w:tcPr>
          <w:p w14:paraId="1B57FDED" w14:textId="77777777" w:rsidR="00CA561E" w:rsidRDefault="00CA561E">
            <w:pPr>
              <w:rPr>
                <w:sz w:val="20"/>
                <w:szCs w:val="20"/>
              </w:rPr>
            </w:pPr>
          </w:p>
        </w:tc>
        <w:tc>
          <w:tcPr>
            <w:tcW w:w="1060" w:type="dxa"/>
            <w:tcBorders>
              <w:top w:val="nil"/>
              <w:left w:val="nil"/>
              <w:bottom w:val="nil"/>
              <w:right w:val="nil"/>
            </w:tcBorders>
            <w:shd w:val="clear" w:color="auto" w:fill="auto"/>
            <w:noWrap/>
            <w:vAlign w:val="bottom"/>
            <w:hideMark/>
          </w:tcPr>
          <w:p w14:paraId="19B530FC" w14:textId="77777777" w:rsidR="00CA561E" w:rsidRDefault="00CA561E">
            <w:pPr>
              <w:rPr>
                <w:sz w:val="20"/>
                <w:szCs w:val="20"/>
              </w:rPr>
            </w:pPr>
          </w:p>
        </w:tc>
      </w:tr>
      <w:tr w:rsidR="00CA561E" w14:paraId="65C2249F" w14:textId="77777777" w:rsidTr="002F2348">
        <w:trPr>
          <w:trHeight w:val="320"/>
          <w:jc w:val="center"/>
        </w:trPr>
        <w:tc>
          <w:tcPr>
            <w:tcW w:w="880" w:type="dxa"/>
            <w:tcBorders>
              <w:top w:val="nil"/>
              <w:left w:val="nil"/>
              <w:bottom w:val="nil"/>
              <w:right w:val="nil"/>
            </w:tcBorders>
            <w:shd w:val="clear" w:color="auto" w:fill="auto"/>
            <w:noWrap/>
            <w:vAlign w:val="center"/>
            <w:hideMark/>
          </w:tcPr>
          <w:p w14:paraId="41013D59" w14:textId="1FEC1380" w:rsidR="00CA561E" w:rsidRDefault="00F633AE">
            <w:r>
              <w:t>22/23</w:t>
            </w:r>
          </w:p>
        </w:tc>
        <w:tc>
          <w:tcPr>
            <w:tcW w:w="1060" w:type="dxa"/>
            <w:tcBorders>
              <w:top w:val="nil"/>
              <w:left w:val="nil"/>
              <w:bottom w:val="nil"/>
              <w:right w:val="nil"/>
            </w:tcBorders>
            <w:shd w:val="clear" w:color="auto" w:fill="auto"/>
            <w:noWrap/>
            <w:vAlign w:val="bottom"/>
            <w:hideMark/>
          </w:tcPr>
          <w:p w14:paraId="679B52E0" w14:textId="77777777" w:rsidR="00CA561E" w:rsidRDefault="00CA561E">
            <w:pPr>
              <w:jc w:val="center"/>
            </w:pPr>
            <w:r>
              <w:t>3</w:t>
            </w:r>
          </w:p>
        </w:tc>
        <w:tc>
          <w:tcPr>
            <w:tcW w:w="1100" w:type="dxa"/>
            <w:tcBorders>
              <w:top w:val="nil"/>
              <w:left w:val="nil"/>
              <w:bottom w:val="nil"/>
              <w:right w:val="nil"/>
            </w:tcBorders>
            <w:shd w:val="clear" w:color="auto" w:fill="auto"/>
            <w:noWrap/>
            <w:vAlign w:val="bottom"/>
            <w:hideMark/>
          </w:tcPr>
          <w:p w14:paraId="4CC74985" w14:textId="77777777" w:rsidR="00CA561E" w:rsidRDefault="00CA561E">
            <w:pPr>
              <w:jc w:val="center"/>
            </w:pPr>
          </w:p>
        </w:tc>
        <w:tc>
          <w:tcPr>
            <w:tcW w:w="1060" w:type="dxa"/>
            <w:tcBorders>
              <w:top w:val="nil"/>
              <w:left w:val="nil"/>
              <w:bottom w:val="nil"/>
              <w:right w:val="nil"/>
            </w:tcBorders>
            <w:shd w:val="clear" w:color="auto" w:fill="auto"/>
            <w:noWrap/>
            <w:vAlign w:val="bottom"/>
            <w:hideMark/>
          </w:tcPr>
          <w:p w14:paraId="145C4D9C" w14:textId="77777777" w:rsidR="00CA561E" w:rsidRDefault="00CA561E">
            <w:pPr>
              <w:rPr>
                <w:sz w:val="20"/>
                <w:szCs w:val="20"/>
              </w:rPr>
            </w:pPr>
          </w:p>
        </w:tc>
        <w:tc>
          <w:tcPr>
            <w:tcW w:w="1060" w:type="dxa"/>
            <w:tcBorders>
              <w:top w:val="nil"/>
              <w:left w:val="nil"/>
              <w:bottom w:val="nil"/>
              <w:right w:val="nil"/>
            </w:tcBorders>
            <w:shd w:val="clear" w:color="auto" w:fill="auto"/>
            <w:noWrap/>
            <w:vAlign w:val="bottom"/>
            <w:hideMark/>
          </w:tcPr>
          <w:p w14:paraId="341A086E" w14:textId="77777777" w:rsidR="00CA561E" w:rsidRDefault="00CA561E">
            <w:pPr>
              <w:rPr>
                <w:sz w:val="20"/>
                <w:szCs w:val="20"/>
              </w:rPr>
            </w:pPr>
          </w:p>
        </w:tc>
      </w:tr>
      <w:tr w:rsidR="00CA561E" w14:paraId="5A466D84" w14:textId="77777777" w:rsidTr="002F2348">
        <w:trPr>
          <w:trHeight w:val="320"/>
          <w:jc w:val="center"/>
        </w:trPr>
        <w:tc>
          <w:tcPr>
            <w:tcW w:w="880" w:type="dxa"/>
            <w:tcBorders>
              <w:top w:val="nil"/>
              <w:left w:val="nil"/>
              <w:bottom w:val="single" w:sz="4" w:space="0" w:color="auto"/>
              <w:right w:val="nil"/>
            </w:tcBorders>
            <w:shd w:val="clear" w:color="auto" w:fill="auto"/>
            <w:noWrap/>
            <w:vAlign w:val="center"/>
            <w:hideMark/>
          </w:tcPr>
          <w:p w14:paraId="6403DE99" w14:textId="3B970D93" w:rsidR="00CA561E" w:rsidRDefault="00F633AE">
            <w:r>
              <w:t>22/23</w:t>
            </w:r>
          </w:p>
        </w:tc>
        <w:tc>
          <w:tcPr>
            <w:tcW w:w="1060" w:type="dxa"/>
            <w:tcBorders>
              <w:top w:val="nil"/>
              <w:left w:val="nil"/>
              <w:bottom w:val="single" w:sz="4" w:space="0" w:color="auto"/>
              <w:right w:val="nil"/>
            </w:tcBorders>
            <w:shd w:val="clear" w:color="auto" w:fill="auto"/>
            <w:noWrap/>
            <w:vAlign w:val="bottom"/>
            <w:hideMark/>
          </w:tcPr>
          <w:p w14:paraId="037F7092" w14:textId="77777777" w:rsidR="00CA561E" w:rsidRDefault="00CA561E">
            <w:pPr>
              <w:jc w:val="center"/>
            </w:pPr>
            <w:r>
              <w:t>4</w:t>
            </w:r>
          </w:p>
        </w:tc>
        <w:tc>
          <w:tcPr>
            <w:tcW w:w="1100" w:type="dxa"/>
            <w:tcBorders>
              <w:top w:val="nil"/>
              <w:left w:val="nil"/>
              <w:bottom w:val="single" w:sz="4" w:space="0" w:color="auto"/>
              <w:right w:val="nil"/>
            </w:tcBorders>
            <w:shd w:val="clear" w:color="auto" w:fill="auto"/>
            <w:noWrap/>
            <w:vAlign w:val="bottom"/>
            <w:hideMark/>
          </w:tcPr>
          <w:p w14:paraId="4B0E5479" w14:textId="77777777" w:rsidR="00CA561E" w:rsidRDefault="00CA561E">
            <w:pPr>
              <w:rPr>
                <w:rFonts w:ascii="Courier" w:hAnsi="Courier"/>
                <w:sz w:val="20"/>
                <w:szCs w:val="20"/>
              </w:rPr>
            </w:pPr>
            <w:r>
              <w:rPr>
                <w:rFonts w:ascii="Courier" w:hAnsi="Courier"/>
                <w:sz w:val="20"/>
                <w:szCs w:val="20"/>
              </w:rPr>
              <w:t> </w:t>
            </w:r>
          </w:p>
        </w:tc>
        <w:tc>
          <w:tcPr>
            <w:tcW w:w="1060" w:type="dxa"/>
            <w:tcBorders>
              <w:top w:val="nil"/>
              <w:left w:val="nil"/>
              <w:bottom w:val="single" w:sz="4" w:space="0" w:color="auto"/>
              <w:right w:val="nil"/>
            </w:tcBorders>
            <w:shd w:val="clear" w:color="auto" w:fill="auto"/>
            <w:noWrap/>
            <w:vAlign w:val="bottom"/>
            <w:hideMark/>
          </w:tcPr>
          <w:p w14:paraId="7FCB9213" w14:textId="77777777" w:rsidR="00CA561E" w:rsidRDefault="00CA561E">
            <w:pPr>
              <w:rPr>
                <w:rFonts w:ascii="Courier" w:hAnsi="Courier"/>
                <w:sz w:val="20"/>
                <w:szCs w:val="20"/>
              </w:rPr>
            </w:pPr>
            <w:r>
              <w:rPr>
                <w:rFonts w:ascii="Courier" w:hAnsi="Courier"/>
                <w:sz w:val="20"/>
                <w:szCs w:val="20"/>
              </w:rPr>
              <w:t> </w:t>
            </w:r>
          </w:p>
        </w:tc>
        <w:tc>
          <w:tcPr>
            <w:tcW w:w="1060" w:type="dxa"/>
            <w:tcBorders>
              <w:top w:val="nil"/>
              <w:left w:val="nil"/>
              <w:bottom w:val="single" w:sz="4" w:space="0" w:color="auto"/>
              <w:right w:val="nil"/>
            </w:tcBorders>
            <w:shd w:val="clear" w:color="auto" w:fill="auto"/>
            <w:noWrap/>
            <w:vAlign w:val="bottom"/>
            <w:hideMark/>
          </w:tcPr>
          <w:p w14:paraId="3FAFE73A" w14:textId="77777777" w:rsidR="00CA561E" w:rsidRDefault="00CA561E">
            <w:pPr>
              <w:rPr>
                <w:rFonts w:ascii="Courier" w:hAnsi="Courier"/>
                <w:sz w:val="20"/>
                <w:szCs w:val="20"/>
              </w:rPr>
            </w:pPr>
            <w:r>
              <w:rPr>
                <w:rFonts w:ascii="Courier" w:hAnsi="Courier"/>
                <w:sz w:val="20"/>
                <w:szCs w:val="20"/>
              </w:rPr>
              <w:t> </w:t>
            </w:r>
          </w:p>
        </w:tc>
      </w:tr>
      <w:tr w:rsidR="00CA561E" w14:paraId="54ED42FF" w14:textId="77777777" w:rsidTr="002F2348">
        <w:trPr>
          <w:trHeight w:val="320"/>
          <w:jc w:val="center"/>
        </w:trPr>
        <w:tc>
          <w:tcPr>
            <w:tcW w:w="880" w:type="dxa"/>
            <w:tcBorders>
              <w:top w:val="nil"/>
              <w:left w:val="nil"/>
              <w:bottom w:val="single" w:sz="4" w:space="0" w:color="auto"/>
              <w:right w:val="nil"/>
            </w:tcBorders>
            <w:shd w:val="clear" w:color="auto" w:fill="auto"/>
            <w:noWrap/>
            <w:vAlign w:val="bottom"/>
            <w:hideMark/>
          </w:tcPr>
          <w:p w14:paraId="5AE44BCD" w14:textId="77777777" w:rsidR="00CA561E" w:rsidRDefault="00CA561E">
            <w:pPr>
              <w:rPr>
                <w:rFonts w:ascii="Courier" w:hAnsi="Courier"/>
                <w:sz w:val="20"/>
                <w:szCs w:val="20"/>
              </w:rPr>
            </w:pPr>
            <w:r>
              <w:rPr>
                <w:rFonts w:ascii="Courier" w:hAnsi="Courier"/>
                <w:sz w:val="20"/>
                <w:szCs w:val="20"/>
              </w:rPr>
              <w:t>Total</w:t>
            </w:r>
          </w:p>
        </w:tc>
        <w:tc>
          <w:tcPr>
            <w:tcW w:w="1060" w:type="dxa"/>
            <w:tcBorders>
              <w:top w:val="nil"/>
              <w:left w:val="nil"/>
              <w:bottom w:val="single" w:sz="4" w:space="0" w:color="auto"/>
              <w:right w:val="nil"/>
            </w:tcBorders>
            <w:shd w:val="clear" w:color="auto" w:fill="auto"/>
            <w:noWrap/>
            <w:vAlign w:val="bottom"/>
            <w:hideMark/>
          </w:tcPr>
          <w:p w14:paraId="033CD211" w14:textId="77777777" w:rsidR="00CA561E" w:rsidRDefault="00CA561E">
            <w:pPr>
              <w:rPr>
                <w:rFonts w:ascii="Courier" w:hAnsi="Courier"/>
                <w:sz w:val="20"/>
                <w:szCs w:val="20"/>
              </w:rPr>
            </w:pPr>
            <w:r>
              <w:rPr>
                <w:rFonts w:ascii="Courier" w:hAnsi="Courier"/>
                <w:sz w:val="20"/>
                <w:szCs w:val="20"/>
              </w:rPr>
              <w:t> </w:t>
            </w:r>
          </w:p>
        </w:tc>
        <w:tc>
          <w:tcPr>
            <w:tcW w:w="1100" w:type="dxa"/>
            <w:tcBorders>
              <w:top w:val="nil"/>
              <w:left w:val="nil"/>
              <w:bottom w:val="single" w:sz="4" w:space="0" w:color="auto"/>
              <w:right w:val="nil"/>
            </w:tcBorders>
            <w:shd w:val="clear" w:color="auto" w:fill="auto"/>
            <w:noWrap/>
            <w:vAlign w:val="bottom"/>
            <w:hideMark/>
          </w:tcPr>
          <w:p w14:paraId="4F537A71" w14:textId="77777777" w:rsidR="00CA561E" w:rsidRDefault="00CA561E">
            <w:pPr>
              <w:rPr>
                <w:rFonts w:ascii="Courier" w:hAnsi="Courier"/>
                <w:sz w:val="20"/>
                <w:szCs w:val="20"/>
              </w:rPr>
            </w:pPr>
            <w:r>
              <w:rPr>
                <w:rFonts w:ascii="Courier" w:hAnsi="Courier"/>
                <w:sz w:val="20"/>
                <w:szCs w:val="20"/>
              </w:rPr>
              <w:t> </w:t>
            </w:r>
          </w:p>
        </w:tc>
        <w:tc>
          <w:tcPr>
            <w:tcW w:w="1060" w:type="dxa"/>
            <w:tcBorders>
              <w:top w:val="nil"/>
              <w:left w:val="nil"/>
              <w:bottom w:val="single" w:sz="4" w:space="0" w:color="auto"/>
              <w:right w:val="nil"/>
            </w:tcBorders>
            <w:shd w:val="clear" w:color="auto" w:fill="auto"/>
            <w:noWrap/>
            <w:vAlign w:val="bottom"/>
            <w:hideMark/>
          </w:tcPr>
          <w:p w14:paraId="508D1798" w14:textId="77777777" w:rsidR="00CA561E" w:rsidRDefault="00CA561E">
            <w:pPr>
              <w:rPr>
                <w:rFonts w:ascii="Courier" w:hAnsi="Courier"/>
                <w:sz w:val="20"/>
                <w:szCs w:val="20"/>
              </w:rPr>
            </w:pPr>
            <w:r>
              <w:rPr>
                <w:rFonts w:ascii="Courier" w:hAnsi="Courier"/>
                <w:sz w:val="20"/>
                <w:szCs w:val="20"/>
              </w:rPr>
              <w:t> </w:t>
            </w:r>
          </w:p>
        </w:tc>
        <w:tc>
          <w:tcPr>
            <w:tcW w:w="1060" w:type="dxa"/>
            <w:tcBorders>
              <w:top w:val="nil"/>
              <w:left w:val="nil"/>
              <w:bottom w:val="single" w:sz="4" w:space="0" w:color="auto"/>
              <w:right w:val="nil"/>
            </w:tcBorders>
            <w:shd w:val="clear" w:color="auto" w:fill="auto"/>
            <w:noWrap/>
            <w:vAlign w:val="bottom"/>
            <w:hideMark/>
          </w:tcPr>
          <w:p w14:paraId="4FCF0B31" w14:textId="77777777" w:rsidR="00CA561E" w:rsidRDefault="00CA561E">
            <w:pPr>
              <w:rPr>
                <w:rFonts w:ascii="Courier" w:hAnsi="Courier"/>
                <w:sz w:val="20"/>
                <w:szCs w:val="20"/>
              </w:rPr>
            </w:pPr>
            <w:r>
              <w:rPr>
                <w:rFonts w:ascii="Courier" w:hAnsi="Courier"/>
                <w:sz w:val="20"/>
                <w:szCs w:val="20"/>
              </w:rPr>
              <w:t> </w:t>
            </w:r>
          </w:p>
        </w:tc>
      </w:tr>
    </w:tbl>
    <w:p w14:paraId="19790315" w14:textId="2E85C1FF" w:rsidR="007C06A0" w:rsidRPr="00524819" w:rsidRDefault="005B02A8">
      <w:r w:rsidRPr="00524819">
        <w:t xml:space="preserve"> </w:t>
      </w:r>
    </w:p>
    <w:p w14:paraId="5277FC3E" w14:textId="77777777" w:rsidR="007C06A0" w:rsidRPr="00524819" w:rsidRDefault="007C06A0"/>
    <w:p w14:paraId="6014B887" w14:textId="77777777" w:rsidR="00814117" w:rsidRPr="00814117" w:rsidRDefault="00814117">
      <w:pPr>
        <w:rPr>
          <w:b/>
        </w:rPr>
      </w:pPr>
      <w:r w:rsidRPr="00814117">
        <w:rPr>
          <w:b/>
        </w:rPr>
        <w:t xml:space="preserve">Grading: </w:t>
      </w:r>
    </w:p>
    <w:p w14:paraId="15F8035D" w14:textId="77777777" w:rsidR="00814117" w:rsidRDefault="007C06A0">
      <w:r w:rsidRPr="00524819">
        <w:t>Your grade</w:t>
      </w:r>
      <w:r w:rsidR="006F1724" w:rsidRPr="00524819">
        <w:t xml:space="preserve"> on this exercise will be in two parts.  </w:t>
      </w:r>
    </w:p>
    <w:p w14:paraId="66A5C4F9" w14:textId="37D2D6C3" w:rsidR="00814117" w:rsidRDefault="00D80966" w:rsidP="00814117">
      <w:pPr>
        <w:numPr>
          <w:ilvl w:val="0"/>
          <w:numId w:val="1"/>
        </w:numPr>
      </w:pPr>
      <w:r w:rsidRPr="00524819">
        <w:t>75%</w:t>
      </w:r>
      <w:r w:rsidR="006F1724" w:rsidRPr="00524819">
        <w:t xml:space="preserve"> will be based on the quality of the presentation of your </w:t>
      </w:r>
      <w:r w:rsidR="00CA561E" w:rsidRPr="00524819">
        <w:t>forecast –</w:t>
      </w:r>
      <w:r w:rsidR="006F1724" w:rsidRPr="00524819">
        <w:t xml:space="preserve"> does it include what a legislator, the budget director, and the governor would want to know?  Transparency of explanation is your objective – no “black boxes.”  Remember – your forecast will be wrong, so your method needs a potential story </w:t>
      </w:r>
      <w:r w:rsidR="001C6BB5" w:rsidRPr="00524819">
        <w:t>line to explain why</w:t>
      </w:r>
      <w:r w:rsidR="006F1724" w:rsidRPr="00524819">
        <w:t xml:space="preserve">.  </w:t>
      </w:r>
      <w:r w:rsidR="001C6BB5" w:rsidRPr="00524819">
        <w:t>And no extraneous details.</w:t>
      </w:r>
      <w:r w:rsidR="00782E66" w:rsidRPr="00524819">
        <w:t xml:space="preserve">  You should not go through a discussion of the various approaches you tried and rejected or why you picked the approach you finally selected.  There is one and only one reason for picking the approach:  you think it will give the best </w:t>
      </w:r>
      <w:proofErr w:type="gramStart"/>
      <w:r w:rsidR="00782E66" w:rsidRPr="00524819">
        <w:t>forecast</w:t>
      </w:r>
      <w:proofErr w:type="gramEnd"/>
      <w:r w:rsidR="00782E66" w:rsidRPr="00524819">
        <w:t xml:space="preserve"> so you don’t need to include that discussion in the presentation.</w:t>
      </w:r>
      <w:r w:rsidR="007E0889" w:rsidRPr="00524819">
        <w:t xml:space="preserve">  </w:t>
      </w:r>
    </w:p>
    <w:p w14:paraId="00827B86" w14:textId="696A41E2" w:rsidR="007C06A0" w:rsidRPr="00524819" w:rsidRDefault="006F1724" w:rsidP="00814117">
      <w:pPr>
        <w:numPr>
          <w:ilvl w:val="0"/>
          <w:numId w:val="1"/>
        </w:numPr>
      </w:pPr>
      <w:r w:rsidRPr="00524819">
        <w:t xml:space="preserve">The </w:t>
      </w:r>
      <w:r w:rsidR="00D80966" w:rsidRPr="00524819">
        <w:t>remaining 25%</w:t>
      </w:r>
      <w:r w:rsidRPr="00524819">
        <w:t xml:space="preserve"> </w:t>
      </w:r>
      <w:r w:rsidR="007C06A0" w:rsidRPr="00524819">
        <w:t>will be determined by how close your forecast for combined sales and income tax revenue comes to actual revenue fo</w:t>
      </w:r>
      <w:r w:rsidR="00BB78CE" w:rsidRPr="00524819">
        <w:t>r</w:t>
      </w:r>
      <w:r w:rsidR="00A05AB7" w:rsidRPr="00524819">
        <w:t xml:space="preserve"> the first calendar quarter </w:t>
      </w:r>
      <w:r w:rsidR="00D80966" w:rsidRPr="00524819">
        <w:t xml:space="preserve">of </w:t>
      </w:r>
      <w:r w:rsidR="002008F7">
        <w:t>20</w:t>
      </w:r>
      <w:r w:rsidR="00067281">
        <w:t>22</w:t>
      </w:r>
      <w:r w:rsidR="007C06A0" w:rsidRPr="00524819">
        <w:t>, as reported in the first few days of April.</w:t>
      </w:r>
      <w:r w:rsidRPr="00524819">
        <w:t xml:space="preserve">  </w:t>
      </w:r>
      <w:r w:rsidR="00A6713C" w:rsidRPr="00524819">
        <w:t xml:space="preserve">  </w:t>
      </w:r>
    </w:p>
    <w:p w14:paraId="28C968D9" w14:textId="77777777" w:rsidR="0018119A" w:rsidRPr="00524819" w:rsidRDefault="0018119A"/>
    <w:p w14:paraId="51C803E8" w14:textId="77777777" w:rsidR="00EE16AA" w:rsidRDefault="00EE16AA"/>
    <w:p w14:paraId="014AADAB" w14:textId="77777777" w:rsidR="00EE16AA" w:rsidRPr="00EE16AA" w:rsidRDefault="00EE16AA">
      <w:pPr>
        <w:rPr>
          <w:b/>
          <w:u w:val="single"/>
        </w:rPr>
      </w:pPr>
      <w:r w:rsidRPr="00EE16AA">
        <w:rPr>
          <w:b/>
          <w:u w:val="single"/>
        </w:rPr>
        <w:t>Additional information</w:t>
      </w:r>
    </w:p>
    <w:p w14:paraId="28F534C4" w14:textId="77777777" w:rsidR="00A5108C" w:rsidRPr="00524819" w:rsidRDefault="00770525">
      <w:r w:rsidRPr="00524819">
        <w:t>Here is some history of changes in individual income and retail sales tax rates in Indiana:</w:t>
      </w:r>
    </w:p>
    <w:p w14:paraId="61F60D28" w14:textId="77777777" w:rsidR="00770525" w:rsidRPr="00524819" w:rsidRDefault="00770525"/>
    <w:tbl>
      <w:tblPr>
        <w:tblW w:w="4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7"/>
        <w:gridCol w:w="836"/>
        <w:gridCol w:w="960"/>
      </w:tblGrid>
      <w:tr w:rsidR="00EE16AA" w:rsidRPr="00524819" w14:paraId="052104CE" w14:textId="77777777" w:rsidTr="00CD0A0B">
        <w:trPr>
          <w:trHeight w:val="312"/>
          <w:jc w:val="center"/>
        </w:trPr>
        <w:tc>
          <w:tcPr>
            <w:tcW w:w="4703" w:type="dxa"/>
            <w:gridSpan w:val="3"/>
            <w:shd w:val="clear" w:color="auto" w:fill="auto"/>
            <w:noWrap/>
            <w:vAlign w:val="bottom"/>
            <w:hideMark/>
          </w:tcPr>
          <w:p w14:paraId="3763A796" w14:textId="77777777" w:rsidR="00EE16AA" w:rsidRPr="00524819" w:rsidRDefault="00EE16AA" w:rsidP="00EE16AA">
            <w:pPr>
              <w:jc w:val="center"/>
            </w:pPr>
            <w:r w:rsidRPr="00524819">
              <w:t>Indiana Individual Income Tax</w:t>
            </w:r>
          </w:p>
        </w:tc>
      </w:tr>
      <w:tr w:rsidR="00EE16AA" w:rsidRPr="00524819" w14:paraId="07FD6008" w14:textId="77777777" w:rsidTr="00EE16AA">
        <w:trPr>
          <w:trHeight w:val="312"/>
          <w:jc w:val="center"/>
        </w:trPr>
        <w:tc>
          <w:tcPr>
            <w:tcW w:w="2907" w:type="dxa"/>
            <w:shd w:val="clear" w:color="auto" w:fill="auto"/>
            <w:noWrap/>
            <w:vAlign w:val="bottom"/>
            <w:hideMark/>
          </w:tcPr>
          <w:p w14:paraId="5EC2081C" w14:textId="77777777" w:rsidR="00EE16AA" w:rsidRPr="00524819" w:rsidRDefault="00EE16AA">
            <w:r w:rsidRPr="00524819">
              <w:t>Year</w:t>
            </w:r>
          </w:p>
        </w:tc>
        <w:tc>
          <w:tcPr>
            <w:tcW w:w="836" w:type="dxa"/>
            <w:shd w:val="clear" w:color="auto" w:fill="auto"/>
            <w:noWrap/>
            <w:vAlign w:val="bottom"/>
            <w:hideMark/>
          </w:tcPr>
          <w:p w14:paraId="54BDF9A1" w14:textId="77777777" w:rsidR="00EE16AA" w:rsidRPr="00524819" w:rsidRDefault="00EE16AA">
            <w:pPr>
              <w:jc w:val="center"/>
            </w:pPr>
            <w:r w:rsidRPr="00524819">
              <w:t>Rate</w:t>
            </w:r>
          </w:p>
        </w:tc>
        <w:tc>
          <w:tcPr>
            <w:tcW w:w="960" w:type="dxa"/>
            <w:shd w:val="clear" w:color="auto" w:fill="auto"/>
            <w:noWrap/>
            <w:vAlign w:val="bottom"/>
            <w:hideMark/>
          </w:tcPr>
          <w:p w14:paraId="171E7F11" w14:textId="77777777" w:rsidR="00EE16AA" w:rsidRPr="00524819" w:rsidRDefault="00EE16AA"/>
        </w:tc>
      </w:tr>
      <w:tr w:rsidR="00EE16AA" w:rsidRPr="00524819" w14:paraId="01459834" w14:textId="77777777" w:rsidTr="00EE16AA">
        <w:trPr>
          <w:trHeight w:val="312"/>
          <w:jc w:val="center"/>
        </w:trPr>
        <w:tc>
          <w:tcPr>
            <w:tcW w:w="2907" w:type="dxa"/>
            <w:shd w:val="clear" w:color="auto" w:fill="auto"/>
            <w:noWrap/>
            <w:vAlign w:val="bottom"/>
            <w:hideMark/>
          </w:tcPr>
          <w:p w14:paraId="1E59D6DE" w14:textId="77777777" w:rsidR="00EE16AA" w:rsidRPr="00524819" w:rsidRDefault="00EE16AA">
            <w:r w:rsidRPr="00524819">
              <w:t>1964* - 1978</w:t>
            </w:r>
          </w:p>
        </w:tc>
        <w:tc>
          <w:tcPr>
            <w:tcW w:w="836" w:type="dxa"/>
            <w:shd w:val="clear" w:color="auto" w:fill="auto"/>
            <w:noWrap/>
            <w:vAlign w:val="bottom"/>
            <w:hideMark/>
          </w:tcPr>
          <w:p w14:paraId="7794D2D2" w14:textId="77777777" w:rsidR="00EE16AA" w:rsidRPr="00524819" w:rsidRDefault="00EE16AA" w:rsidP="003A2D12">
            <w:pPr>
              <w:jc w:val="center"/>
            </w:pPr>
            <w:r w:rsidRPr="00524819">
              <w:t>2%</w:t>
            </w:r>
          </w:p>
        </w:tc>
        <w:tc>
          <w:tcPr>
            <w:tcW w:w="960" w:type="dxa"/>
            <w:shd w:val="clear" w:color="auto" w:fill="auto"/>
            <w:noWrap/>
            <w:vAlign w:val="bottom"/>
            <w:hideMark/>
          </w:tcPr>
          <w:p w14:paraId="2368A9C4" w14:textId="77777777" w:rsidR="00EE16AA" w:rsidRPr="00524819" w:rsidRDefault="00EE16AA"/>
        </w:tc>
      </w:tr>
      <w:tr w:rsidR="00EE16AA" w:rsidRPr="00524819" w14:paraId="7856F01B" w14:textId="77777777" w:rsidTr="00EE16AA">
        <w:trPr>
          <w:trHeight w:val="312"/>
          <w:jc w:val="center"/>
        </w:trPr>
        <w:tc>
          <w:tcPr>
            <w:tcW w:w="2907" w:type="dxa"/>
            <w:shd w:val="clear" w:color="auto" w:fill="auto"/>
            <w:noWrap/>
            <w:vAlign w:val="bottom"/>
            <w:hideMark/>
          </w:tcPr>
          <w:p w14:paraId="65ECA7C1" w14:textId="77777777" w:rsidR="00EE16AA" w:rsidRPr="00524819" w:rsidRDefault="00EE16AA">
            <w:r w:rsidRPr="00524819">
              <w:t>1979</w:t>
            </w:r>
          </w:p>
        </w:tc>
        <w:tc>
          <w:tcPr>
            <w:tcW w:w="836" w:type="dxa"/>
            <w:shd w:val="clear" w:color="auto" w:fill="auto"/>
            <w:noWrap/>
            <w:vAlign w:val="bottom"/>
            <w:hideMark/>
          </w:tcPr>
          <w:p w14:paraId="42EC7F0A" w14:textId="77777777" w:rsidR="00EE16AA" w:rsidRPr="00524819" w:rsidRDefault="00EE16AA" w:rsidP="003A2D12">
            <w:pPr>
              <w:jc w:val="center"/>
            </w:pPr>
            <w:r w:rsidRPr="00524819">
              <w:t>2%</w:t>
            </w:r>
          </w:p>
        </w:tc>
        <w:tc>
          <w:tcPr>
            <w:tcW w:w="960" w:type="dxa"/>
            <w:shd w:val="clear" w:color="auto" w:fill="auto"/>
            <w:noWrap/>
            <w:vAlign w:val="bottom"/>
            <w:hideMark/>
          </w:tcPr>
          <w:p w14:paraId="05D28578" w14:textId="77777777" w:rsidR="00EE16AA" w:rsidRPr="00524819" w:rsidRDefault="00EE16AA">
            <w:r w:rsidRPr="00524819">
              <w:t>**</w:t>
            </w:r>
          </w:p>
        </w:tc>
      </w:tr>
      <w:tr w:rsidR="00EE16AA" w:rsidRPr="00524819" w14:paraId="0615D3B1" w14:textId="77777777" w:rsidTr="00EE16AA">
        <w:trPr>
          <w:trHeight w:val="312"/>
          <w:jc w:val="center"/>
        </w:trPr>
        <w:tc>
          <w:tcPr>
            <w:tcW w:w="2907" w:type="dxa"/>
            <w:shd w:val="clear" w:color="auto" w:fill="auto"/>
            <w:noWrap/>
            <w:vAlign w:val="bottom"/>
            <w:hideMark/>
          </w:tcPr>
          <w:p w14:paraId="3A463FC2" w14:textId="77777777" w:rsidR="00EE16AA" w:rsidRPr="00524819" w:rsidRDefault="00EE16AA">
            <w:r w:rsidRPr="00524819">
              <w:t>1980 - 1982</w:t>
            </w:r>
          </w:p>
        </w:tc>
        <w:tc>
          <w:tcPr>
            <w:tcW w:w="836" w:type="dxa"/>
            <w:shd w:val="clear" w:color="auto" w:fill="auto"/>
            <w:noWrap/>
            <w:vAlign w:val="bottom"/>
            <w:hideMark/>
          </w:tcPr>
          <w:p w14:paraId="3408CA5F" w14:textId="77777777" w:rsidR="00EE16AA" w:rsidRPr="00524819" w:rsidRDefault="00EE16AA" w:rsidP="003A2D12">
            <w:pPr>
              <w:jc w:val="center"/>
            </w:pPr>
            <w:r w:rsidRPr="00524819">
              <w:t>1.90%</w:t>
            </w:r>
          </w:p>
        </w:tc>
        <w:tc>
          <w:tcPr>
            <w:tcW w:w="960" w:type="dxa"/>
            <w:shd w:val="clear" w:color="auto" w:fill="auto"/>
            <w:noWrap/>
            <w:vAlign w:val="bottom"/>
            <w:hideMark/>
          </w:tcPr>
          <w:p w14:paraId="504870A2" w14:textId="77777777" w:rsidR="00EE16AA" w:rsidRPr="00524819" w:rsidRDefault="00EE16AA"/>
        </w:tc>
      </w:tr>
      <w:tr w:rsidR="00EE16AA" w:rsidRPr="00524819" w14:paraId="6EDC8CF6" w14:textId="77777777" w:rsidTr="00EE16AA">
        <w:trPr>
          <w:trHeight w:val="312"/>
          <w:jc w:val="center"/>
        </w:trPr>
        <w:tc>
          <w:tcPr>
            <w:tcW w:w="2907" w:type="dxa"/>
            <w:shd w:val="clear" w:color="auto" w:fill="auto"/>
            <w:noWrap/>
            <w:vAlign w:val="bottom"/>
            <w:hideMark/>
          </w:tcPr>
          <w:p w14:paraId="0E66E2CE" w14:textId="77777777" w:rsidR="00EE16AA" w:rsidRPr="00524819" w:rsidRDefault="00EE16AA">
            <w:r w:rsidRPr="00524819">
              <w:t>1983 - 1986</w:t>
            </w:r>
          </w:p>
        </w:tc>
        <w:tc>
          <w:tcPr>
            <w:tcW w:w="836" w:type="dxa"/>
            <w:shd w:val="clear" w:color="auto" w:fill="auto"/>
            <w:noWrap/>
            <w:vAlign w:val="bottom"/>
            <w:hideMark/>
          </w:tcPr>
          <w:p w14:paraId="1C17A07A" w14:textId="77777777" w:rsidR="00EE16AA" w:rsidRPr="00524819" w:rsidRDefault="00EE16AA" w:rsidP="003A2D12">
            <w:pPr>
              <w:jc w:val="center"/>
            </w:pPr>
            <w:r w:rsidRPr="00524819">
              <w:t>3%</w:t>
            </w:r>
          </w:p>
        </w:tc>
        <w:tc>
          <w:tcPr>
            <w:tcW w:w="960" w:type="dxa"/>
            <w:shd w:val="clear" w:color="auto" w:fill="auto"/>
            <w:noWrap/>
            <w:vAlign w:val="bottom"/>
            <w:hideMark/>
          </w:tcPr>
          <w:p w14:paraId="51741F2B" w14:textId="77777777" w:rsidR="00EE16AA" w:rsidRPr="00524819" w:rsidRDefault="00EE16AA"/>
        </w:tc>
      </w:tr>
      <w:tr w:rsidR="00EE16AA" w:rsidRPr="00524819" w14:paraId="5172176F" w14:textId="77777777" w:rsidTr="00EE16AA">
        <w:trPr>
          <w:trHeight w:val="312"/>
          <w:jc w:val="center"/>
        </w:trPr>
        <w:tc>
          <w:tcPr>
            <w:tcW w:w="2907" w:type="dxa"/>
            <w:shd w:val="clear" w:color="auto" w:fill="auto"/>
            <w:noWrap/>
            <w:vAlign w:val="bottom"/>
            <w:hideMark/>
          </w:tcPr>
          <w:p w14:paraId="1E189921" w14:textId="77777777" w:rsidR="00EE16AA" w:rsidRPr="00524819" w:rsidRDefault="00EE16AA">
            <w:r w:rsidRPr="00524819">
              <w:t>1987</w:t>
            </w:r>
          </w:p>
        </w:tc>
        <w:tc>
          <w:tcPr>
            <w:tcW w:w="836" w:type="dxa"/>
            <w:shd w:val="clear" w:color="auto" w:fill="auto"/>
            <w:noWrap/>
            <w:vAlign w:val="bottom"/>
            <w:hideMark/>
          </w:tcPr>
          <w:p w14:paraId="30B73FDC" w14:textId="77777777" w:rsidR="00EE16AA" w:rsidRPr="00524819" w:rsidRDefault="00EE16AA" w:rsidP="003A2D12">
            <w:pPr>
              <w:jc w:val="center"/>
            </w:pPr>
            <w:r w:rsidRPr="00524819">
              <w:t>3.20%</w:t>
            </w:r>
          </w:p>
        </w:tc>
        <w:tc>
          <w:tcPr>
            <w:tcW w:w="960" w:type="dxa"/>
            <w:shd w:val="clear" w:color="auto" w:fill="auto"/>
            <w:noWrap/>
            <w:vAlign w:val="bottom"/>
            <w:hideMark/>
          </w:tcPr>
          <w:p w14:paraId="0119AF98" w14:textId="77777777" w:rsidR="00EE16AA" w:rsidRPr="00524819" w:rsidRDefault="00EE16AA">
            <w:r w:rsidRPr="00524819">
              <w:t>***</w:t>
            </w:r>
          </w:p>
        </w:tc>
      </w:tr>
      <w:tr w:rsidR="00EE16AA" w:rsidRPr="00524819" w14:paraId="06F6C243" w14:textId="77777777" w:rsidTr="00EE16AA">
        <w:trPr>
          <w:trHeight w:val="312"/>
          <w:jc w:val="center"/>
        </w:trPr>
        <w:tc>
          <w:tcPr>
            <w:tcW w:w="2907" w:type="dxa"/>
            <w:shd w:val="clear" w:color="auto" w:fill="auto"/>
            <w:noWrap/>
            <w:vAlign w:val="bottom"/>
            <w:hideMark/>
          </w:tcPr>
          <w:p w14:paraId="20F9E687" w14:textId="77777777" w:rsidR="00EE16AA" w:rsidRPr="00524819" w:rsidRDefault="00EE16AA">
            <w:r w:rsidRPr="00524819">
              <w:t>1988 to 12-31-2014</w:t>
            </w:r>
          </w:p>
        </w:tc>
        <w:tc>
          <w:tcPr>
            <w:tcW w:w="836" w:type="dxa"/>
            <w:shd w:val="clear" w:color="auto" w:fill="auto"/>
            <w:noWrap/>
            <w:vAlign w:val="bottom"/>
            <w:hideMark/>
          </w:tcPr>
          <w:p w14:paraId="2E0D88E2" w14:textId="77777777" w:rsidR="00EE16AA" w:rsidRPr="00524819" w:rsidRDefault="00EE16AA" w:rsidP="003A2D12">
            <w:pPr>
              <w:jc w:val="center"/>
            </w:pPr>
            <w:r w:rsidRPr="00524819">
              <w:t>3.40%</w:t>
            </w:r>
          </w:p>
        </w:tc>
        <w:tc>
          <w:tcPr>
            <w:tcW w:w="960" w:type="dxa"/>
            <w:shd w:val="clear" w:color="auto" w:fill="auto"/>
            <w:noWrap/>
            <w:vAlign w:val="bottom"/>
            <w:hideMark/>
          </w:tcPr>
          <w:p w14:paraId="584916A6" w14:textId="77777777" w:rsidR="00EE16AA" w:rsidRPr="00524819" w:rsidRDefault="00EE16AA"/>
        </w:tc>
      </w:tr>
      <w:tr w:rsidR="00EE16AA" w:rsidRPr="00524819" w14:paraId="21C91AB9" w14:textId="77777777" w:rsidTr="00EE16AA">
        <w:trPr>
          <w:trHeight w:val="312"/>
          <w:jc w:val="center"/>
        </w:trPr>
        <w:tc>
          <w:tcPr>
            <w:tcW w:w="2907" w:type="dxa"/>
            <w:shd w:val="clear" w:color="auto" w:fill="auto"/>
            <w:noWrap/>
            <w:vAlign w:val="bottom"/>
            <w:hideMark/>
          </w:tcPr>
          <w:p w14:paraId="438743A8" w14:textId="77777777" w:rsidR="00EE16AA" w:rsidRPr="00524819" w:rsidRDefault="00EE16AA">
            <w:r w:rsidRPr="00524819">
              <w:t xml:space="preserve">1-1-15 </w:t>
            </w:r>
          </w:p>
        </w:tc>
        <w:tc>
          <w:tcPr>
            <w:tcW w:w="836" w:type="dxa"/>
            <w:shd w:val="clear" w:color="auto" w:fill="auto"/>
            <w:noWrap/>
            <w:vAlign w:val="bottom"/>
            <w:hideMark/>
          </w:tcPr>
          <w:p w14:paraId="373B4A2A" w14:textId="77777777" w:rsidR="00EE16AA" w:rsidRPr="00524819" w:rsidRDefault="00EE16AA" w:rsidP="003A2D12">
            <w:pPr>
              <w:jc w:val="center"/>
            </w:pPr>
            <w:r w:rsidRPr="00524819">
              <w:t>3.30%</w:t>
            </w:r>
          </w:p>
        </w:tc>
        <w:tc>
          <w:tcPr>
            <w:tcW w:w="960" w:type="dxa"/>
            <w:shd w:val="clear" w:color="auto" w:fill="auto"/>
            <w:noWrap/>
            <w:vAlign w:val="bottom"/>
            <w:hideMark/>
          </w:tcPr>
          <w:p w14:paraId="789907B1" w14:textId="77777777" w:rsidR="00EE16AA" w:rsidRPr="00524819" w:rsidRDefault="00EE16AA"/>
        </w:tc>
      </w:tr>
      <w:tr w:rsidR="002008F7" w:rsidRPr="00524819" w14:paraId="5A069ACE" w14:textId="77777777" w:rsidTr="00EE16AA">
        <w:trPr>
          <w:trHeight w:val="312"/>
          <w:jc w:val="center"/>
        </w:trPr>
        <w:tc>
          <w:tcPr>
            <w:tcW w:w="2907" w:type="dxa"/>
            <w:shd w:val="clear" w:color="auto" w:fill="auto"/>
            <w:noWrap/>
            <w:vAlign w:val="bottom"/>
          </w:tcPr>
          <w:p w14:paraId="3B12E3C7" w14:textId="77777777" w:rsidR="002008F7" w:rsidRPr="00524819" w:rsidRDefault="007B2599">
            <w:r>
              <w:t>1-1-1</w:t>
            </w:r>
            <w:r w:rsidR="00F54447">
              <w:t>7</w:t>
            </w:r>
          </w:p>
        </w:tc>
        <w:tc>
          <w:tcPr>
            <w:tcW w:w="836" w:type="dxa"/>
            <w:shd w:val="clear" w:color="auto" w:fill="auto"/>
            <w:noWrap/>
            <w:vAlign w:val="bottom"/>
          </w:tcPr>
          <w:p w14:paraId="5EB92873" w14:textId="77777777" w:rsidR="002008F7" w:rsidRPr="00524819" w:rsidRDefault="002008F7" w:rsidP="003A2D12">
            <w:pPr>
              <w:jc w:val="center"/>
            </w:pPr>
            <w:r>
              <w:t>3.2</w:t>
            </w:r>
            <w:r w:rsidR="007B2599">
              <w:t>3%</w:t>
            </w:r>
          </w:p>
        </w:tc>
        <w:tc>
          <w:tcPr>
            <w:tcW w:w="960" w:type="dxa"/>
            <w:shd w:val="clear" w:color="auto" w:fill="auto"/>
            <w:noWrap/>
            <w:vAlign w:val="bottom"/>
          </w:tcPr>
          <w:p w14:paraId="0051B7D8" w14:textId="77777777" w:rsidR="002008F7" w:rsidRPr="00524819" w:rsidRDefault="002008F7"/>
        </w:tc>
      </w:tr>
      <w:tr w:rsidR="00EE16AA" w:rsidRPr="00524819" w14:paraId="6E78750A" w14:textId="77777777" w:rsidTr="00CD0A0B">
        <w:trPr>
          <w:trHeight w:val="312"/>
          <w:jc w:val="center"/>
        </w:trPr>
        <w:tc>
          <w:tcPr>
            <w:tcW w:w="4703" w:type="dxa"/>
            <w:gridSpan w:val="3"/>
            <w:shd w:val="clear" w:color="auto" w:fill="auto"/>
            <w:noWrap/>
            <w:vAlign w:val="bottom"/>
            <w:hideMark/>
          </w:tcPr>
          <w:p w14:paraId="4A6DB9A9" w14:textId="77777777" w:rsidR="00EE16AA" w:rsidRPr="00524819" w:rsidRDefault="00EE16AA" w:rsidP="00EE16AA">
            <w:pPr>
              <w:jc w:val="center"/>
            </w:pPr>
            <w:r w:rsidRPr="00524819">
              <w:t>Indiana Retail Sales Tax</w:t>
            </w:r>
          </w:p>
        </w:tc>
      </w:tr>
      <w:tr w:rsidR="00EE16AA" w:rsidRPr="00524819" w14:paraId="339C3931" w14:textId="77777777" w:rsidTr="00EE16AA">
        <w:trPr>
          <w:trHeight w:val="312"/>
          <w:jc w:val="center"/>
        </w:trPr>
        <w:tc>
          <w:tcPr>
            <w:tcW w:w="2907" w:type="dxa"/>
            <w:shd w:val="clear" w:color="auto" w:fill="auto"/>
            <w:noWrap/>
            <w:vAlign w:val="bottom"/>
            <w:hideMark/>
          </w:tcPr>
          <w:p w14:paraId="1E2EE903" w14:textId="77777777" w:rsidR="00EE16AA" w:rsidRPr="00524819" w:rsidRDefault="00EE16AA">
            <w:r w:rsidRPr="00524819">
              <w:t>Year</w:t>
            </w:r>
          </w:p>
        </w:tc>
        <w:tc>
          <w:tcPr>
            <w:tcW w:w="836" w:type="dxa"/>
            <w:shd w:val="clear" w:color="auto" w:fill="auto"/>
            <w:noWrap/>
            <w:vAlign w:val="bottom"/>
            <w:hideMark/>
          </w:tcPr>
          <w:p w14:paraId="08ADCC9E" w14:textId="77777777" w:rsidR="00EE16AA" w:rsidRPr="00524819" w:rsidRDefault="00EE16AA"/>
        </w:tc>
        <w:tc>
          <w:tcPr>
            <w:tcW w:w="960" w:type="dxa"/>
            <w:shd w:val="clear" w:color="auto" w:fill="auto"/>
            <w:noWrap/>
            <w:vAlign w:val="bottom"/>
            <w:hideMark/>
          </w:tcPr>
          <w:p w14:paraId="0E8F898A" w14:textId="77777777" w:rsidR="00EE16AA" w:rsidRPr="00524819" w:rsidRDefault="00EE16AA"/>
        </w:tc>
      </w:tr>
      <w:tr w:rsidR="00EE16AA" w:rsidRPr="00524819" w14:paraId="43A93B91" w14:textId="77777777" w:rsidTr="00EE16AA">
        <w:trPr>
          <w:trHeight w:val="312"/>
          <w:jc w:val="center"/>
        </w:trPr>
        <w:tc>
          <w:tcPr>
            <w:tcW w:w="2907" w:type="dxa"/>
            <w:shd w:val="clear" w:color="auto" w:fill="auto"/>
            <w:noWrap/>
            <w:vAlign w:val="bottom"/>
            <w:hideMark/>
          </w:tcPr>
          <w:p w14:paraId="0B4AE046" w14:textId="77777777" w:rsidR="00EE16AA" w:rsidRPr="00524819" w:rsidRDefault="00EE16AA" w:rsidP="003A2D12">
            <w:r w:rsidRPr="00524819">
              <w:t>1964 – 1973</w:t>
            </w:r>
          </w:p>
        </w:tc>
        <w:tc>
          <w:tcPr>
            <w:tcW w:w="836" w:type="dxa"/>
            <w:shd w:val="clear" w:color="auto" w:fill="auto"/>
            <w:noWrap/>
            <w:vAlign w:val="bottom"/>
            <w:hideMark/>
          </w:tcPr>
          <w:p w14:paraId="528A9E3E" w14:textId="77777777" w:rsidR="00EE16AA" w:rsidRPr="00524819" w:rsidRDefault="003A2D12" w:rsidP="003A2D12">
            <w:pPr>
              <w:jc w:val="center"/>
            </w:pPr>
            <w:r w:rsidRPr="00524819">
              <w:t>2 %</w:t>
            </w:r>
          </w:p>
        </w:tc>
        <w:tc>
          <w:tcPr>
            <w:tcW w:w="960" w:type="dxa"/>
            <w:shd w:val="clear" w:color="auto" w:fill="auto"/>
            <w:noWrap/>
            <w:vAlign w:val="bottom"/>
            <w:hideMark/>
          </w:tcPr>
          <w:p w14:paraId="2AE58EEF" w14:textId="77777777" w:rsidR="00EE16AA" w:rsidRPr="00524819" w:rsidRDefault="00EE16AA"/>
        </w:tc>
      </w:tr>
      <w:tr w:rsidR="00EE16AA" w:rsidRPr="00524819" w14:paraId="0E0D4A66" w14:textId="77777777" w:rsidTr="00EE16AA">
        <w:trPr>
          <w:trHeight w:val="312"/>
          <w:jc w:val="center"/>
        </w:trPr>
        <w:tc>
          <w:tcPr>
            <w:tcW w:w="2907" w:type="dxa"/>
            <w:shd w:val="clear" w:color="auto" w:fill="auto"/>
            <w:noWrap/>
            <w:vAlign w:val="bottom"/>
            <w:hideMark/>
          </w:tcPr>
          <w:p w14:paraId="4E5F1439" w14:textId="77777777" w:rsidR="00EE16AA" w:rsidRPr="00524819" w:rsidRDefault="00EE16AA" w:rsidP="003A2D12">
            <w:r w:rsidRPr="00524819">
              <w:t>1974 – 1982</w:t>
            </w:r>
          </w:p>
        </w:tc>
        <w:tc>
          <w:tcPr>
            <w:tcW w:w="836" w:type="dxa"/>
            <w:shd w:val="clear" w:color="auto" w:fill="auto"/>
            <w:noWrap/>
            <w:vAlign w:val="bottom"/>
            <w:hideMark/>
          </w:tcPr>
          <w:p w14:paraId="3097B3C9" w14:textId="77777777" w:rsidR="00EE16AA" w:rsidRPr="00524819" w:rsidRDefault="003A2D12" w:rsidP="003A2D12">
            <w:pPr>
              <w:jc w:val="center"/>
            </w:pPr>
            <w:r w:rsidRPr="00524819">
              <w:t>4 %</w:t>
            </w:r>
          </w:p>
        </w:tc>
        <w:tc>
          <w:tcPr>
            <w:tcW w:w="960" w:type="dxa"/>
            <w:shd w:val="clear" w:color="auto" w:fill="auto"/>
            <w:noWrap/>
            <w:vAlign w:val="bottom"/>
            <w:hideMark/>
          </w:tcPr>
          <w:p w14:paraId="46D90122" w14:textId="77777777" w:rsidR="00EE16AA" w:rsidRPr="00524819" w:rsidRDefault="00EE16AA"/>
        </w:tc>
      </w:tr>
      <w:tr w:rsidR="00EE16AA" w:rsidRPr="00524819" w14:paraId="6278D516" w14:textId="77777777" w:rsidTr="00EE16AA">
        <w:trPr>
          <w:trHeight w:val="312"/>
          <w:jc w:val="center"/>
        </w:trPr>
        <w:tc>
          <w:tcPr>
            <w:tcW w:w="2907" w:type="dxa"/>
            <w:shd w:val="clear" w:color="auto" w:fill="auto"/>
            <w:noWrap/>
            <w:vAlign w:val="bottom"/>
            <w:hideMark/>
          </w:tcPr>
          <w:p w14:paraId="2EEBE4C0" w14:textId="77777777" w:rsidR="00EE16AA" w:rsidRPr="00524819" w:rsidRDefault="00EE16AA" w:rsidP="003A2D12">
            <w:r w:rsidRPr="00524819">
              <w:t>1983 – 2002</w:t>
            </w:r>
          </w:p>
        </w:tc>
        <w:tc>
          <w:tcPr>
            <w:tcW w:w="836" w:type="dxa"/>
            <w:shd w:val="clear" w:color="auto" w:fill="auto"/>
            <w:noWrap/>
            <w:vAlign w:val="bottom"/>
            <w:hideMark/>
          </w:tcPr>
          <w:p w14:paraId="2AB36E58" w14:textId="77777777" w:rsidR="00EE16AA" w:rsidRPr="00524819" w:rsidRDefault="003A2D12" w:rsidP="003A2D12">
            <w:pPr>
              <w:jc w:val="center"/>
            </w:pPr>
            <w:r w:rsidRPr="00524819">
              <w:t>5 %</w:t>
            </w:r>
          </w:p>
        </w:tc>
        <w:tc>
          <w:tcPr>
            <w:tcW w:w="960" w:type="dxa"/>
            <w:shd w:val="clear" w:color="auto" w:fill="auto"/>
            <w:noWrap/>
            <w:vAlign w:val="bottom"/>
            <w:hideMark/>
          </w:tcPr>
          <w:p w14:paraId="409D0295" w14:textId="77777777" w:rsidR="00EE16AA" w:rsidRPr="00524819" w:rsidRDefault="00EE16AA"/>
        </w:tc>
      </w:tr>
      <w:tr w:rsidR="00EE16AA" w:rsidRPr="00524819" w14:paraId="5F0A772E" w14:textId="77777777" w:rsidTr="00EE16AA">
        <w:trPr>
          <w:trHeight w:val="312"/>
          <w:jc w:val="center"/>
        </w:trPr>
        <w:tc>
          <w:tcPr>
            <w:tcW w:w="2907" w:type="dxa"/>
            <w:shd w:val="clear" w:color="auto" w:fill="auto"/>
            <w:noWrap/>
            <w:vAlign w:val="bottom"/>
            <w:hideMark/>
          </w:tcPr>
          <w:p w14:paraId="5093875B" w14:textId="77777777" w:rsidR="00EE16AA" w:rsidRPr="00524819" w:rsidRDefault="00EE16AA" w:rsidP="003A2D12">
            <w:r w:rsidRPr="00524819">
              <w:t>2003 – 2007</w:t>
            </w:r>
          </w:p>
        </w:tc>
        <w:tc>
          <w:tcPr>
            <w:tcW w:w="836" w:type="dxa"/>
            <w:shd w:val="clear" w:color="auto" w:fill="auto"/>
            <w:noWrap/>
            <w:vAlign w:val="bottom"/>
            <w:hideMark/>
          </w:tcPr>
          <w:p w14:paraId="46BC8A25" w14:textId="77777777" w:rsidR="00EE16AA" w:rsidRPr="00524819" w:rsidRDefault="003A2D12" w:rsidP="003A2D12">
            <w:pPr>
              <w:jc w:val="center"/>
            </w:pPr>
            <w:r>
              <w:t>6%</w:t>
            </w:r>
          </w:p>
        </w:tc>
        <w:tc>
          <w:tcPr>
            <w:tcW w:w="960" w:type="dxa"/>
            <w:shd w:val="clear" w:color="auto" w:fill="auto"/>
            <w:noWrap/>
            <w:vAlign w:val="bottom"/>
            <w:hideMark/>
          </w:tcPr>
          <w:p w14:paraId="4A0C9059" w14:textId="77777777" w:rsidR="00EE16AA" w:rsidRPr="00524819" w:rsidRDefault="00EE16AA"/>
        </w:tc>
      </w:tr>
      <w:tr w:rsidR="00EE16AA" w:rsidRPr="00524819" w14:paraId="1193B258" w14:textId="77777777" w:rsidTr="00EE16AA">
        <w:trPr>
          <w:trHeight w:val="312"/>
          <w:jc w:val="center"/>
        </w:trPr>
        <w:tc>
          <w:tcPr>
            <w:tcW w:w="2907" w:type="dxa"/>
            <w:shd w:val="clear" w:color="auto" w:fill="auto"/>
            <w:noWrap/>
            <w:vAlign w:val="bottom"/>
            <w:hideMark/>
          </w:tcPr>
          <w:p w14:paraId="2F8AF92D" w14:textId="77777777" w:rsidR="00EE16AA" w:rsidRPr="00524819" w:rsidRDefault="00EE16AA" w:rsidP="003A2D12">
            <w:r w:rsidRPr="00524819">
              <w:lastRenderedPageBreak/>
              <w:t xml:space="preserve">2008 </w:t>
            </w:r>
            <w:r w:rsidR="003A2D12">
              <w:t>---</w:t>
            </w:r>
          </w:p>
        </w:tc>
        <w:tc>
          <w:tcPr>
            <w:tcW w:w="836" w:type="dxa"/>
            <w:shd w:val="clear" w:color="auto" w:fill="auto"/>
            <w:noWrap/>
            <w:vAlign w:val="bottom"/>
            <w:hideMark/>
          </w:tcPr>
          <w:p w14:paraId="0186088C" w14:textId="77777777" w:rsidR="00EE16AA" w:rsidRPr="00524819" w:rsidRDefault="003A2D12" w:rsidP="003A2D12">
            <w:pPr>
              <w:jc w:val="center"/>
            </w:pPr>
            <w:r>
              <w:t>7%</w:t>
            </w:r>
          </w:p>
        </w:tc>
        <w:tc>
          <w:tcPr>
            <w:tcW w:w="960" w:type="dxa"/>
            <w:shd w:val="clear" w:color="auto" w:fill="auto"/>
            <w:noWrap/>
            <w:vAlign w:val="bottom"/>
            <w:hideMark/>
          </w:tcPr>
          <w:p w14:paraId="0E028422" w14:textId="77777777" w:rsidR="00EE16AA" w:rsidRPr="00524819" w:rsidRDefault="00EE16AA"/>
        </w:tc>
      </w:tr>
    </w:tbl>
    <w:p w14:paraId="6A2D9C77" w14:textId="77777777" w:rsidR="00F643A5" w:rsidRPr="00524819" w:rsidRDefault="003A2D12">
      <w:r w:rsidRPr="003A2D12">
        <w:rPr>
          <w:b/>
        </w:rPr>
        <w:t>Notes:</w:t>
      </w:r>
      <w:r>
        <w:t xml:space="preserve"> </w:t>
      </w:r>
      <w:r w:rsidR="00EE16AA" w:rsidRPr="00524819">
        <w:t>* 1964 first year for adjusted gross income tax for individuals.</w:t>
      </w:r>
      <w:r w:rsidR="00EE16AA">
        <w:t xml:space="preserve"> </w:t>
      </w:r>
      <w:r w:rsidR="00EE16AA" w:rsidRPr="00524819">
        <w:t>Prior to that, individuals were subject to gross income tax.</w:t>
      </w:r>
      <w:r w:rsidR="00EE16AA">
        <w:t xml:space="preserve"> </w:t>
      </w:r>
      <w:r w:rsidR="00EE16AA" w:rsidRPr="00524819">
        <w:t>** The tax rate was 2%; however, after reducing the tax by a special 15% credit, the effective rate was 1.7%.</w:t>
      </w:r>
      <w:r w:rsidR="00EE16AA">
        <w:t xml:space="preserve"> </w:t>
      </w:r>
      <w:r w:rsidR="00EE16AA" w:rsidRPr="00524819">
        <w:t>*** The 3.4% went into effect for half of 1987.  This rate is the average of 3% and 3.4%.</w:t>
      </w:r>
    </w:p>
    <w:sectPr w:rsidR="00F643A5" w:rsidRPr="0052481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31757" w14:textId="77777777" w:rsidR="009F1F40" w:rsidRDefault="009F1F40" w:rsidP="007332C3">
      <w:r>
        <w:separator/>
      </w:r>
    </w:p>
  </w:endnote>
  <w:endnote w:type="continuationSeparator" w:id="0">
    <w:p w14:paraId="023EF6DD" w14:textId="77777777" w:rsidR="009F1F40" w:rsidRDefault="009F1F40" w:rsidP="00733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B5457" w14:textId="77777777" w:rsidR="007332C3" w:rsidRDefault="007332C3">
    <w:pPr>
      <w:pStyle w:val="Footer"/>
      <w:jc w:val="center"/>
    </w:pPr>
    <w:r>
      <w:fldChar w:fldCharType="begin"/>
    </w:r>
    <w:r>
      <w:instrText xml:space="preserve"> PAGE   \* MERGEFORMAT </w:instrText>
    </w:r>
    <w:r>
      <w:fldChar w:fldCharType="separate"/>
    </w:r>
    <w:r w:rsidR="00F928B1">
      <w:rPr>
        <w:noProof/>
      </w:rPr>
      <w:t>1</w:t>
    </w:r>
    <w:r>
      <w:rPr>
        <w:noProof/>
      </w:rPr>
      <w:fldChar w:fldCharType="end"/>
    </w:r>
  </w:p>
  <w:p w14:paraId="715F4739" w14:textId="77777777" w:rsidR="007332C3" w:rsidRDefault="00733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6683" w14:textId="77777777" w:rsidR="009F1F40" w:rsidRDefault="009F1F40" w:rsidP="007332C3">
      <w:r>
        <w:separator/>
      </w:r>
    </w:p>
  </w:footnote>
  <w:footnote w:type="continuationSeparator" w:id="0">
    <w:p w14:paraId="4AA650A7" w14:textId="77777777" w:rsidR="009F1F40" w:rsidRDefault="009F1F40" w:rsidP="007332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033B5"/>
    <w:multiLevelType w:val="hybridMultilevel"/>
    <w:tmpl w:val="E1F86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BA"/>
    <w:rsid w:val="00006A8A"/>
    <w:rsid w:val="000301F8"/>
    <w:rsid w:val="00060F0E"/>
    <w:rsid w:val="00067281"/>
    <w:rsid w:val="000773DB"/>
    <w:rsid w:val="000B77B4"/>
    <w:rsid w:val="000C347C"/>
    <w:rsid w:val="001422E6"/>
    <w:rsid w:val="00150CC6"/>
    <w:rsid w:val="001546D6"/>
    <w:rsid w:val="001734BA"/>
    <w:rsid w:val="0018119A"/>
    <w:rsid w:val="001C6BB5"/>
    <w:rsid w:val="002008F7"/>
    <w:rsid w:val="00224322"/>
    <w:rsid w:val="002613FA"/>
    <w:rsid w:val="00296167"/>
    <w:rsid w:val="002F2348"/>
    <w:rsid w:val="003162A1"/>
    <w:rsid w:val="00344170"/>
    <w:rsid w:val="003A2D12"/>
    <w:rsid w:val="004020FF"/>
    <w:rsid w:val="0047733E"/>
    <w:rsid w:val="004C10A8"/>
    <w:rsid w:val="004C68B0"/>
    <w:rsid w:val="00524819"/>
    <w:rsid w:val="00525A0D"/>
    <w:rsid w:val="00526CC2"/>
    <w:rsid w:val="00543BAF"/>
    <w:rsid w:val="00554D67"/>
    <w:rsid w:val="00564C68"/>
    <w:rsid w:val="00573703"/>
    <w:rsid w:val="00597EF8"/>
    <w:rsid w:val="005B02A8"/>
    <w:rsid w:val="005B71B1"/>
    <w:rsid w:val="005D2962"/>
    <w:rsid w:val="006342FA"/>
    <w:rsid w:val="006761DC"/>
    <w:rsid w:val="006805A0"/>
    <w:rsid w:val="00684BC9"/>
    <w:rsid w:val="006C531A"/>
    <w:rsid w:val="006E62A4"/>
    <w:rsid w:val="006F1724"/>
    <w:rsid w:val="006F2A6E"/>
    <w:rsid w:val="00714087"/>
    <w:rsid w:val="00721E17"/>
    <w:rsid w:val="007332C3"/>
    <w:rsid w:val="00741EE9"/>
    <w:rsid w:val="00755F9B"/>
    <w:rsid w:val="00770525"/>
    <w:rsid w:val="0077316B"/>
    <w:rsid w:val="00782E66"/>
    <w:rsid w:val="00785DC3"/>
    <w:rsid w:val="00795583"/>
    <w:rsid w:val="007A6EBB"/>
    <w:rsid w:val="007B2599"/>
    <w:rsid w:val="007C06A0"/>
    <w:rsid w:val="007E0889"/>
    <w:rsid w:val="007E54D4"/>
    <w:rsid w:val="00811F76"/>
    <w:rsid w:val="00814117"/>
    <w:rsid w:val="008302AC"/>
    <w:rsid w:val="0085044E"/>
    <w:rsid w:val="00861CB4"/>
    <w:rsid w:val="00875D97"/>
    <w:rsid w:val="008C28CF"/>
    <w:rsid w:val="008D3D7B"/>
    <w:rsid w:val="0092735E"/>
    <w:rsid w:val="00927D1C"/>
    <w:rsid w:val="00934DDE"/>
    <w:rsid w:val="00935D00"/>
    <w:rsid w:val="009665F9"/>
    <w:rsid w:val="00976F62"/>
    <w:rsid w:val="00985C54"/>
    <w:rsid w:val="009A67FD"/>
    <w:rsid w:val="009F1F40"/>
    <w:rsid w:val="009F20E2"/>
    <w:rsid w:val="00A010D8"/>
    <w:rsid w:val="00A05AB7"/>
    <w:rsid w:val="00A10DD3"/>
    <w:rsid w:val="00A5108C"/>
    <w:rsid w:val="00A6713C"/>
    <w:rsid w:val="00A86C98"/>
    <w:rsid w:val="00AB3118"/>
    <w:rsid w:val="00AC1F96"/>
    <w:rsid w:val="00AE6DB8"/>
    <w:rsid w:val="00B77448"/>
    <w:rsid w:val="00BA47A0"/>
    <w:rsid w:val="00BB3BAC"/>
    <w:rsid w:val="00BB78CE"/>
    <w:rsid w:val="00C15DD2"/>
    <w:rsid w:val="00C2178B"/>
    <w:rsid w:val="00C623BC"/>
    <w:rsid w:val="00C66C7E"/>
    <w:rsid w:val="00C80112"/>
    <w:rsid w:val="00C92A01"/>
    <w:rsid w:val="00CA561E"/>
    <w:rsid w:val="00CB1EFC"/>
    <w:rsid w:val="00CD0A0B"/>
    <w:rsid w:val="00CF6474"/>
    <w:rsid w:val="00D0179D"/>
    <w:rsid w:val="00D658C3"/>
    <w:rsid w:val="00D752A1"/>
    <w:rsid w:val="00D80966"/>
    <w:rsid w:val="00DB3215"/>
    <w:rsid w:val="00DC04AB"/>
    <w:rsid w:val="00E01340"/>
    <w:rsid w:val="00E03983"/>
    <w:rsid w:val="00E11691"/>
    <w:rsid w:val="00E22EF0"/>
    <w:rsid w:val="00E25AA4"/>
    <w:rsid w:val="00E8663D"/>
    <w:rsid w:val="00E92187"/>
    <w:rsid w:val="00EE16AA"/>
    <w:rsid w:val="00EF73BE"/>
    <w:rsid w:val="00F2601E"/>
    <w:rsid w:val="00F328F8"/>
    <w:rsid w:val="00F54447"/>
    <w:rsid w:val="00F633AE"/>
    <w:rsid w:val="00F643A5"/>
    <w:rsid w:val="00F9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FC00C"/>
  <w15:chartTrackingRefBased/>
  <w15:docId w15:val="{2197A53D-CDF3-4144-8947-FB7061AB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link w:val="HeaderChar"/>
    <w:rsid w:val="007332C3"/>
    <w:pPr>
      <w:tabs>
        <w:tab w:val="center" w:pos="4680"/>
        <w:tab w:val="right" w:pos="9360"/>
      </w:tabs>
    </w:pPr>
  </w:style>
  <w:style w:type="character" w:customStyle="1" w:styleId="HeaderChar">
    <w:name w:val="Header Char"/>
    <w:link w:val="Header"/>
    <w:rsid w:val="007332C3"/>
    <w:rPr>
      <w:sz w:val="24"/>
      <w:szCs w:val="24"/>
    </w:rPr>
  </w:style>
  <w:style w:type="paragraph" w:styleId="Footer">
    <w:name w:val="footer"/>
    <w:basedOn w:val="Normal"/>
    <w:link w:val="FooterChar"/>
    <w:uiPriority w:val="99"/>
    <w:rsid w:val="007332C3"/>
    <w:pPr>
      <w:tabs>
        <w:tab w:val="center" w:pos="4680"/>
        <w:tab w:val="right" w:pos="9360"/>
      </w:tabs>
    </w:pPr>
  </w:style>
  <w:style w:type="character" w:customStyle="1" w:styleId="FooterChar">
    <w:name w:val="Footer Char"/>
    <w:link w:val="Footer"/>
    <w:uiPriority w:val="99"/>
    <w:rsid w:val="007332C3"/>
    <w:rPr>
      <w:sz w:val="24"/>
      <w:szCs w:val="24"/>
    </w:rPr>
  </w:style>
  <w:style w:type="character" w:styleId="UnresolvedMention">
    <w:name w:val="Unresolved Mention"/>
    <w:uiPriority w:val="47"/>
    <w:rsid w:val="00A1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583525">
      <w:bodyDiv w:val="1"/>
      <w:marLeft w:val="0"/>
      <w:marRight w:val="0"/>
      <w:marTop w:val="0"/>
      <w:marBottom w:val="0"/>
      <w:divBdr>
        <w:top w:val="none" w:sz="0" w:space="0" w:color="auto"/>
        <w:left w:val="none" w:sz="0" w:space="0" w:color="auto"/>
        <w:bottom w:val="none" w:sz="0" w:space="0" w:color="auto"/>
        <w:right w:val="none" w:sz="0" w:space="0" w:color="auto"/>
      </w:divBdr>
    </w:div>
    <w:div w:id="1107232692">
      <w:bodyDiv w:val="1"/>
      <w:marLeft w:val="0"/>
      <w:marRight w:val="0"/>
      <w:marTop w:val="0"/>
      <w:marBottom w:val="0"/>
      <w:divBdr>
        <w:top w:val="none" w:sz="0" w:space="0" w:color="auto"/>
        <w:left w:val="none" w:sz="0" w:space="0" w:color="auto"/>
        <w:bottom w:val="none" w:sz="0" w:space="0" w:color="auto"/>
        <w:right w:val="none" w:sz="0" w:space="0" w:color="auto"/>
      </w:divBdr>
    </w:div>
    <w:div w:id="181386980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gov/sba/2760.htm" TargetMode="External"/><Relationship Id="rId3" Type="http://schemas.openxmlformats.org/officeDocument/2006/relationships/settings" Target="settings.xml"/><Relationship Id="rId7" Type="http://schemas.openxmlformats.org/officeDocument/2006/relationships/hyperlink" Target="https://www.in.gov/sba/2363.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be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V609</vt:lpstr>
    </vt:vector>
  </TitlesOfParts>
  <Company>Indiana University</Company>
  <LinksUpToDate>false</LinksUpToDate>
  <CharactersWithSpaces>4416</CharactersWithSpaces>
  <SharedDoc>false</SharedDoc>
  <HLinks>
    <vt:vector size="12" baseType="variant">
      <vt:variant>
        <vt:i4>8061026</vt:i4>
      </vt:variant>
      <vt:variant>
        <vt:i4>3</vt:i4>
      </vt:variant>
      <vt:variant>
        <vt:i4>0</vt:i4>
      </vt:variant>
      <vt:variant>
        <vt:i4>5</vt:i4>
      </vt:variant>
      <vt:variant>
        <vt:lpwstr>https://www.in.gov/sba/2363.htm</vt:lpwstr>
      </vt:variant>
      <vt:variant>
        <vt:lpwstr/>
      </vt:variant>
      <vt:variant>
        <vt:i4>4063285</vt:i4>
      </vt:variant>
      <vt:variant>
        <vt:i4>0</vt:i4>
      </vt:variant>
      <vt:variant>
        <vt:i4>0</vt:i4>
      </vt:variant>
      <vt:variant>
        <vt:i4>5</vt:i4>
      </vt:variant>
      <vt:variant>
        <vt:lpwstr>http://www.bea.doc.gov/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V609</dc:title>
  <dc:subject/>
  <dc:creator>Administrator</dc:creator>
  <cp:keywords/>
  <cp:lastModifiedBy>Duncan, Denvil</cp:lastModifiedBy>
  <cp:revision>9</cp:revision>
  <cp:lastPrinted>2003-01-08T14:31:00Z</cp:lastPrinted>
  <dcterms:created xsi:type="dcterms:W3CDTF">2019-01-06T23:30:00Z</dcterms:created>
  <dcterms:modified xsi:type="dcterms:W3CDTF">2022-01-06T19:53:00Z</dcterms:modified>
</cp:coreProperties>
</file>