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Cambria" w:cs="Cambria" w:eastAsia="Cambria" w:hAnsi="Cambria"/>
          <w:b/>
          <w:bCs/>
          <w:color w:val="1E2761"/>
          <w:sz w:val="64"/>
          <w:szCs w:val="64"/>
        </w:rPr>
        <w:t xml:space="preserve">MarketPulse</w:t>
      </w:r>
    </w:p>
    <w:p>
      <w:pPr>
        <w:spacing w:after="800" w:before="200"/>
        <w:jc w:val="center"/>
      </w:pPr>
      <w:r>
        <w:rPr>
          <w:rFonts w:ascii="Calibri" w:cs="Calibri" w:eastAsia="Calibri" w:hAnsi="Calibri"/>
          <w:color w:val="5A6B99"/>
          <w:sz w:val="28"/>
          <w:szCs w:val="28"/>
        </w:rPr>
        <w:t xml:space="preserve">Rapport d'analyse et recommandations de portefeuille</w:t>
      </w:r>
    </w:p>
    <w:p>
      <w:pPr>
        <w:spacing w:before="1600"/>
        <w:jc w:val="center"/>
      </w:pPr>
      <w:r>
        <w:rPr>
          <w:rFonts w:ascii="Calibri" w:cs="Calibri" w:eastAsia="Calibri" w:hAnsi="Calibri"/>
          <w:i/>
          <w:iCs/>
          <w:color w:val="5F5E5A"/>
          <w:sz w:val="22"/>
          <w:szCs w:val="22"/>
        </w:rPr>
        <w:t xml:space="preserve">Data Analyst — Finance, Business Intelligence et Aide à la décision</w:t>
      </w:r>
    </w:p>
    <w:p>
      <w:pPr>
        <w:spacing w:before="100"/>
        <w:jc w:val="center"/>
      </w:pPr>
      <w:r>
        <w:rPr>
          <w:rFonts w:ascii="Calibri" w:cs="Calibri" w:eastAsia="Calibri" w:hAnsi="Calibri"/>
          <w:color w:val="5F5E5A"/>
          <w:sz w:val="18"/>
          <w:szCs w:val="18"/>
        </w:rPr>
        <w:t xml:space="preserve">Données simulées à des fins de démonstration — Juillet 2026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Cambria" w:cs="Cambria" w:eastAsia="Cambria" w:hAnsi="Cambria"/>
          <w:b/>
          <w:bCs/>
          <w:color w:val="1E2761"/>
          <w:sz w:val="30"/>
          <w:szCs w:val="30"/>
        </w:rPr>
        <w:t xml:space="preserve">Contexte et méthodologie</w:t>
      </w:r>
    </w:p>
    <w:p>
      <w:pPr>
        <w:spacing w:after="16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Ce rapport présente l'analyse d'un portefeuille boursier de 45 170 EUR réparti sur 10 positions, avec pour objectif de répondre à trois questions concrètes : le portefeuille est-il bien diversifié, le risque pris est-il compensé par le rendement obtenu, et comment se compare-t-il à un indice de référence (CAC 40) ?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Démarche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Cadrage du besoin avant toute construction technique, à partir d'un brief client.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Consolidation des données de marché et calcul des indicateurs financiers (rendement, volatilité, ratio de Sharpe, bêta, drawdown, corrélations).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Construction d'un dashboard de suivi (Excel et Power BI) pour un usage récurrent, mensuel.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Traduction des résultats chiffrés en recommandations actionnables, présentées en fin de rapport.</w:t>
      </w:r>
    </w:p>
    <w:p>
      <w:pPr>
        <w:pStyle w:val="Heading1"/>
        <w:spacing w:after="160" w:before="300"/>
      </w:pPr>
      <w:r>
        <w:rPr>
          <w:rFonts w:ascii="Cambria" w:cs="Cambria" w:eastAsia="Cambria" w:hAnsi="Cambria"/>
          <w:b/>
          <w:bCs/>
          <w:color w:val="1E2761"/>
          <w:sz w:val="30"/>
          <w:szCs w:val="30"/>
        </w:rPr>
        <w:t xml:space="preserve">Résultats clés</w:t>
      </w:r>
    </w:p>
    <w:tbl>
      <w:tblPr>
        <w:tblW w:type="dxa" w:w="10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  <w:shd w:fill="F4F6FB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2E7D32"/>
                <w:sz w:val="32"/>
                <w:szCs w:val="32"/>
              </w:rPr>
              <w:t xml:space="preserve">+21,9 %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F5E5A"/>
                <w:sz w:val="16"/>
                <w:szCs w:val="16"/>
              </w:rPr>
              <w:t xml:space="preserve">Rendement annualisé</w:t>
            </w:r>
          </w:p>
        </w:tc>
        <w:tc>
          <w:tcPr>
            <w:tcW w:type="dxa" w:w="2500"/>
            <w:shd w:fill="F4F6FB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2E7D32"/>
                <w:sz w:val="32"/>
                <w:szCs w:val="32"/>
              </w:rPr>
              <w:t xml:space="preserve">+19,6 pts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F5E5A"/>
                <w:sz w:val="16"/>
                <w:szCs w:val="16"/>
              </w:rPr>
              <w:t xml:space="preserve">vs CAC 40 (+2,3 %)</w:t>
            </w:r>
          </w:p>
        </w:tc>
        <w:tc>
          <w:tcPr>
            <w:tcW w:type="dxa" w:w="2500"/>
            <w:shd w:fill="F4F6FB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32"/>
                <w:szCs w:val="32"/>
              </w:rPr>
              <w:t xml:space="preserve">0,79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F5E5A"/>
                <w:sz w:val="16"/>
                <w:szCs w:val="16"/>
              </w:rPr>
              <w:t xml:space="preserve">Ratio de Sharpe</w:t>
            </w:r>
          </w:p>
        </w:tc>
        <w:tc>
          <w:tcPr>
            <w:tcW w:type="dxa" w:w="2500"/>
            <w:shd w:fill="F4F6FB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C62828"/>
                <w:sz w:val="32"/>
                <w:szCs w:val="32"/>
              </w:rPr>
              <w:t xml:space="preserve">29,9 %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F5E5A"/>
                <w:sz w:val="16"/>
                <w:szCs w:val="16"/>
              </w:rPr>
              <w:t xml:space="preserve">Concentration sectorielle max</w:t>
            </w:r>
          </w:p>
        </w:tc>
      </w:tr>
    </w:tbl>
    <w:p>
      <w:pPr>
        <w:spacing w:after="160" w:before="30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Performance vs indice de référence</w:t>
      </w:r>
    </w:p>
    <w:p>
      <w:pPr>
        <w:jc w:val="center"/>
      </w:pPr>
      <w:r>
        <w:drawing>
          <wp:inline distT="0" distB="0" distL="0" distR="0">
            <wp:extent cx="53340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L'écart de volatilité (24,1 % contre 16,0 % pour le CAC 40) indique que la surperformance du portefeuille s'accompagne d'un risque plus élevé — un point à toujours présenter avec le rendement, jamais isolément.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Cambria" w:cs="Cambria" w:eastAsia="Cambria" w:hAnsi="Cambria"/>
          <w:b/>
          <w:bCs/>
          <w:color w:val="1E2761"/>
          <w:sz w:val="30"/>
          <w:szCs w:val="30"/>
        </w:rPr>
        <w:t xml:space="preserve">Analyse détaillée par position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1300"/>
        <w:gridCol w:w="2100"/>
        <w:gridCol w:w="1500"/>
        <w:gridCol w:w="1300"/>
      </w:tblGrid>
      <w:tr>
        <w:trPr>
          <w:tblHeader/>
        </w:trPr>
        <w:tc>
          <w:tcPr>
            <w:tcW w:type="dxa" w:w="1900"/>
            <w:shd w:fill="1E276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Position</w:t>
            </w:r>
          </w:p>
        </w:tc>
        <w:tc>
          <w:tcPr>
            <w:tcW w:type="dxa" w:w="1900"/>
            <w:shd w:fill="1E276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Secteur</w:t>
            </w:r>
          </w:p>
        </w:tc>
        <w:tc>
          <w:tcPr>
            <w:tcW w:type="dxa" w:w="1300"/>
            <w:shd w:fill="1E276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Poids</w:t>
            </w:r>
          </w:p>
        </w:tc>
        <w:tc>
          <w:tcPr>
            <w:tcW w:type="dxa" w:w="2100"/>
            <w:shd w:fill="1E276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Rendement annualisé</w:t>
            </w:r>
          </w:p>
        </w:tc>
        <w:tc>
          <w:tcPr>
            <w:tcW w:type="dxa" w:w="1500"/>
            <w:shd w:fill="1E276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Volatilité</w:t>
            </w:r>
          </w:p>
        </w:tc>
        <w:tc>
          <w:tcPr>
            <w:tcW w:type="dxa" w:w="1300"/>
            <w:shd w:fill="1E276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Sharpe</w:t>
            </w:r>
          </w:p>
        </w:tc>
      </w:tr>
      <w:tr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Apple</w:t>
            </w:r>
          </w:p>
        </w:tc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13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15,1 %</w:t>
            </w:r>
          </w:p>
        </w:tc>
        <w:tc>
          <w:tcPr>
            <w:tcW w:type="dxa" w:w="21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C62828"/>
                <w:sz w:val="19"/>
                <w:szCs w:val="19"/>
              </w:rPr>
              <w:t xml:space="preserve">-44,5 %</w:t>
            </w:r>
          </w:p>
        </w:tc>
        <w:tc>
          <w:tcPr>
            <w:tcW w:type="dxa" w:w="15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26,9 %</w:t>
            </w:r>
          </w:p>
        </w:tc>
        <w:tc>
          <w:tcPr>
            <w:tcW w:type="dxa" w:w="13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C62828"/>
                <w:sz w:val="19"/>
                <w:szCs w:val="19"/>
              </w:rPr>
              <w:t xml:space="preserve">-1,77</w:t>
            </w:r>
          </w:p>
        </w:tc>
      </w:tr>
      <w:tr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Microsoft</w:t>
            </w:r>
          </w:p>
        </w:tc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13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14,7 %</w:t>
            </w:r>
          </w:p>
        </w:tc>
        <w:tc>
          <w:tcPr>
            <w:tcW w:type="dxa" w:w="21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19"/>
                <w:szCs w:val="19"/>
              </w:rPr>
              <w:t xml:space="preserve">+55,9 %</w:t>
            </w:r>
          </w:p>
        </w:tc>
        <w:tc>
          <w:tcPr>
            <w:tcW w:type="dxa" w:w="15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27,4 %</w:t>
            </w:r>
          </w:p>
        </w:tc>
        <w:tc>
          <w:tcPr>
            <w:tcW w:type="dxa" w:w="13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19"/>
                <w:szCs w:val="19"/>
              </w:rPr>
              <w:t xml:space="preserve">1,93</w:t>
            </w:r>
          </w:p>
        </w:tc>
      </w:tr>
      <w:tr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TotalEnergies</w:t>
            </w:r>
          </w:p>
        </w:tc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Énergie</w:t>
            </w:r>
          </w:p>
        </w:tc>
        <w:tc>
          <w:tcPr>
            <w:tcW w:type="dxa" w:w="13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8,0 %</w:t>
            </w:r>
          </w:p>
        </w:tc>
        <w:tc>
          <w:tcPr>
            <w:tcW w:type="dxa" w:w="21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19"/>
                <w:szCs w:val="19"/>
              </w:rPr>
              <w:t xml:space="preserve">+56,2 %</w:t>
            </w:r>
          </w:p>
        </w:tc>
        <w:tc>
          <w:tcPr>
            <w:tcW w:type="dxa" w:w="15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32,1 %</w:t>
            </w:r>
          </w:p>
        </w:tc>
        <w:tc>
          <w:tcPr>
            <w:tcW w:type="dxa" w:w="13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19"/>
                <w:szCs w:val="19"/>
              </w:rPr>
              <w:t xml:space="preserve">1,66</w:t>
            </w:r>
          </w:p>
        </w:tc>
      </w:tr>
      <w:tr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Exxon Mobil</w:t>
            </w:r>
          </w:p>
        </w:tc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Énergie</w:t>
            </w:r>
          </w:p>
        </w:tc>
        <w:tc>
          <w:tcPr>
            <w:tcW w:type="dxa" w:w="13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7,0 %</w:t>
            </w:r>
          </w:p>
        </w:tc>
        <w:tc>
          <w:tcPr>
            <w:tcW w:type="dxa" w:w="21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C62828"/>
                <w:sz w:val="19"/>
                <w:szCs w:val="19"/>
              </w:rPr>
              <w:t xml:space="preserve">-36,6 %</w:t>
            </w:r>
          </w:p>
        </w:tc>
        <w:tc>
          <w:tcPr>
            <w:tcW w:type="dxa" w:w="15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28,3 %</w:t>
            </w:r>
          </w:p>
        </w:tc>
        <w:tc>
          <w:tcPr>
            <w:tcW w:type="dxa" w:w="13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C62828"/>
                <w:sz w:val="19"/>
                <w:szCs w:val="19"/>
              </w:rPr>
              <w:t xml:space="preserve">-1,40</w:t>
            </w:r>
          </w:p>
        </w:tc>
      </w:tr>
      <w:tr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Sanofi</w:t>
            </w:r>
          </w:p>
        </w:tc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Santé</w:t>
            </w:r>
          </w:p>
        </w:tc>
        <w:tc>
          <w:tcPr>
            <w:tcW w:type="dxa" w:w="13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8,0 %</w:t>
            </w:r>
          </w:p>
        </w:tc>
        <w:tc>
          <w:tcPr>
            <w:tcW w:type="dxa" w:w="21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C62828"/>
                <w:sz w:val="19"/>
                <w:szCs w:val="19"/>
              </w:rPr>
              <w:t xml:space="preserve">-39,7 %</w:t>
            </w:r>
          </w:p>
        </w:tc>
        <w:tc>
          <w:tcPr>
            <w:tcW w:type="dxa" w:w="15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18,0 %</w:t>
            </w:r>
          </w:p>
        </w:tc>
        <w:tc>
          <w:tcPr>
            <w:tcW w:type="dxa" w:w="13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C62828"/>
                <w:sz w:val="19"/>
                <w:szCs w:val="19"/>
              </w:rPr>
              <w:t xml:space="preserve">-2,37</w:t>
            </w:r>
          </w:p>
        </w:tc>
      </w:tr>
      <w:tr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Johnson &amp; Johnson</w:t>
            </w:r>
          </w:p>
        </w:tc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Santé</w:t>
            </w:r>
          </w:p>
        </w:tc>
        <w:tc>
          <w:tcPr>
            <w:tcW w:type="dxa" w:w="13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6,9 %</w:t>
            </w:r>
          </w:p>
        </w:tc>
        <w:tc>
          <w:tcPr>
            <w:tcW w:type="dxa" w:w="21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19"/>
                <w:szCs w:val="19"/>
              </w:rPr>
              <w:t xml:space="preserve">+34,6 %</w:t>
            </w:r>
          </w:p>
        </w:tc>
        <w:tc>
          <w:tcPr>
            <w:tcW w:type="dxa" w:w="15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16,2 %</w:t>
            </w:r>
          </w:p>
        </w:tc>
        <w:tc>
          <w:tcPr>
            <w:tcW w:type="dxa" w:w="13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19"/>
                <w:szCs w:val="19"/>
              </w:rPr>
              <w:t xml:space="preserve">1,95</w:t>
            </w:r>
          </w:p>
        </w:tc>
      </w:tr>
      <w:tr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BNP Paribas</w:t>
            </w:r>
          </w:p>
        </w:tc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Finance</w:t>
            </w:r>
          </w:p>
        </w:tc>
        <w:tc>
          <w:tcPr>
            <w:tcW w:type="dxa" w:w="13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8,0 %</w:t>
            </w:r>
          </w:p>
        </w:tc>
        <w:tc>
          <w:tcPr>
            <w:tcW w:type="dxa" w:w="21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19"/>
                <w:szCs w:val="19"/>
              </w:rPr>
              <w:t xml:space="preserve">+42,0 %</w:t>
            </w:r>
          </w:p>
        </w:tc>
        <w:tc>
          <w:tcPr>
            <w:tcW w:type="dxa" w:w="15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23,5 %</w:t>
            </w:r>
          </w:p>
        </w:tc>
        <w:tc>
          <w:tcPr>
            <w:tcW w:type="dxa" w:w="13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19"/>
                <w:szCs w:val="19"/>
              </w:rPr>
              <w:t xml:space="preserve">1,66</w:t>
            </w:r>
          </w:p>
        </w:tc>
      </w:tr>
      <w:tr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JPMorgan Chase</w:t>
            </w:r>
          </w:p>
        </w:tc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Finance</w:t>
            </w:r>
          </w:p>
        </w:tc>
        <w:tc>
          <w:tcPr>
            <w:tcW w:type="dxa" w:w="13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6,9 %</w:t>
            </w:r>
          </w:p>
        </w:tc>
        <w:tc>
          <w:tcPr>
            <w:tcW w:type="dxa" w:w="21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19"/>
                <w:szCs w:val="19"/>
              </w:rPr>
              <w:t xml:space="preserve">+60,2 %</w:t>
            </w:r>
          </w:p>
        </w:tc>
        <w:tc>
          <w:tcPr>
            <w:tcW w:type="dxa" w:w="15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23,6 %</w:t>
            </w:r>
          </w:p>
        </w:tc>
        <w:tc>
          <w:tcPr>
            <w:tcW w:type="dxa" w:w="13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19"/>
                <w:szCs w:val="19"/>
              </w:rPr>
              <w:t xml:space="preserve">2,43</w:t>
            </w:r>
          </w:p>
        </w:tc>
      </w:tr>
      <w:tr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LVMH</w:t>
            </w:r>
          </w:p>
        </w:tc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Consommation</w:t>
            </w:r>
          </w:p>
        </w:tc>
        <w:tc>
          <w:tcPr>
            <w:tcW w:type="dxa" w:w="13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15,5 %</w:t>
            </w:r>
          </w:p>
        </w:tc>
        <w:tc>
          <w:tcPr>
            <w:tcW w:type="dxa" w:w="21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19"/>
                <w:szCs w:val="19"/>
              </w:rPr>
              <w:t xml:space="preserve">+56,2 %</w:t>
            </w:r>
          </w:p>
        </w:tc>
        <w:tc>
          <w:tcPr>
            <w:tcW w:type="dxa" w:w="15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25,7 %</w:t>
            </w:r>
          </w:p>
        </w:tc>
        <w:tc>
          <w:tcPr>
            <w:tcW w:type="dxa" w:w="13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19"/>
                <w:szCs w:val="19"/>
              </w:rPr>
              <w:t xml:space="preserve">2,07</w:t>
            </w:r>
          </w:p>
        </w:tc>
      </w:tr>
      <w:tr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Coca-Cola</w:t>
            </w:r>
          </w:p>
        </w:tc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Consommation</w:t>
            </w:r>
          </w:p>
        </w:tc>
        <w:tc>
          <w:tcPr>
            <w:tcW w:type="dxa" w:w="13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10,0 %</w:t>
            </w:r>
          </w:p>
        </w:tc>
        <w:tc>
          <w:tcPr>
            <w:tcW w:type="dxa" w:w="21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19"/>
                <w:szCs w:val="19"/>
              </w:rPr>
              <w:t xml:space="preserve">+30,8 %</w:t>
            </w:r>
          </w:p>
        </w:tc>
        <w:tc>
          <w:tcPr>
            <w:tcW w:type="dxa" w:w="15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13,9 %</w:t>
            </w:r>
          </w:p>
        </w:tc>
        <w:tc>
          <w:tcPr>
            <w:tcW w:type="dxa" w:w="13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19"/>
                <w:szCs w:val="19"/>
              </w:rPr>
              <w:t xml:space="preserve">2,00</w:t>
            </w:r>
          </w:p>
        </w:tc>
      </w:tr>
    </w:tbl>
    <w:p>
      <w:pPr>
        <w:spacing w:after="160" w:before="26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Ratio de Sharpe par position</w:t>
      </w:r>
    </w:p>
    <w:p>
      <w:pPr>
        <w:jc w:val="center"/>
      </w:pPr>
      <w:r>
        <w:drawing>
          <wp:inline distT="0" distB="0" distL="0" distR="0">
            <wp:extent cx="53340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Deux positions affichent un ratio de Sharpe négatif (Apple, Exxon Mobil) et Sanofi présente le couple risque/rendement le plus défavorable du portefeuille (-2,37) — ces trois positions méritent un examen prioritaire.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Cambria" w:cs="Cambria" w:eastAsia="Cambria" w:hAnsi="Cambria"/>
          <w:b/>
          <w:bCs/>
          <w:color w:val="1E2761"/>
          <w:sz w:val="30"/>
          <w:szCs w:val="30"/>
        </w:rPr>
        <w:t xml:space="preserve">Recommandations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1. </w:t>
      </w: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Réduire la concentration sur la Technologie</w:t>
      </w:r>
    </w:p>
    <w:p>
      <w:pPr>
        <w:spacing w:after="16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29,9 % du portefeuille repose sur un seul secteur (Apple et Microsoft). Une correction sectorielle aurait un impact disproportionné sur la valeur totale. Envisager de redistribuer 8 à 10 points vers la Santé ou la Finance, secteurs actuellement sous-pondérés.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2. </w:t>
      </w: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Réévaluer la position Sanofi</w:t>
      </w:r>
    </w:p>
    <w:p>
      <w:pPr>
        <w:spacing w:after="16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Avec un ratio de Sharpe de -2,37, cette position prend un niveau de risque qui n'est pas rémunéré par le rendement obtenu. Une réduction ou un arbitrage vers une position plus efficiente est à envisager.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3. </w:t>
      </w: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Documenter la surperformance vs CAC 40 avec nuance</w:t>
      </w:r>
    </w:p>
    <w:p>
      <w:pPr>
        <w:spacing w:after="16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Les +19,6 points de surperformance s'accompagnent d'une volatilité supérieure de 8 points. Ce résultat doit être présenté comme un couple rendement/risque, jamais comme un gain sans contrepartie.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4. </w:t>
      </w: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Conserver la diversification hors effet sectoriel</w:t>
      </w:r>
    </w:p>
    <w:p>
      <w:pPr>
        <w:spacing w:after="16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Les corrélations mesurées entre positions restent proches de zéro (cf. annexe Indicateurs_Risque) : la structure actuelle diversifie correctement le risque propre à chaque titre, au-delà de la seule répartition sectorielle.</w:t>
      </w:r>
    </w:p>
    <w:p>
      <w:pPr>
        <w:pStyle w:val="Heading1"/>
        <w:spacing w:after="160" w:before="300"/>
      </w:pPr>
      <w:r>
        <w:rPr>
          <w:rFonts w:ascii="Cambria" w:cs="Cambria" w:eastAsia="Cambria" w:hAnsi="Cambria"/>
          <w:b/>
          <w:bCs/>
          <w:color w:val="1E2761"/>
          <w:sz w:val="30"/>
          <w:szCs w:val="30"/>
        </w:rPr>
        <w:t xml:space="preserve">Limites de l'analyse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Les données présentées dans ce rapport sont simulées à des fins de démonstration ; elles ne doivent jamais être interprétées comme des cours réels.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L'analyse s'appuie sur des données historiques et ne prédit pas les performances futures.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Le calcul de volatilité du portefeuille est une approximation pondérée ; un calcul rigoureux intégrerait la matrice de covariance complète entre positions.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Ce document ne constitue pas un conseil en investissement réglementé. Les recommandations sont des pistes de réflexion ; la décision finale appartient au client.</w:t>
      </w:r>
    </w:p>
    <w:p>
      <w:pPr>
        <w:spacing w:before="400"/>
      </w:pPr>
    </w:p>
    <w:p>
      <w:r>
        <w:rPr>
          <w:rFonts w:ascii="Calibri" w:cs="Calibri" w:eastAsia="Calibri" w:hAnsi="Calibri"/>
          <w:i/>
          <w:iCs/>
          <w:color w:val="5F5E5A"/>
          <w:sz w:val="22"/>
          <w:szCs w:val="22"/>
        </w:rPr>
        <w:t xml:space="preserve">Merci pour votre confiance — questions et échanges bienvenus.</w:t>
      </w:r>
    </w:p>
    <w:sectPr>
      <w:headerReference w:type="default" r:id="rId7"/>
      <w:footerReference w:type="default" r:id="rId8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F5E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F5E5A"/>
        <w:sz w:val="16"/>
        <w:szCs w:val="16"/>
      </w:rPr>
      <w:t xml:space="preserve">MarketPulse — Rapport d'analyse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25ddfac46017c3d8ae1098e374cdf4022ed877f.png"/><Relationship Id="rId10" Type="http://schemas.openxmlformats.org/officeDocument/2006/relationships/image" Target="media/6565cb91ecb919bd6647c4a070fbef0782adfbc4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2026-07-21T18:21:42.340Z</dcterms:created>
  <dcterms:modified xsi:type="dcterms:W3CDTF">2026-07-21T18:21:42.353Z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