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48"/>
          <w:szCs w:val="48"/>
        </w:rPr>
        <w:t xml:space="preserve">TE Fossil Detection Pipeline</w:t>
      </w:r>
    </w:p>
    <w:p>
      <w:pPr>
        <w:spacing w:after="40"/>
      </w:pPr>
      <w:r>
        <w:rPr>
          <w:rFonts w:ascii="Arial" w:cs="Arial" w:eastAsia="Arial" w:hAnsi="Arial"/>
          <w:color w:val="666666"/>
          <w:sz w:val="24"/>
          <w:szCs w:val="24"/>
        </w:rPr>
        <w:t xml:space="preserve">Running Transposable Elements Through Regulatory Scoring, GEX, Variant Effect, and Ablation Models</w:t>
      </w:r>
    </w:p>
    <w:p>
      <w:pPr>
        <w:spacing w:after="400"/>
      </w:pPr>
      <w:r>
        <w:rPr>
          <w:rFonts w:ascii="Arial" w:cs="Arial" w:eastAsia="Arial" w:hAnsi="Arial"/>
          <w:color w:val="999999"/>
          <w:sz w:val="22"/>
          <w:szCs w:val="22"/>
        </w:rPr>
        <w:t xml:space="preserve">Conversation Summary — February 5, 2026</w:t>
      </w:r>
    </w:p>
    <w:p>
      <w:pPr>
        <w:pStyle w:val="Heading1"/>
        <w:spacing w:before="360" w:after="120"/>
      </w:pPr>
      <w:r>
        <w:rPr>
          <w:b/>
          <w:bCs/>
        </w:rPr>
        <w:t xml:space="preserve">Executive Summary</w:t>
      </w:r>
    </w:p>
    <w:p>
      <w:pPr>
        <w:spacing w:after="160"/>
      </w:pPr>
      <w:r>
        <w:rPr>
          <w:rFonts w:ascii="Arial" w:cs="Arial" w:eastAsia="Arial" w:hAnsi="Arial"/>
          <w:sz w:val="22"/>
          <w:szCs w:val="22"/>
        </w:rPr>
        <w:t xml:space="preserve">This document summarizes a detailed technical conversation exploring how DNA foundation models and regulatory genomics tools can be applied to detect and validate ancient transposable element (TE) "fossils" in Drosophilid regulatory sequences, particularly 3’UTRs. The discussion covered what happens when TE-derived sequences are run through regulatory scoring models, gene expression predictors, variant effect models, and ablation studies; surveyed the current landscape of DNA foundation models with Drosophila capabilities; and produced a concrete, phased implementation plan.</w:t>
      </w:r>
    </w:p>
    <w:p>
      <w:pPr>
        <w:pStyle w:val="Heading2"/>
        <w:spacing w:before="240" w:after="120"/>
      </w:pPr>
      <w:r>
        <w:rPr>
          <w:b/>
          <w:bCs/>
        </w:rPr>
        <w:t xml:space="preserve">Top-Line Highlights</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Regulatory scoring models</w:t>
      </w:r>
      <w:r>
        <w:rPr>
          <w:rFonts w:ascii="Arial" w:cs="Arial" w:eastAsia="Arial" w:hAnsi="Arial"/>
          <w:sz w:val="22"/>
          <w:szCs w:val="22"/>
        </w:rPr>
        <w:t xml:space="preserve"> (Enformer, Borzoi, NTv3) can stratify TE insertions into three classes: active TEs with strong regulatory signatures, ancient exapted fossils with functional but degraded motif signatures, and neutral insertions with flat scores. This directly tests the Quality Paradox hypothesis.</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NTv3 (Nucleotide Transformer v3)</w:t>
      </w:r>
      <w:r>
        <w:rPr>
          <w:rFonts w:ascii="Arial" w:cs="Arial" w:eastAsia="Arial" w:hAnsi="Arial"/>
          <w:sz w:val="22"/>
          <w:szCs w:val="22"/>
        </w:rPr>
        <w:t xml:space="preserve">, released December 2025 by InstaDeep, is the first multi-species foundation model with built-in Drosophila functional track prediction. It was post-trained on ~16,000 functional tracks across 24 species and validated experimentally via STARR-seq with the Stark lab. This is the recommended starting tool.</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No one has applied NTv3 (or any comparable model) to TE exaptation biology.</w:t>
      </w:r>
      <w:r>
        <w:rPr>
          <w:rFonts w:ascii="Arial" w:cs="Arial" w:eastAsia="Arial" w:hAnsi="Arial"/>
          <w:sz w:val="22"/>
          <w:szCs w:val="22"/>
        </w:rPr>
        <w:t xml:space="preserve"> This is a clear gap and publication opportunity.</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GENA-LM has a Drosophila-specific pretrained model</w:t>
      </w:r>
      <w:r>
        <w:rPr>
          <w:rFonts w:ascii="Arial" w:cs="Arial" w:eastAsia="Arial" w:hAnsi="Arial"/>
          <w:sz w:val="22"/>
          <w:szCs w:val="22"/>
        </w:rPr>
        <w:t xml:space="preserve"> on HuggingFace, but it is a masked language model, not a regulatory predictor. Its performance on fly enhancer tasks was mixed compared to the task-specific DeepSTARR CNN.</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Enformer and Borzoi are human/mouse only.</w:t>
      </w:r>
      <w:r>
        <w:rPr>
          <w:rFonts w:ascii="Arial" w:cs="Arial" w:eastAsia="Arial" w:hAnsi="Arial"/>
          <w:sz w:val="22"/>
          <w:szCs w:val="22"/>
        </w:rPr>
        <w:t xml:space="preserve"> No fly equivalent exists, though a new PEFT (parameter-efficient fine-tuning) framework for Borzoi was published in late January 2026 that could theoretically enable transfer to fly.</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The recommended approach is to start immediately with existing BLAST candidates</w:t>
      </w:r>
      <w:r>
        <w:rPr>
          <w:rFonts w:ascii="Arial" w:cs="Arial" w:eastAsia="Arial" w:hAnsi="Arial"/>
          <w:sz w:val="22"/>
          <w:szCs w:val="22"/>
        </w:rPr>
        <w:t xml:space="preserve"> through NTv3, using results both as publishable findings and as labeled training data for downstream contrastive learning.</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Estimated compute cost: $75–200</w:t>
      </w:r>
      <w:r>
        <w:rPr>
          <w:rFonts w:ascii="Arial" w:cs="Arial" w:eastAsia="Arial" w:hAnsi="Arial"/>
          <w:sz w:val="22"/>
          <w:szCs w:val="22"/>
        </w:rPr>
        <w:t xml:space="preserve"> for the core NTv3 analysis on existing candidates. Full pipeline including HMM + contrastive learning: $500–2,000.</w:t>
      </w:r>
    </w:p>
    <w:p>
      <w:pPr>
        <w:pStyle w:val="Heading2"/>
        <w:spacing w:before="240" w:after="120"/>
      </w:pPr>
      <w:r>
        <w:rPr>
          <w:b/>
          <w:bCs/>
        </w:rPr>
        <w:t xml:space="preserve">Recommended Next Steps (Summary)</w:t>
      </w:r>
    </w:p>
    <w:p>
      <w:pPr>
        <w:pStyle w:val="ListParagraph"/>
        <w:numPr>
          <w:ilvl w:val="0"/>
          <w:numId w:val="3"/>
        </w:numPr>
        <w:spacing w:after="100"/>
      </w:pPr>
      <w:r>
        <w:rPr>
          <w:rFonts w:ascii="Arial" w:cs="Arial" w:eastAsia="Arial" w:hAnsi="Arial"/>
          <w:sz w:val="22"/>
          <w:szCs w:val="22"/>
        </w:rPr>
        <w:t xml:space="preserve"/>
      </w:r>
      <w:r>
        <w:rPr>
          <w:rFonts w:ascii="Arial" w:cs="Arial" w:eastAsia="Arial" w:hAnsi="Arial"/>
          <w:b/>
          <w:bCs/>
          <w:sz w:val="22"/>
          <w:szCs w:val="22"/>
        </w:rPr>
        <w:t xml:space="preserve">Phase 1 (Weeks 1–2):</w:t>
      </w:r>
      <w:r>
        <w:rPr>
          <w:rFonts w:ascii="Arial" w:cs="Arial" w:eastAsia="Arial" w:hAnsi="Arial"/>
          <w:sz w:val="22"/>
          <w:szCs w:val="22"/>
        </w:rPr>
        <w:t xml:space="preserve"> Run existing BLAST hit list through NTv3 Drosophila functional track heads. Perform in-silico saturation mutagenesis and ablation on top candidates.</w:t>
      </w:r>
    </w:p>
    <w:p>
      <w:pPr>
        <w:pStyle w:val="ListParagraph"/>
        <w:numPr>
          <w:ilvl w:val="0"/>
          <w:numId w:val="3"/>
        </w:numPr>
        <w:spacing w:after="100"/>
      </w:pPr>
      <w:r>
        <w:rPr>
          <w:rFonts w:ascii="Arial" w:cs="Arial" w:eastAsia="Arial" w:hAnsi="Arial"/>
          <w:sz w:val="22"/>
          <w:szCs w:val="22"/>
        </w:rPr>
        <w:t xml:space="preserve"/>
      </w:r>
      <w:r>
        <w:rPr>
          <w:rFonts w:ascii="Arial" w:cs="Arial" w:eastAsia="Arial" w:hAnsi="Arial"/>
          <w:b/>
          <w:bCs/>
          <w:sz w:val="22"/>
          <w:szCs w:val="22"/>
        </w:rPr>
        <w:t xml:space="preserve">Phase 2 (Weeks 2–4):</w:t>
      </w:r>
      <w:r>
        <w:rPr>
          <w:rFonts w:ascii="Arial" w:cs="Arial" w:eastAsia="Arial" w:hAnsi="Arial"/>
          <w:sz w:val="22"/>
          <w:szCs w:val="22"/>
        </w:rPr>
        <w:t xml:space="preserve"> Build profile HMMs from Dfam TE consensus families; run nhmmer against Drosophilid 3’UTRs. Cross-reference with NTv3 results.</w:t>
      </w:r>
    </w:p>
    <w:p>
      <w:pPr>
        <w:pStyle w:val="ListParagraph"/>
        <w:numPr>
          <w:ilvl w:val="0"/>
          <w:numId w:val="3"/>
        </w:numPr>
        <w:spacing w:after="100"/>
      </w:pPr>
      <w:r>
        <w:rPr>
          <w:rFonts w:ascii="Arial" w:cs="Arial" w:eastAsia="Arial" w:hAnsi="Arial"/>
          <w:sz w:val="22"/>
          <w:szCs w:val="22"/>
        </w:rPr>
        <w:t xml:space="preserve"/>
      </w:r>
      <w:r>
        <w:rPr>
          <w:rFonts w:ascii="Arial" w:cs="Arial" w:eastAsia="Arial" w:hAnsi="Arial"/>
          <w:b/>
          <w:bCs/>
          <w:sz w:val="22"/>
          <w:szCs w:val="22"/>
        </w:rPr>
        <w:t xml:space="preserve">Phase 3 (Weeks 3–6):</w:t>
      </w:r>
      <w:r>
        <w:rPr>
          <w:rFonts w:ascii="Arial" w:cs="Arial" w:eastAsia="Arial" w:hAnsi="Arial"/>
          <w:sz w:val="22"/>
          <w:szCs w:val="22"/>
        </w:rPr>
        <w:t xml:space="preserve"> Train contrastive learning model using NTv3-scored and HMM-labeled data. Sweep across BLAST-negative/HMM-negative regions to find ultra-degraded fossils.</w:t>
      </w:r>
    </w:p>
    <w:p>
      <w:pPr>
        <w:pStyle w:val="ListParagraph"/>
        <w:numPr>
          <w:ilvl w:val="0"/>
          <w:numId w:val="3"/>
        </w:numPr>
        <w:spacing w:after="100"/>
      </w:pPr>
      <w:r>
        <w:rPr>
          <w:rFonts w:ascii="Arial" w:cs="Arial" w:eastAsia="Arial" w:hAnsi="Arial"/>
          <w:sz w:val="22"/>
          <w:szCs w:val="22"/>
        </w:rPr>
        <w:t xml:space="preserve"/>
      </w:r>
      <w:r>
        <w:rPr>
          <w:rFonts w:ascii="Arial" w:cs="Arial" w:eastAsia="Arial" w:hAnsi="Arial"/>
          <w:b/>
          <w:bCs/>
          <w:sz w:val="22"/>
          <w:szCs w:val="22"/>
        </w:rPr>
        <w:t xml:space="preserve">Phase 4 (Weeks 6–8):</w:t>
      </w:r>
      <w:r>
        <w:rPr>
          <w:rFonts w:ascii="Arial" w:cs="Arial" w:eastAsia="Arial" w:hAnsi="Arial"/>
          <w:sz w:val="22"/>
          <w:szCs w:val="22"/>
        </w:rPr>
        <w:t xml:space="preserve"> Full integration: re-run NTv3 ablation/variant studies on expanded candidate list; cross-species comparative ablation using Drosophilid orthologs.</w:t>
      </w:r>
    </w:p>
    <w:p>
      <w:r>
        <w:br w:type="page"/>
      </w:r>
    </w:p>
    <w:p>
      <w:pPr>
        <w:pStyle w:val="Heading1"/>
        <w:spacing w:before="360" w:after="120"/>
      </w:pPr>
      <w:r>
        <w:rPr>
          <w:b/>
          <w:bCs/>
        </w:rPr>
        <w:t xml:space="preserve">1. What Happens When You Run TEs Through These Models</w:t>
      </w:r>
    </w:p>
    <w:p>
      <w:pPr>
        <w:pStyle w:val="Heading2"/>
        <w:spacing w:before="240" w:after="120"/>
      </w:pPr>
      <w:r>
        <w:rPr>
          <w:b/>
          <w:bCs/>
        </w:rPr>
        <w:t xml:space="preserve">1.1 Regulatory Scoring Models (Enformer, Sei, Borzoi, NTv3)</w:t>
      </w:r>
    </w:p>
    <w:p>
      <w:pPr>
        <w:spacing w:after="160"/>
      </w:pPr>
      <w:r>
        <w:rPr>
          <w:rFonts w:ascii="Arial" w:cs="Arial" w:eastAsia="Arial" w:hAnsi="Arial"/>
          <w:sz w:val="22"/>
          <w:szCs w:val="22"/>
        </w:rPr>
        <w:t xml:space="preserve">Running TE-containing sequences through models trained on epigenomic and regulatory data produces a natural three-class separation:</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Young/active TEs</w:t>
      </w:r>
      <w:r>
        <w:rPr>
          <w:rFonts w:ascii="Arial" w:cs="Arial" w:eastAsia="Arial" w:hAnsi="Arial"/>
          <w:sz w:val="22"/>
          <w:szCs w:val="22"/>
        </w:rPr>
        <w:t xml:space="preserve"> light up with strong regulatory scores. They carry intact transcription factor binding sites, promoter-like elements, and enhancer signatures. ERVs and LINEs often score as strong enhancers or insulators (e.g., CTCF sites in SINEs).</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Ancient TE fossils (exapted)</w:t>
      </w:r>
      <w:r>
        <w:rPr>
          <w:rFonts w:ascii="Arial" w:cs="Arial" w:eastAsia="Arial" w:hAnsi="Arial"/>
          <w:sz w:val="22"/>
          <w:szCs w:val="22"/>
        </w:rPr>
        <w:t xml:space="preserve"> should score as functional regulatory elements but with degraded or modified motif signatures compared to canonical TEs. A region that scores as regulatory but lacks obvious motif grammar is a candidate deeply eroded TE fossil. This provides a complementary detection method to BLAST/HMM-based homology search.</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Neutral inserted TEs</w:t>
      </w:r>
      <w:r>
        <w:rPr>
          <w:rFonts w:ascii="Arial" w:cs="Arial" w:eastAsia="Arial" w:hAnsi="Arial"/>
          <w:sz w:val="22"/>
          <w:szCs w:val="22"/>
        </w:rPr>
        <w:t xml:space="preserve"> (no exaptation) score flat — indistinguishable from genomic background.</w:t>
      </w:r>
    </w:p>
    <w:p>
      <w:pPr>
        <w:spacing w:after="160"/>
      </w:pPr>
      <w:r>
        <w:rPr>
          <w:rFonts w:ascii="Arial" w:cs="Arial" w:eastAsia="Arial" w:hAnsi="Arial"/>
          <w:sz w:val="22"/>
          <w:szCs w:val="22"/>
        </w:rPr>
        <w:t xml:space="preserve">This stratification directly tests the </w:t>
      </w:r>
      <w:r>
        <w:rPr>
          <w:rFonts w:ascii="Arial" w:cs="Arial" w:eastAsia="Arial" w:hAnsi="Arial"/>
          <w:b/>
          <w:bCs/>
          <w:sz w:val="22"/>
          <w:szCs w:val="22"/>
        </w:rPr>
        <w:t xml:space="preserve">Quality Paradox</w:t>
      </w:r>
      <w:r>
        <w:rPr>
          <w:rFonts w:ascii="Arial" w:cs="Arial" w:eastAsia="Arial" w:hAnsi="Arial"/>
          <w:sz w:val="22"/>
          <w:szCs w:val="22"/>
        </w:rPr>
        <w:t xml:space="preserve">: weak BLAST hits that score high on regulatory models are strong candidates for exapted fossils under selective constraint.</w:t>
      </w:r>
    </w:p>
    <w:p>
      <w:pPr>
        <w:pStyle w:val="Heading2"/>
        <w:spacing w:before="240" w:after="120"/>
      </w:pPr>
      <w:r>
        <w:rPr>
          <w:b/>
          <w:bCs/>
        </w:rPr>
        <w:t xml:space="preserve">1.2 Gene Expression (GEX) Models</w:t>
      </w:r>
    </w:p>
    <w:p>
      <w:pPr>
        <w:spacing w:after="160"/>
      </w:pPr>
      <w:r>
        <w:rPr>
          <w:rFonts w:ascii="Arial" w:cs="Arial" w:eastAsia="Arial" w:hAnsi="Arial"/>
          <w:sz w:val="22"/>
          <w:szCs w:val="22"/>
        </w:rPr>
        <w:t xml:space="preserve">Running sequences through expression prediction models (e.g., Enformer’s expression head, Borzoi’s RNA-seq coverage prediction, or Xpresso) with and without TE-derived regions:</w:t>
      </w:r>
    </w:p>
    <w:p>
      <w:pPr>
        <w:pStyle w:val="ListParagraph"/>
        <w:numPr>
          <w:ilvl w:val="0"/>
          <w:numId w:val="2"/>
        </w:numPr>
        <w:spacing w:after="100"/>
      </w:pPr>
      <w:r>
        <w:rPr>
          <w:rFonts w:ascii="Arial" w:cs="Arial" w:eastAsia="Arial" w:hAnsi="Arial"/>
          <w:sz w:val="22"/>
          <w:szCs w:val="22"/>
        </w:rPr>
        <w:t xml:space="preserve">Predicts expression consequences of TE presence, directly testing functional exaptation.</w:t>
      </w:r>
    </w:p>
    <w:p>
      <w:pPr>
        <w:pStyle w:val="ListParagraph"/>
        <w:numPr>
          <w:ilvl w:val="0"/>
          <w:numId w:val="2"/>
        </w:numPr>
        <w:spacing w:after="100"/>
      </w:pPr>
      <w:r>
        <w:rPr>
          <w:rFonts w:ascii="Arial" w:cs="Arial" w:eastAsia="Arial" w:hAnsi="Arial"/>
          <w:sz w:val="22"/>
          <w:szCs w:val="22"/>
        </w:rPr>
        <w:t xml:space="preserve">For 3’UTR TE fossils specifically, models trained on mRNA stability/degradation are especially informative — does the TE-derived sequence contribute predicted destabilization consistent with sense-strand enrichment in genes requiring mRNA degradation?</w:t>
      </w:r>
    </w:p>
    <w:p>
      <w:pPr>
        <w:pStyle w:val="ListParagraph"/>
        <w:numPr>
          <w:ilvl w:val="0"/>
          <w:numId w:val="2"/>
        </w:numPr>
        <w:spacing w:after="100"/>
      </w:pPr>
      <w:r>
        <w:rPr>
          <w:rFonts w:ascii="Arial" w:cs="Arial" w:eastAsia="Arial" w:hAnsi="Arial"/>
          <w:sz w:val="22"/>
          <w:szCs w:val="22"/>
        </w:rPr>
        <w:t xml:space="preserve">Cross-species comparison (Drosophilid orthologs with vs. without the TE fossil) provides natural “ablation” pairs for validation.</w:t>
      </w:r>
    </w:p>
    <w:p>
      <w:pPr>
        <w:pStyle w:val="Heading2"/>
        <w:spacing w:before="240" w:after="120"/>
      </w:pPr>
      <w:r>
        <w:rPr>
          <w:b/>
          <w:bCs/>
        </w:rPr>
        <w:t xml:space="preserve">1.3 Variant Effect Prediction (In-Silico Saturation Mutagenesis)</w:t>
      </w:r>
    </w:p>
    <w:p>
      <w:pPr>
        <w:spacing w:after="160"/>
      </w:pPr>
      <w:r>
        <w:rPr>
          <w:rFonts w:ascii="Arial" w:cs="Arial" w:eastAsia="Arial" w:hAnsi="Arial"/>
          <w:sz w:val="22"/>
          <w:szCs w:val="22"/>
        </w:rPr>
        <w:t xml:space="preserve">Running every possible single nucleotide variant (SNV) through variant effect predictors across TE fossil regions:</w:t>
      </w:r>
    </w:p>
    <w:p>
      <w:pPr>
        <w:pStyle w:val="ListParagraph"/>
        <w:numPr>
          <w:ilvl w:val="0"/>
          <w:numId w:val="2"/>
        </w:numPr>
        <w:spacing w:after="100"/>
      </w:pPr>
      <w:r>
        <w:rPr>
          <w:rFonts w:ascii="Arial" w:cs="Arial" w:eastAsia="Arial" w:hAnsi="Arial"/>
          <w:sz w:val="22"/>
          <w:szCs w:val="22"/>
        </w:rPr>
        <w:t xml:space="preserve">Functionally constrained TE fossils should show a strong distribution of deleterious predicted variants — analogous to deep mutational scanning.</w:t>
      </w:r>
    </w:p>
    <w:p>
      <w:pPr>
        <w:pStyle w:val="ListParagraph"/>
        <w:numPr>
          <w:ilvl w:val="0"/>
          <w:numId w:val="2"/>
        </w:numPr>
        <w:spacing w:after="100"/>
      </w:pPr>
      <w:r>
        <w:rPr>
          <w:rFonts w:ascii="Arial" w:cs="Arial" w:eastAsia="Arial" w:hAnsi="Arial"/>
          <w:sz w:val="22"/>
          <w:szCs w:val="22"/>
        </w:rPr>
        <w:t xml:space="preserve">Creates a per-position “functional constraint” map comparable to phylogenetic conservation scores, but from a completely independent evidence source.</w:t>
      </w:r>
    </w:p>
    <w:p>
      <w:pPr>
        <w:pStyle w:val="ListParagraph"/>
        <w:numPr>
          <w:ilvl w:val="0"/>
          <w:numId w:val="2"/>
        </w:numPr>
        <w:spacing w:after="100"/>
      </w:pPr>
      <w:r>
        <w:rPr>
          <w:rFonts w:ascii="Arial" w:cs="Arial" w:eastAsia="Arial" w:hAnsi="Arial"/>
          <w:sz w:val="22"/>
          <w:szCs w:val="22"/>
        </w:rPr>
        <w:t xml:space="preserve">Positions where the variant model predicts large effects should overlap with conserved residues in degraded BLAST alignments, providing orthogonal validation of the Quality Paradox.</w:t>
      </w:r>
    </w:p>
    <w:p>
      <w:pPr>
        <w:pStyle w:val="Heading2"/>
        <w:spacing w:before="240" w:after="120"/>
      </w:pPr>
      <w:r>
        <w:rPr>
          <w:b/>
          <w:bCs/>
        </w:rPr>
        <w:t xml:space="preserve">1.4 Ablation Studies</w:t>
      </w:r>
    </w:p>
    <w:p>
      <w:pPr>
        <w:spacing w:after="160"/>
      </w:pPr>
      <w:r>
        <w:rPr>
          <w:rFonts w:ascii="Arial" w:cs="Arial" w:eastAsia="Arial" w:hAnsi="Arial"/>
          <w:sz w:val="22"/>
          <w:szCs w:val="22"/>
        </w:rPr>
        <w:t xml:space="preserve">Four complementary ablation approaches:</w:t>
      </w:r>
    </w:p>
    <w:p>
      <w:pPr>
        <w:pStyle w:val="ListParagraph"/>
        <w:numPr>
          <w:ilvl w:val="0"/>
          <w:numId w:val="4"/>
        </w:numPr>
        <w:spacing w:after="100"/>
      </w:pPr>
      <w:r>
        <w:rPr>
          <w:rFonts w:ascii="Arial" w:cs="Arial" w:eastAsia="Arial" w:hAnsi="Arial"/>
          <w:sz w:val="22"/>
          <w:szCs w:val="22"/>
        </w:rPr>
        <w:t xml:space="preserve"/>
      </w:r>
      <w:r>
        <w:rPr>
          <w:rFonts w:ascii="Arial" w:cs="Arial" w:eastAsia="Arial" w:hAnsi="Arial"/>
          <w:b/>
          <w:bCs/>
          <w:sz w:val="22"/>
          <w:szCs w:val="22"/>
        </w:rPr>
        <w:t xml:space="preserve">Sequence ablation in the model:</w:t>
      </w:r>
      <w:r>
        <w:rPr>
          <w:rFonts w:ascii="Arial" w:cs="Arial" w:eastAsia="Arial" w:hAnsi="Arial"/>
          <w:sz w:val="22"/>
          <w:szCs w:val="22"/>
        </w:rPr>
        <w:t xml:space="preserve"> Mask or shuffle the TE-derived subsequence and measure predicted regulatory/expression change. A significant delta indicates functional exaptation.</w:t>
      </w:r>
    </w:p>
    <w:p>
      <w:pPr>
        <w:pStyle w:val="ListParagraph"/>
        <w:numPr>
          <w:ilvl w:val="0"/>
          <w:numId w:val="4"/>
        </w:numPr>
        <w:spacing w:after="100"/>
      </w:pPr>
      <w:r>
        <w:rPr>
          <w:rFonts w:ascii="Arial" w:cs="Arial" w:eastAsia="Arial" w:hAnsi="Arial"/>
          <w:sz w:val="22"/>
          <w:szCs w:val="22"/>
        </w:rPr>
        <w:t xml:space="preserve"/>
      </w:r>
      <w:r>
        <w:rPr>
          <w:rFonts w:ascii="Arial" w:cs="Arial" w:eastAsia="Arial" w:hAnsi="Arial"/>
          <w:b/>
          <w:bCs/>
          <w:sz w:val="22"/>
          <w:szCs w:val="22"/>
        </w:rPr>
        <w:t xml:space="preserve">Motif-level ablation:</w:t>
      </w:r>
      <w:r>
        <w:rPr>
          <w:rFonts w:ascii="Arial" w:cs="Arial" w:eastAsia="Arial" w:hAnsi="Arial"/>
          <w:sz w:val="22"/>
          <w:szCs w:val="22"/>
        </w:rPr>
        <w:t xml:space="preserve"> Systematically knock out individual predicted motifs within the TE fossil to identify which specific sub-elements carry functional load. Reveals whether the whole TE remnant matters or just a few key positions.</w:t>
      </w:r>
    </w:p>
    <w:p>
      <w:pPr>
        <w:pStyle w:val="ListParagraph"/>
        <w:numPr>
          <w:ilvl w:val="0"/>
          <w:numId w:val="4"/>
        </w:numPr>
        <w:spacing w:after="100"/>
      </w:pPr>
      <w:r>
        <w:rPr>
          <w:rFonts w:ascii="Arial" w:cs="Arial" w:eastAsia="Arial" w:hAnsi="Arial"/>
          <w:sz w:val="22"/>
          <w:szCs w:val="22"/>
        </w:rPr>
        <w:t xml:space="preserve"/>
      </w:r>
      <w:r>
        <w:rPr>
          <w:rFonts w:ascii="Arial" w:cs="Arial" w:eastAsia="Arial" w:hAnsi="Arial"/>
          <w:b/>
          <w:bCs/>
          <w:sz w:val="22"/>
          <w:szCs w:val="22"/>
        </w:rPr>
        <w:t xml:space="preserve">Comparative ablation:</w:t>
      </w:r>
      <w:r>
        <w:rPr>
          <w:rFonts w:ascii="Arial" w:cs="Arial" w:eastAsia="Arial" w:hAnsi="Arial"/>
          <w:sz w:val="22"/>
          <w:szCs w:val="22"/>
        </w:rPr>
        <w:t xml:space="preserve"> Use orthologous loci in Drosophilid species that lack the TE insertion as natural ablation controls. Difference in predicted regulatory activity = predicted TE contribution.</w:t>
      </w:r>
    </w:p>
    <w:p>
      <w:pPr>
        <w:pStyle w:val="ListParagraph"/>
        <w:numPr>
          <w:ilvl w:val="0"/>
          <w:numId w:val="4"/>
        </w:numPr>
        <w:spacing w:after="100"/>
      </w:pPr>
      <w:r>
        <w:rPr>
          <w:rFonts w:ascii="Arial" w:cs="Arial" w:eastAsia="Arial" w:hAnsi="Arial"/>
          <w:sz w:val="22"/>
          <w:szCs w:val="22"/>
        </w:rPr>
        <w:t xml:space="preserve"/>
      </w:r>
      <w:r>
        <w:rPr>
          <w:rFonts w:ascii="Arial" w:cs="Arial" w:eastAsia="Arial" w:hAnsi="Arial"/>
          <w:b/>
          <w:bCs/>
          <w:sz w:val="22"/>
          <w:szCs w:val="22"/>
        </w:rPr>
        <w:t xml:space="preserve">Combined evidence chain:</w:t>
      </w:r>
      <w:r>
        <w:rPr>
          <w:rFonts w:ascii="Arial" w:cs="Arial" w:eastAsia="Arial" w:hAnsi="Arial"/>
          <w:sz w:val="22"/>
          <w:szCs w:val="22"/>
        </w:rPr>
        <w:t xml:space="preserve"> Detection (BLAST + contrastive learning) → Regulatory scoring (NTv3) → Variant saturation (independent constraint) → Ablation (causal attribution) → GEX validation (predicted expression consequences).</w:t>
      </w:r>
    </w:p>
    <w:p>
      <w:pPr>
        <w:spacing w:after="160"/>
      </w:pPr>
      <w:r>
        <w:rPr>
          <w:rFonts w:ascii="Arial" w:cs="Arial" w:eastAsia="Arial" w:hAnsi="Arial"/>
          <w:sz w:val="22"/>
          <w:szCs w:val="22"/>
        </w:rPr>
        <w:t xml:space="preserve">The variant and ablation results provide mechanistic specificity beyond “it’s conserved” — they show which positions matter and what the functional consequence is.</w:t>
      </w:r>
    </w:p>
    <w:p>
      <w:r>
        <w:br w:type="page"/>
      </w:r>
    </w:p>
    <w:p>
      <w:pPr>
        <w:pStyle w:val="Heading1"/>
        <w:spacing w:before="360" w:after="120"/>
      </w:pPr>
      <w:r>
        <w:rPr>
          <w:b/>
          <w:bCs/>
        </w:rPr>
        <w:t xml:space="preserve">2. Current DNA Foundation Model Landscape for Drosophila</w:t>
      </w:r>
    </w:p>
    <w:p>
      <w:pPr>
        <w:pStyle w:val="Heading2"/>
        <w:spacing w:before="240" w:after="120"/>
      </w:pPr>
      <w:r>
        <w:rPr>
          <w:b/>
          <w:bCs/>
        </w:rPr>
        <w:t xml:space="preserve">2.1 Model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200"/>
        <w:gridCol w:w="2760"/>
      </w:tblGrid>
      <w:tr>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Training Data</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Drosophila Support</w:t>
            </w:r>
          </w:p>
        </w:tc>
        <w:tc>
          <w:tcPr>
            <w:tcW w:type="dxa" w:w="1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 Tracks</w:t>
            </w:r>
          </w:p>
        </w:tc>
        <w:tc>
          <w:tcPr>
            <w:tcW w:type="dxa" w:w="2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NTv3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9T bp, OpenGenome2, 24 species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functional tracks included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~16,000</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current option. Dec 2025. STARR-seq validated with Stark lab. Open-source with cookbooks.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Evo2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9.3T bp, all domains of life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 pretraining, no fly-specific heads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Zero-shot likelihood scoring possible. Free fine-tuning via NVIDIA BioNeMo. 7B and 40B variants.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GENA-LM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 T2T + species-specific</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Drosophila-specific pretrained model on HuggingFace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Masked LM only. Mixed results on DeepSTARR fly enhancer task. Up to 36kb input.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HyenaDNA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 hg38 only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Tested on fly benchmarks; worst performance (0.61 on Drosophila Enhancers Stark)</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6.5M params. Up to 1M context. Human-centric representations.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Enformer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 + mouse ENCODE, FANTOM5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~5,000</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Gold standard for human/mouse. No fly version. ~200kb context, 128bp resolution.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Borzoi</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 + mouse ENCODE, GTEx RNA-seq</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~10,000+</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for human variant effect. 524kb context, 32bp resolution. New PEFT transfer framework (Jan 2026).</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Species-Aware LMs (Benegas 2024)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800+ species, 500M years divergence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Included; paradoxically, human-only model beats multi-species for fly enhancers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Good for evolutionary analysis but not regulatory track prediction.</w:t>
            </w:r>
          </w:p>
        </w:tc>
      </w:tr>
    </w:tbl>
    <w:p>
      <w:pPr>
        <w:spacing w:after="80"/>
      </w:pPr>
    </w:p>
    <w:p>
      <w:pPr>
        <w:pStyle w:val="Heading2"/>
        <w:spacing w:before="240" w:after="120"/>
      </w:pPr>
      <w:r>
        <w:rPr>
          <w:b/>
          <w:bCs/>
        </w:rPr>
        <w:t xml:space="preserve">2.2 Key Finding: The NTv3 Opportunity</w:t>
      </w:r>
    </w:p>
    <w:p>
      <w:pPr>
        <w:spacing w:after="160"/>
      </w:pPr>
      <w:r>
        <w:rPr>
          <w:rFonts w:ascii="Arial" w:cs="Arial" w:eastAsia="Arial" w:hAnsi="Arial"/>
          <w:sz w:val="22"/>
          <w:szCs w:val="22"/>
        </w:rPr>
        <w:t xml:space="preserve">NTv3 is the critical new development. Released December 25, 2025, it is the first model that combines: multi-species training including Drosophila, functional track prediction at base resolution, 1Mb context window, controllable sequence generation, and experimental STARR-seq validation in fly cells. It was built by InstaDeep in collaboration with the Stark lab (Alexander Stark, IMP Vienna), which is the leading group for Drosophila enhancer biology.</w:t>
      </w:r>
    </w:p>
    <w:p>
      <w:pPr>
        <w:spacing w:after="160"/>
      </w:pPr>
      <w:r>
        <w:rPr>
          <w:rFonts w:ascii="Arial" w:cs="Arial" w:eastAsia="Arial" w:hAnsi="Arial"/>
          <w:sz w:val="22"/>
          <w:szCs w:val="22"/>
        </w:rPr>
        <w:t xml:space="preserve"/>
      </w:r>
      <w:r>
        <w:rPr>
          <w:rFonts w:ascii="Arial" w:cs="Arial" w:eastAsia="Arial" w:hAnsi="Arial"/>
          <w:b/>
          <w:bCs/>
          <w:sz w:val="22"/>
          <w:szCs w:val="22"/>
        </w:rPr>
        <w:t xml:space="preserve">No one has applied NTv3 to transposable element biology.</w:t>
      </w:r>
      <w:r>
        <w:rPr>
          <w:rFonts w:ascii="Arial" w:cs="Arial" w:eastAsia="Arial" w:hAnsi="Arial"/>
          <w:sz w:val="22"/>
          <w:szCs w:val="22"/>
        </w:rPr>
        <w:t xml:space="preserve"> The gap between “NTv3 exists” and “someone used it to study TE exaptation in Drosophila” is an immediate publication opportunity.</w:t>
      </w:r>
    </w:p>
    <w:p>
      <w:pPr>
        <w:pStyle w:val="Heading2"/>
        <w:spacing w:before="240" w:after="120"/>
      </w:pPr>
      <w:r>
        <w:rPr>
          <w:b/>
          <w:bCs/>
        </w:rPr>
        <w:t xml:space="preserve">2.3 What Does NOT Exist</w:t>
      </w:r>
    </w:p>
    <w:p>
      <w:pPr>
        <w:pStyle w:val="ListParagraph"/>
        <w:numPr>
          <w:ilvl w:val="0"/>
          <w:numId w:val="2"/>
        </w:numPr>
        <w:spacing w:after="100"/>
      </w:pPr>
      <w:r>
        <w:rPr>
          <w:rFonts w:ascii="Arial" w:cs="Arial" w:eastAsia="Arial" w:hAnsi="Arial"/>
          <w:sz w:val="22"/>
          <w:szCs w:val="22"/>
        </w:rPr>
        <w:t xml:space="preserve">No Drosophila-specific Enformer or Borzoi (predicting ATAC-seq, ChIP-seq, RNA-seq tracks from sequence)</w:t>
      </w:r>
    </w:p>
    <w:p>
      <w:pPr>
        <w:pStyle w:val="ListParagraph"/>
        <w:numPr>
          <w:ilvl w:val="0"/>
          <w:numId w:val="2"/>
        </w:numPr>
        <w:spacing w:after="100"/>
      </w:pPr>
      <w:r>
        <w:rPr>
          <w:rFonts w:ascii="Arial" w:cs="Arial" w:eastAsia="Arial" w:hAnsi="Arial"/>
          <w:sz w:val="22"/>
          <w:szCs w:val="22"/>
        </w:rPr>
        <w:t xml:space="preserve">No fine-tuning of HyenaDNA or Evo2 specifically for fly regulatory element prediction</w:t>
      </w:r>
    </w:p>
    <w:p>
      <w:pPr>
        <w:pStyle w:val="ListParagraph"/>
        <w:numPr>
          <w:ilvl w:val="0"/>
          <w:numId w:val="2"/>
        </w:numPr>
        <w:spacing w:after="100"/>
      </w:pPr>
      <w:r>
        <w:rPr>
          <w:rFonts w:ascii="Arial" w:cs="Arial" w:eastAsia="Arial" w:hAnsi="Arial"/>
          <w:sz w:val="22"/>
          <w:szCs w:val="22"/>
        </w:rPr>
        <w:t xml:space="preserve">No model running TE fossils through a fly-specific regulatory scoring + GEX + variant effect pipeline</w:t>
      </w:r>
    </w:p>
    <w:p>
      <w:pPr>
        <w:pStyle w:val="ListParagraph"/>
        <w:numPr>
          <w:ilvl w:val="0"/>
          <w:numId w:val="2"/>
        </w:numPr>
        <w:spacing w:after="100"/>
      </w:pPr>
      <w:r>
        <w:rPr>
          <w:rFonts w:ascii="Arial" w:cs="Arial" w:eastAsia="Arial" w:hAnsi="Arial"/>
          <w:sz w:val="22"/>
          <w:szCs w:val="22"/>
        </w:rPr>
        <w:t xml:space="preserve">No social media announcements or preprints indicating anyone is working on this specific combination</w:t>
      </w:r>
    </w:p>
    <w:p>
      <w:pPr>
        <w:pStyle w:val="Heading2"/>
        <w:spacing w:before="240" w:after="120"/>
      </w:pPr>
      <w:r>
        <w:rPr>
          <w:b/>
          <w:bCs/>
        </w:rPr>
        <w:t xml:space="preserve">2.4 Sobering Context</w:t>
      </w:r>
    </w:p>
    <w:p>
      <w:pPr>
        <w:spacing w:after="160"/>
      </w:pPr>
      <w:r>
        <w:rPr>
          <w:rFonts w:ascii="Arial" w:cs="Arial" w:eastAsia="Arial" w:hAnsi="Arial"/>
          <w:sz w:val="22"/>
          <w:szCs w:val="22"/>
        </w:rPr>
        <w:t xml:space="preserve">The Koo lab at CSHL published in July 2025 (Genome Biology) that probing representations of current pre-trained genomic LMs does not offer substantial advantages over conventional ML approaches using one-hot encoded sequences for human regulatory genomics tasks. However, this evaluation was on human data and did not assess multi-species post-trained models like NTv3.</w:t>
      </w:r>
    </w:p>
    <w:p>
      <w:r>
        <w:br w:type="page"/>
      </w:r>
    </w:p>
    <w:p>
      <w:pPr>
        <w:pStyle w:val="Heading1"/>
        <w:spacing w:before="360" w:after="120"/>
      </w:pPr>
      <w:r>
        <w:rPr>
          <w:b/>
          <w:bCs/>
        </w:rPr>
        <w:t xml:space="preserve">3. Cost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You Get</w:t>
            </w:r>
          </w:p>
        </w:tc>
        <w:tc>
          <w:tcPr>
            <w:tcW w:type="dxa" w:w="1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Compute Cost</w:t>
            </w:r>
          </w:p>
        </w:tc>
        <w:tc>
          <w:tcPr>
            <w:tcW w:type="dxa" w:w="27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Hardware Needed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Option A: NTv3 as-is + fine-tune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Regulatory scores, ablation, variant effects on BLAST candidates. Additional fine-tuning on DeepSTARR.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$75–200</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 A100 80GB, 50–100 GPU-hours. Lambda Labs ~$1.50/hr.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Option B: Evo2 7B fine-tune on fly regulatory data</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Fly-specific regulatory model from Evo2 backbone. Novel contribution.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$150–1,500</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1–2x A100 with LoRA/PEFT; 4x A100 for full fine-tune. 100–500 GPU-hours. Free via NVIDIA BioNeMo.</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sz w:val="20"/>
                <w:szCs w:val="20"/>
              </w:rPr>
              <w:t xml:space="preserve">Option C: Drosophila Borzoi-equivalent via PEFT transfer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Gold standard: per-base regulatory track predictions across whole fly genome.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$750–3,200</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Major data curation + engineering. 500–2,000 GPU-hours. Requires fly ATAC/ChIP/RNA-seq track compilation.</w:t>
            </w:r>
          </w:p>
        </w:tc>
      </w:tr>
    </w:tbl>
    <w:p>
      <w:pPr>
        <w:spacing w:after="80"/>
      </w:pPr>
    </w:p>
    <w:p>
      <w:pPr>
        <w:spacing w:after="160"/>
      </w:pPr>
      <w:r>
        <w:rPr>
          <w:rFonts w:ascii="Arial" w:cs="Arial" w:eastAsia="Arial" w:hAnsi="Arial"/>
          <w:sz w:val="22"/>
          <w:szCs w:val="22"/>
        </w:rPr>
        <w:t xml:space="preserve"/>
      </w:r>
      <w:r>
        <w:rPr>
          <w:rFonts w:ascii="Arial" w:cs="Arial" w:eastAsia="Arial" w:hAnsi="Arial"/>
          <w:b/>
          <w:bCs/>
          <w:sz w:val="22"/>
          <w:szCs w:val="22"/>
        </w:rPr>
        <w:t xml:space="preserve">Recommendation:</w:t>
      </w:r>
      <w:r>
        <w:rPr>
          <w:rFonts w:ascii="Arial" w:cs="Arial" w:eastAsia="Arial" w:hAnsi="Arial"/>
          <w:sz w:val="22"/>
          <w:szCs w:val="22"/>
        </w:rPr>
        <w:t xml:space="preserve"> Start with Option A. NTv3 is purpose-built for this use case, requires minimal setup, and produces immediately publishable results. If successful, consider Options B or C for deeper follow-up work.</w:t>
      </w:r>
    </w:p>
    <w:p>
      <w:r>
        <w:br w:type="page"/>
      </w:r>
    </w:p>
    <w:p>
      <w:pPr>
        <w:pStyle w:val="Heading1"/>
        <w:spacing w:before="360" w:after="120"/>
      </w:pPr>
      <w:r>
        <w:rPr>
          <w:b/>
          <w:bCs/>
        </w:rPr>
        <w:t xml:space="preserve">4. Implementation Plan: Next Steps in Full</w:t>
      </w:r>
    </w:p>
    <w:p>
      <w:pPr>
        <w:pStyle w:val="Heading2"/>
        <w:spacing w:before="240" w:after="120"/>
      </w:pPr>
      <w:r>
        <w:rPr>
          <w:b/>
          <w:bCs/>
        </w:rPr>
        <w:t xml:space="preserve">Phase 1: NTv3 on Existing BLAST Candidates (Weeks 1–2)</w:t>
      </w:r>
    </w:p>
    <w:p>
      <w:pPr>
        <w:spacing w:after="160"/>
      </w:pPr>
      <w:r>
        <w:rPr>
          <w:rFonts w:ascii="Arial" w:cs="Arial" w:eastAsia="Arial" w:hAnsi="Arial"/>
          <w:sz w:val="22"/>
          <w:szCs w:val="22"/>
        </w:rPr>
        <w:t xml:space="preserve"/>
      </w:r>
      <w:r>
        <w:rPr>
          <w:rFonts w:ascii="Arial" w:cs="Arial" w:eastAsia="Arial" w:hAnsi="Arial"/>
          <w:b/>
          <w:bCs/>
          <w:sz w:val="22"/>
          <w:szCs w:val="22"/>
        </w:rPr>
        <w:t xml:space="preserve">Rationale:</w:t>
      </w:r>
      <w:r>
        <w:rPr>
          <w:rFonts w:ascii="Arial" w:cs="Arial" w:eastAsia="Arial" w:hAnsi="Arial"/>
          <w:sz w:val="22"/>
          <w:szCs w:val="22"/>
        </w:rPr>
        <w:t xml:space="preserve"> Your BLAST hits are candidates now. NTv3 inference is cheap and fast. The worst outcome is refining the candidate list later and re-running (negligible cost). The best outcome is immediate signal that informs all downstream work. Critically, NTv3 results serve as a labeling tool for the contrastive learning pipeline — they break the chicken-and-egg problem of needing positive and negative examples.</w:t>
      </w:r>
    </w:p>
    <w:p>
      <w:pPr>
        <w:spacing w:after="160"/>
      </w:pPr>
      <w:r>
        <w:rPr>
          <w:rFonts w:ascii="Arial" w:cs="Arial" w:eastAsia="Arial" w:hAnsi="Arial"/>
          <w:sz w:val="22"/>
          <w:szCs w:val="22"/>
        </w:rPr>
        <w:t xml:space="preserve"/>
      </w:r>
      <w:r>
        <w:rPr>
          <w:rFonts w:ascii="Arial" w:cs="Arial" w:eastAsia="Arial" w:hAnsi="Arial"/>
          <w:b/>
          <w:bCs/>
          <w:sz w:val="22"/>
          <w:szCs w:val="22"/>
        </w:rPr>
        <w:t xml:space="preserve">Steps:</w:t>
      </w:r>
      <w:r>
        <w:rPr>
          <w:rFonts w:ascii="Arial" w:cs="Arial" w:eastAsia="Arial" w:hAnsi="Arial"/>
          <w:sz w:val="22"/>
          <w:szCs w:val="22"/>
        </w:rPr>
        <w:t xml:space="preserve"/>
      </w:r>
    </w:p>
    <w:p>
      <w:pPr>
        <w:pStyle w:val="ListParagraph"/>
        <w:numPr>
          <w:ilvl w:val="0"/>
          <w:numId w:val="5"/>
        </w:numPr>
        <w:spacing w:after="100"/>
      </w:pPr>
      <w:r>
        <w:rPr>
          <w:rFonts w:ascii="Arial" w:cs="Arial" w:eastAsia="Arial" w:hAnsi="Arial"/>
          <w:sz w:val="22"/>
          <w:szCs w:val="22"/>
        </w:rPr>
        <w:t xml:space="preserve">Pull NTv3 weights from HuggingFace (InstaDeepAI). Follow the cookbooks provided in the nucleotide-transformer GitHub repository.</w:t>
      </w:r>
    </w:p>
    <w:p>
      <w:pPr>
        <w:pStyle w:val="ListParagraph"/>
        <w:numPr>
          <w:ilvl w:val="0"/>
          <w:numId w:val="5"/>
        </w:numPr>
        <w:spacing w:after="100"/>
      </w:pPr>
      <w:r>
        <w:rPr>
          <w:rFonts w:ascii="Arial" w:cs="Arial" w:eastAsia="Arial" w:hAnsi="Arial"/>
          <w:sz w:val="22"/>
          <w:szCs w:val="22"/>
        </w:rPr>
        <w:t xml:space="preserve">Format your BLAST hit list as genomic coordinates. Extract sequences with flanking context (32kb windows centered on TE fossil candidates, matching NTv3’s input format).</w:t>
      </w:r>
    </w:p>
    <w:p>
      <w:pPr>
        <w:pStyle w:val="ListParagraph"/>
        <w:numPr>
          <w:ilvl w:val="0"/>
          <w:numId w:val="5"/>
        </w:numPr>
        <w:spacing w:after="100"/>
      </w:pPr>
      <w:r>
        <w:rPr>
          <w:rFonts w:ascii="Arial" w:cs="Arial" w:eastAsia="Arial" w:hAnsi="Arial"/>
          <w:sz w:val="22"/>
          <w:szCs w:val="22"/>
        </w:rPr>
        <w:t xml:space="preserve">Run through NTv3’s Drosophila functional track heads. Record predicted regulatory activity (ATAC-seq, ChIP-seq, STARR-seq equivalent tracks) across each candidate region.</w:t>
      </w:r>
    </w:p>
    <w:p>
      <w:pPr>
        <w:pStyle w:val="ListParagraph"/>
        <w:numPr>
          <w:ilvl w:val="0"/>
          <w:numId w:val="5"/>
        </w:numPr>
        <w:spacing w:after="100"/>
      </w:pPr>
      <w:r>
        <w:rPr>
          <w:rFonts w:ascii="Arial" w:cs="Arial" w:eastAsia="Arial" w:hAnsi="Arial"/>
          <w:sz w:val="22"/>
          <w:szCs w:val="22"/>
        </w:rPr>
        <w:t xml:space="preserve">In-silico saturation mutagenesis: For top-scoring candidates, compute every possible SNV and score through NTv3. Generate per-position functional constraint maps.</w:t>
      </w:r>
    </w:p>
    <w:p>
      <w:pPr>
        <w:pStyle w:val="ListParagraph"/>
        <w:numPr>
          <w:ilvl w:val="0"/>
          <w:numId w:val="5"/>
        </w:numPr>
        <w:spacing w:after="100"/>
      </w:pPr>
      <w:r>
        <w:rPr>
          <w:rFonts w:ascii="Arial" w:cs="Arial" w:eastAsia="Arial" w:hAnsi="Arial"/>
          <w:sz w:val="22"/>
          <w:szCs w:val="22"/>
        </w:rPr>
        <w:t xml:space="preserve">Ablation: Mask/shuffle the TE-derived subsequence within each candidate, re-run through NTv3, and measure the delta in predicted regulatory activity.</w:t>
      </w:r>
    </w:p>
    <w:p>
      <w:pPr>
        <w:pStyle w:val="ListParagraph"/>
        <w:numPr>
          <w:ilvl w:val="0"/>
          <w:numId w:val="5"/>
        </w:numPr>
        <w:spacing w:after="100"/>
      </w:pPr>
      <w:r>
        <w:rPr>
          <w:rFonts w:ascii="Arial" w:cs="Arial" w:eastAsia="Arial" w:hAnsi="Arial"/>
          <w:sz w:val="22"/>
          <w:szCs w:val="22"/>
        </w:rPr>
        <w:t xml:space="preserve">Cross-reference: Compare NTv3 regulatory scores against BLAST E-values and conservation scores. Test whether the Quality Paradox holds (weak BLAST hits with strong regulatory scores = exapted fossils).</w:t>
      </w:r>
    </w:p>
    <w:p>
      <w:pPr>
        <w:spacing w:after="160"/>
      </w:pPr>
      <w:r>
        <w:rPr>
          <w:rFonts w:ascii="Arial" w:cs="Arial" w:eastAsia="Arial" w:hAnsi="Arial"/>
          <w:sz w:val="22"/>
          <w:szCs w:val="22"/>
        </w:rPr>
        <w:t xml:space="preserve"/>
      </w:r>
      <w:r>
        <w:rPr>
          <w:rFonts w:ascii="Arial" w:cs="Arial" w:eastAsia="Arial" w:hAnsi="Arial"/>
          <w:b/>
          <w:bCs/>
          <w:sz w:val="22"/>
          <w:szCs w:val="22"/>
        </w:rPr>
        <w:t xml:space="preserve">Outputs:</w:t>
      </w: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sz w:val="22"/>
          <w:szCs w:val="22"/>
        </w:rPr>
        <w:t xml:space="preserve">Ranked candidate list with regulatory confidence scores</w:t>
      </w:r>
    </w:p>
    <w:p>
      <w:pPr>
        <w:pStyle w:val="ListParagraph"/>
        <w:numPr>
          <w:ilvl w:val="0"/>
          <w:numId w:val="2"/>
        </w:numPr>
        <w:spacing w:after="100"/>
      </w:pPr>
      <w:r>
        <w:rPr>
          <w:rFonts w:ascii="Arial" w:cs="Arial" w:eastAsia="Arial" w:hAnsi="Arial"/>
          <w:sz w:val="22"/>
          <w:szCs w:val="22"/>
        </w:rPr>
        <w:t xml:space="preserve">Per-position functional constraint maps for top candidates</w:t>
      </w:r>
    </w:p>
    <w:p>
      <w:pPr>
        <w:pStyle w:val="ListParagraph"/>
        <w:numPr>
          <w:ilvl w:val="0"/>
          <w:numId w:val="2"/>
        </w:numPr>
        <w:spacing w:after="100"/>
      </w:pPr>
      <w:r>
        <w:rPr>
          <w:rFonts w:ascii="Arial" w:cs="Arial" w:eastAsia="Arial" w:hAnsi="Arial"/>
          <w:sz w:val="22"/>
          <w:szCs w:val="22"/>
        </w:rPr>
        <w:t xml:space="preserve">Ablation deltas quantifying TE contribution to regulatory activity</w:t>
      </w:r>
    </w:p>
    <w:p>
      <w:pPr>
        <w:pStyle w:val="ListParagraph"/>
        <w:numPr>
          <w:ilvl w:val="0"/>
          <w:numId w:val="2"/>
        </w:numPr>
        <w:spacing w:after="100"/>
      </w:pPr>
      <w:r>
        <w:rPr>
          <w:rFonts w:ascii="Arial" w:cs="Arial" w:eastAsia="Arial" w:hAnsi="Arial"/>
          <w:sz w:val="22"/>
          <w:szCs w:val="22"/>
        </w:rPr>
        <w:t xml:space="preserve">Labeled positive/negative sets for Phase 3 contrastive learning</w:t>
      </w:r>
    </w:p>
    <w:p>
      <w:pPr>
        <w:pStyle w:val="Heading2"/>
        <w:spacing w:before="240" w:after="120"/>
      </w:pPr>
      <w:r>
        <w:rPr>
          <w:b/>
          <w:bCs/>
        </w:rPr>
        <w:t xml:space="preserve">Phase 2: HMM Construction (Weeks 2–4, Overlapping with Phase 1)</w:t>
      </w:r>
    </w:p>
    <w:p>
      <w:pPr>
        <w:spacing w:after="160"/>
      </w:pPr>
      <w:r>
        <w:rPr>
          <w:rFonts w:ascii="Arial" w:cs="Arial" w:eastAsia="Arial" w:hAnsi="Arial"/>
          <w:sz w:val="22"/>
          <w:szCs w:val="22"/>
        </w:rPr>
        <w:t xml:space="preserve"/>
      </w:r>
      <w:r>
        <w:rPr>
          <w:rFonts w:ascii="Arial" w:cs="Arial" w:eastAsia="Arial" w:hAnsi="Arial"/>
          <w:b/>
          <w:bCs/>
          <w:sz w:val="22"/>
          <w:szCs w:val="22"/>
        </w:rPr>
        <w:t xml:space="preserve">Rationale:</w:t>
      </w:r>
      <w:r>
        <w:rPr>
          <w:rFonts w:ascii="Arial" w:cs="Arial" w:eastAsia="Arial" w:hAnsi="Arial"/>
          <w:sz w:val="22"/>
          <w:szCs w:val="22"/>
        </w:rPr>
        <w:t xml:space="preserve"> HMMs are better than BLAST for detecting degraded homology, especially for TE families where good alignments of related elements exist. Dfam already has curated profile HMMs for Drosophila TE families — you do not need to build them from scratch.</w:t>
      </w:r>
    </w:p>
    <w:p>
      <w:pPr>
        <w:spacing w:after="160"/>
      </w:pPr>
      <w:r>
        <w:rPr>
          <w:rFonts w:ascii="Arial" w:cs="Arial" w:eastAsia="Arial" w:hAnsi="Arial"/>
          <w:sz w:val="22"/>
          <w:szCs w:val="22"/>
        </w:rPr>
        <w:t xml:space="preserve"/>
      </w:r>
      <w:r>
        <w:rPr>
          <w:rFonts w:ascii="Arial" w:cs="Arial" w:eastAsia="Arial" w:hAnsi="Arial"/>
          <w:b/>
          <w:bCs/>
          <w:sz w:val="22"/>
          <w:szCs w:val="22"/>
        </w:rPr>
        <w:t xml:space="preserve">Steps:</w:t>
      </w:r>
      <w:r>
        <w:rPr>
          <w:rFonts w:ascii="Arial" w:cs="Arial" w:eastAsia="Arial" w:hAnsi="Arial"/>
          <w:sz w:val="22"/>
          <w:szCs w:val="22"/>
        </w:rPr>
        <w:t xml:space="preserve"/>
      </w:r>
    </w:p>
    <w:p>
      <w:pPr>
        <w:pStyle w:val="ListParagraph"/>
        <w:numPr>
          <w:ilvl w:val="0"/>
          <w:numId w:val="6"/>
        </w:numPr>
        <w:spacing w:after="100"/>
      </w:pPr>
      <w:r>
        <w:rPr>
          <w:rFonts w:ascii="Arial" w:cs="Arial" w:eastAsia="Arial" w:hAnsi="Arial"/>
          <w:sz w:val="22"/>
          <w:szCs w:val="22"/>
        </w:rPr>
        <w:t xml:space="preserve">Download Drosophila TE profile HMMs from Dfam (https://dfam.org). Alternatively, build custom profiles from RepBase consensus sequences using hmmbuild.</w:t>
      </w:r>
    </w:p>
    <w:p>
      <w:pPr>
        <w:pStyle w:val="ListParagraph"/>
        <w:numPr>
          <w:ilvl w:val="0"/>
          <w:numId w:val="6"/>
        </w:numPr>
        <w:spacing w:after="100"/>
      </w:pPr>
      <w:r>
        <w:rPr>
          <w:rFonts w:ascii="Arial" w:cs="Arial" w:eastAsia="Arial" w:hAnsi="Arial"/>
          <w:sz w:val="22"/>
          <w:szCs w:val="22"/>
        </w:rPr>
        <w:t xml:space="preserve">Run nhmmer (from HMMER3 suite) against your Drosophilid 3’UTR sequence database. Use relaxed E-value thresholds (e.g., E &lt; 10 or even E &lt; 100) since you are deliberately looking for degraded hits.</w:t>
      </w:r>
    </w:p>
    <w:p>
      <w:pPr>
        <w:pStyle w:val="ListParagraph"/>
        <w:numPr>
          <w:ilvl w:val="0"/>
          <w:numId w:val="6"/>
        </w:numPr>
        <w:spacing w:after="100"/>
      </w:pPr>
      <w:r>
        <w:rPr>
          <w:rFonts w:ascii="Arial" w:cs="Arial" w:eastAsia="Arial" w:hAnsi="Arial"/>
          <w:sz w:val="22"/>
          <w:szCs w:val="22"/>
        </w:rPr>
        <w:t xml:space="preserve">Cross-reference HMM hits with BLAST hits. Identify: (a) concordant hits (both methods agree), (b) HMM-only hits (BLAST missed), (c) BLAST-only hits (HMM missed).</w:t>
      </w:r>
    </w:p>
    <w:p>
      <w:pPr>
        <w:pStyle w:val="ListParagraph"/>
        <w:numPr>
          <w:ilvl w:val="0"/>
          <w:numId w:val="6"/>
        </w:numPr>
        <w:spacing w:after="100"/>
      </w:pPr>
      <w:r>
        <w:rPr>
          <w:rFonts w:ascii="Arial" w:cs="Arial" w:eastAsia="Arial" w:hAnsi="Arial"/>
          <w:sz w:val="22"/>
          <w:szCs w:val="22"/>
        </w:rPr>
        <w:t xml:space="preserve">For each category, check NTv3 regulatory scores from Phase 1. Key question: do HMM hits that BLAST missed show NTv3 regulatory signal?</w:t>
      </w:r>
    </w:p>
    <w:p>
      <w:pPr>
        <w:spacing w:after="160"/>
      </w:pPr>
      <w:r>
        <w:rPr>
          <w:rFonts w:ascii="Arial" w:cs="Arial" w:eastAsia="Arial" w:hAnsi="Arial"/>
          <w:sz w:val="22"/>
          <w:szCs w:val="22"/>
        </w:rPr>
        <w:t xml:space="preserve"/>
      </w:r>
      <w:r>
        <w:rPr>
          <w:rFonts w:ascii="Arial" w:cs="Arial" w:eastAsia="Arial" w:hAnsi="Arial"/>
          <w:b/>
          <w:bCs/>
          <w:sz w:val="22"/>
          <w:szCs w:val="22"/>
        </w:rPr>
        <w:t xml:space="preserve">Outputs:</w:t>
      </w: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sz w:val="22"/>
          <w:szCs w:val="22"/>
        </w:rPr>
        <w:t xml:space="preserve">Expanded candidate list beyond BLAST-only detection</w:t>
      </w:r>
    </w:p>
    <w:p>
      <w:pPr>
        <w:pStyle w:val="ListParagraph"/>
        <w:numPr>
          <w:ilvl w:val="0"/>
          <w:numId w:val="2"/>
        </w:numPr>
        <w:spacing w:after="100"/>
      </w:pPr>
      <w:r>
        <w:rPr>
          <w:rFonts w:ascii="Arial" w:cs="Arial" w:eastAsia="Arial" w:hAnsi="Arial"/>
          <w:sz w:val="22"/>
          <w:szCs w:val="22"/>
        </w:rPr>
        <w:t xml:space="preserve">Sensitivity comparison: BLAST vs. HMM vs. NTv3 for degraded TE detection</w:t>
      </w:r>
    </w:p>
    <w:p>
      <w:pPr>
        <w:pStyle w:val="ListParagraph"/>
        <w:numPr>
          <w:ilvl w:val="0"/>
          <w:numId w:val="2"/>
        </w:numPr>
        <w:spacing w:after="100"/>
      </w:pPr>
      <w:r>
        <w:rPr>
          <w:rFonts w:ascii="Arial" w:cs="Arial" w:eastAsia="Arial" w:hAnsi="Arial"/>
          <w:sz w:val="22"/>
          <w:szCs w:val="22"/>
        </w:rPr>
        <w:t xml:space="preserve">Additional labeled examples for contrastive learning</w:t>
      </w:r>
    </w:p>
    <w:p>
      <w:pPr>
        <w:pStyle w:val="Heading2"/>
        <w:spacing w:before="240" w:after="120"/>
      </w:pPr>
      <w:r>
        <w:rPr>
          <w:b/>
          <w:bCs/>
        </w:rPr>
        <w:t xml:space="preserve">Phase 3: Contrastive Learning (Weeks 3–6)</w:t>
      </w:r>
    </w:p>
    <w:p>
      <w:pPr>
        <w:spacing w:after="160"/>
      </w:pPr>
      <w:r>
        <w:rPr>
          <w:rFonts w:ascii="Arial" w:cs="Arial" w:eastAsia="Arial" w:hAnsi="Arial"/>
          <w:sz w:val="22"/>
          <w:szCs w:val="22"/>
        </w:rPr>
        <w:t xml:space="preserve"/>
      </w:r>
      <w:r>
        <w:rPr>
          <w:rFonts w:ascii="Arial" w:cs="Arial" w:eastAsia="Arial" w:hAnsi="Arial"/>
          <w:b/>
          <w:bCs/>
          <w:sz w:val="22"/>
          <w:szCs w:val="22"/>
        </w:rPr>
        <w:t xml:space="preserve">Rationale:</w:t>
      </w:r>
      <w:r>
        <w:rPr>
          <w:rFonts w:ascii="Arial" w:cs="Arial" w:eastAsia="Arial" w:hAnsi="Arial"/>
          <w:sz w:val="22"/>
          <w:szCs w:val="22"/>
        </w:rPr>
        <w:t xml:space="preserve"> Now you have labeled data from Phase 1 (NTv3-scored) and Phase 2 (HMM + BLAST coverage). The contrastive model’s real power is detecting ultra-degraded fossils in regions that are BLAST-negative and HMM-negative.</w:t>
      </w:r>
    </w:p>
    <w:p>
      <w:pPr>
        <w:spacing w:after="160"/>
      </w:pPr>
      <w:r>
        <w:rPr>
          <w:rFonts w:ascii="Arial" w:cs="Arial" w:eastAsia="Arial" w:hAnsi="Arial"/>
          <w:sz w:val="22"/>
          <w:szCs w:val="22"/>
        </w:rPr>
        <w:t xml:space="preserve"/>
      </w:r>
      <w:r>
        <w:rPr>
          <w:rFonts w:ascii="Arial" w:cs="Arial" w:eastAsia="Arial" w:hAnsi="Arial"/>
          <w:b/>
          <w:bCs/>
          <w:sz w:val="22"/>
          <w:szCs w:val="22"/>
        </w:rPr>
        <w:t xml:space="preserve">Training data structure from Phases 1–2:</w:t>
      </w: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Positive examples (exapted fossils):</w:t>
      </w:r>
      <w:r>
        <w:rPr>
          <w:rFonts w:ascii="Arial" w:cs="Arial" w:eastAsia="Arial" w:hAnsi="Arial"/>
          <w:sz w:val="22"/>
          <w:szCs w:val="22"/>
        </w:rPr>
        <w:t xml:space="preserve"> BLAST+ and/or HMM+, NTv3-regulatory-positive, showing ablation delta</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Negative examples (non-functional insertions):</w:t>
      </w:r>
      <w:r>
        <w:rPr>
          <w:rFonts w:ascii="Arial" w:cs="Arial" w:eastAsia="Arial" w:hAnsi="Arial"/>
          <w:sz w:val="22"/>
          <w:szCs w:val="22"/>
        </w:rPr>
        <w:t xml:space="preserve"> BLAST+ and/or HMM+, NTv3-flat, no ablation delta</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Background (no TE):</w:t>
      </w:r>
      <w:r>
        <w:rPr>
          <w:rFonts w:ascii="Arial" w:cs="Arial" w:eastAsia="Arial" w:hAnsi="Arial"/>
          <w:sz w:val="22"/>
          <w:szCs w:val="22"/>
        </w:rPr>
        <w:t xml:space="preserve"> BLAST–, HMM–, used as anchors in contrastive space</w:t>
      </w:r>
    </w:p>
    <w:p>
      <w:pPr>
        <w:spacing w:after="160"/>
      </w:pPr>
      <w:r>
        <w:rPr>
          <w:rFonts w:ascii="Arial" w:cs="Arial" w:eastAsia="Arial" w:hAnsi="Arial"/>
          <w:sz w:val="22"/>
          <w:szCs w:val="22"/>
        </w:rPr>
        <w:t xml:space="preserve"/>
      </w:r>
      <w:r>
        <w:rPr>
          <w:rFonts w:ascii="Arial" w:cs="Arial" w:eastAsia="Arial" w:hAnsi="Arial"/>
          <w:b/>
          <w:bCs/>
          <w:sz w:val="22"/>
          <w:szCs w:val="22"/>
        </w:rPr>
        <w:t xml:space="preserve">Steps:</w:t>
      </w: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sz w:val="22"/>
          <w:szCs w:val="22"/>
        </w:rPr>
        <w:t xml:space="preserve">Train contrastive model: embeddings of confirmed TE fossils should cluster separately from non-functional insertions and from background</w:t>
      </w:r>
    </w:p>
    <w:p>
      <w:pPr>
        <w:pStyle w:val="ListParagraph"/>
        <w:numPr>
          <w:ilvl w:val="0"/>
          <w:numId w:val="2"/>
        </w:numPr>
        <w:spacing w:after="100"/>
      </w:pPr>
      <w:r>
        <w:rPr>
          <w:rFonts w:ascii="Arial" w:cs="Arial" w:eastAsia="Arial" w:hAnsi="Arial"/>
          <w:sz w:val="22"/>
          <w:szCs w:val="22"/>
        </w:rPr>
        <w:t xml:space="preserve">Use HyenaDNA or Evo2 as the backbone encoder for generating embeddings (these are appropriate for embedding tasks even without Drosophila-specific fine-tuning)</w:t>
      </w:r>
    </w:p>
    <w:p>
      <w:pPr>
        <w:pStyle w:val="ListParagraph"/>
        <w:numPr>
          <w:ilvl w:val="0"/>
          <w:numId w:val="2"/>
        </w:numPr>
        <w:spacing w:after="100"/>
      </w:pPr>
      <w:r>
        <w:rPr>
          <w:rFonts w:ascii="Arial" w:cs="Arial" w:eastAsia="Arial" w:hAnsi="Arial"/>
          <w:sz w:val="22"/>
          <w:szCs w:val="22"/>
        </w:rPr>
        <w:t xml:space="preserve">Sweep the trained contrastive model across all 3’UTR regions that are BLAST–/HMM– to detect ultra-degraded fossils below traditional homology detection thresholds</w:t>
      </w:r>
    </w:p>
    <w:p>
      <w:pPr>
        <w:pStyle w:val="ListParagraph"/>
        <w:numPr>
          <w:ilvl w:val="0"/>
          <w:numId w:val="2"/>
        </w:numPr>
        <w:spacing w:after="100"/>
      </w:pPr>
      <w:r>
        <w:rPr>
          <w:rFonts w:ascii="Arial" w:cs="Arial" w:eastAsia="Arial" w:hAnsi="Arial"/>
          <w:sz w:val="22"/>
          <w:szCs w:val="22"/>
        </w:rPr>
        <w:t xml:space="preserve">Use NTv3 regulatory scoring as independent validation: do the new contrastive-learning candidates show regulatory signal?</w:t>
      </w:r>
    </w:p>
    <w:p>
      <w:pPr>
        <w:spacing w:after="160"/>
      </w:pPr>
      <w:r>
        <w:rPr>
          <w:rFonts w:ascii="Arial" w:cs="Arial" w:eastAsia="Arial" w:hAnsi="Arial"/>
          <w:sz w:val="22"/>
          <w:szCs w:val="22"/>
        </w:rPr>
        <w:t xml:space="preserve"/>
      </w:r>
      <w:r>
        <w:rPr>
          <w:rFonts w:ascii="Arial" w:cs="Arial" w:eastAsia="Arial" w:hAnsi="Arial"/>
          <w:b/>
          <w:bCs/>
          <w:sz w:val="22"/>
          <w:szCs w:val="22"/>
        </w:rPr>
        <w:t xml:space="preserve">Outputs:</w:t>
      </w: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sz w:val="22"/>
          <w:szCs w:val="22"/>
        </w:rPr>
        <w:t xml:space="preserve">Contrastive model capable of detecting TE fossils beyond homology-based methods</w:t>
      </w:r>
    </w:p>
    <w:p>
      <w:pPr>
        <w:pStyle w:val="ListParagraph"/>
        <w:numPr>
          <w:ilvl w:val="0"/>
          <w:numId w:val="2"/>
        </w:numPr>
        <w:spacing w:after="100"/>
      </w:pPr>
      <w:r>
        <w:rPr>
          <w:rFonts w:ascii="Arial" w:cs="Arial" w:eastAsia="Arial" w:hAnsi="Arial"/>
          <w:sz w:val="22"/>
          <w:szCs w:val="22"/>
        </w:rPr>
        <w:t xml:space="preserve">Expanded candidate list including sub-homology-threshold fossils</w:t>
      </w:r>
    </w:p>
    <w:p>
      <w:pPr>
        <w:pStyle w:val="ListParagraph"/>
        <w:numPr>
          <w:ilvl w:val="0"/>
          <w:numId w:val="2"/>
        </w:numPr>
        <w:spacing w:after="100"/>
      </w:pPr>
      <w:r>
        <w:rPr>
          <w:rFonts w:ascii="Arial" w:cs="Arial" w:eastAsia="Arial" w:hAnsi="Arial"/>
          <w:sz w:val="22"/>
          <w:szCs w:val="22"/>
        </w:rPr>
        <w:t xml:space="preserve">Embedding space visualization showing separation of functional vs. non-functional TE insertions</w:t>
      </w:r>
    </w:p>
    <w:p>
      <w:pPr>
        <w:pStyle w:val="Heading2"/>
        <w:spacing w:before="240" w:after="120"/>
      </w:pPr>
      <w:r>
        <w:rPr>
          <w:b/>
          <w:bCs/>
        </w:rPr>
        <w:t xml:space="preserve">Phase 4: Full Integration and Validation (Weeks 6–8)</w:t>
      </w:r>
    </w:p>
    <w:p>
      <w:pPr>
        <w:spacing w:after="160"/>
      </w:pPr>
      <w:r>
        <w:rPr>
          <w:rFonts w:ascii="Arial" w:cs="Arial" w:eastAsia="Arial" w:hAnsi="Arial"/>
          <w:sz w:val="22"/>
          <w:szCs w:val="22"/>
        </w:rPr>
        <w:t xml:space="preserve"/>
      </w:r>
      <w:r>
        <w:rPr>
          <w:rFonts w:ascii="Arial" w:cs="Arial" w:eastAsia="Arial" w:hAnsi="Arial"/>
          <w:b/>
          <w:bCs/>
          <w:sz w:val="22"/>
          <w:szCs w:val="22"/>
        </w:rPr>
        <w:t xml:space="preserve">Steps:</w:t>
      </w: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sz w:val="22"/>
          <w:szCs w:val="22"/>
        </w:rPr>
        <w:t xml:space="preserve">Re-run NTv3 ablation and variant effect studies on the expanded candidate list from Phase 3</w:t>
      </w:r>
    </w:p>
    <w:p>
      <w:pPr>
        <w:pStyle w:val="ListParagraph"/>
        <w:numPr>
          <w:ilvl w:val="0"/>
          <w:numId w:val="2"/>
        </w:numPr>
        <w:spacing w:after="100"/>
      </w:pPr>
      <w:r>
        <w:rPr>
          <w:rFonts w:ascii="Arial" w:cs="Arial" w:eastAsia="Arial" w:hAnsi="Arial"/>
          <w:sz w:val="22"/>
          <w:szCs w:val="22"/>
        </w:rPr>
        <w:t xml:space="preserve">Cross-species comparative ablation: for each candidate, identify orthologous loci in other Drosophilid species. Compare predicted regulatory activity in species with vs. without the TE insertion</w:t>
      </w:r>
    </w:p>
    <w:p>
      <w:pPr>
        <w:pStyle w:val="ListParagraph"/>
        <w:numPr>
          <w:ilvl w:val="0"/>
          <w:numId w:val="2"/>
        </w:numPr>
        <w:spacing w:after="100"/>
      </w:pPr>
      <w:r>
        <w:rPr>
          <w:rFonts w:ascii="Arial" w:cs="Arial" w:eastAsia="Arial" w:hAnsi="Arial"/>
          <w:sz w:val="22"/>
          <w:szCs w:val="22"/>
        </w:rPr>
        <w:t xml:space="preserve">Synthesize complete evidence chains: detection method → regulatory score → variant constraint map → ablation delta → predicted expression consequence → cross-species comparison</w:t>
      </w:r>
    </w:p>
    <w:p>
      <w:pPr>
        <w:pStyle w:val="ListParagraph"/>
        <w:numPr>
          <w:ilvl w:val="0"/>
          <w:numId w:val="2"/>
        </w:numPr>
        <w:spacing w:after="100"/>
      </w:pPr>
      <w:r>
        <w:rPr>
          <w:rFonts w:ascii="Arial" w:cs="Arial" w:eastAsia="Arial" w:hAnsi="Arial"/>
          <w:sz w:val="22"/>
          <w:szCs w:val="22"/>
        </w:rPr>
        <w:t xml:space="preserve">Identify candidates with strongest multi-evidence support for experimental validation (e.g., STARR-seq reporter assays, CRISPR deletion in fly lines)</w:t>
      </w:r>
    </w:p>
    <w:p>
      <w:pPr>
        <w:spacing w:after="160"/>
      </w:pPr>
      <w:r>
        <w:rPr>
          <w:rFonts w:ascii="Arial" w:cs="Arial" w:eastAsia="Arial" w:hAnsi="Arial"/>
          <w:sz w:val="22"/>
          <w:szCs w:val="22"/>
        </w:rPr>
        <w:t xml:space="preserve"/>
      </w:r>
      <w:r>
        <w:rPr>
          <w:rFonts w:ascii="Arial" w:cs="Arial" w:eastAsia="Arial" w:hAnsi="Arial"/>
          <w:b/>
          <w:bCs/>
          <w:sz w:val="22"/>
          <w:szCs w:val="22"/>
        </w:rPr>
        <w:t xml:space="preserve">Outputs:</w:t>
      </w: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sz w:val="22"/>
          <w:szCs w:val="22"/>
        </w:rPr>
        <w:t xml:space="preserve">Publication-ready dataset of high-confidence TE fossils with multi-modal evidence</w:t>
      </w:r>
    </w:p>
    <w:p>
      <w:pPr>
        <w:pStyle w:val="ListParagraph"/>
        <w:numPr>
          <w:ilvl w:val="0"/>
          <w:numId w:val="2"/>
        </w:numPr>
        <w:spacing w:after="100"/>
      </w:pPr>
      <w:r>
        <w:rPr>
          <w:rFonts w:ascii="Arial" w:cs="Arial" w:eastAsia="Arial" w:hAnsi="Arial"/>
          <w:sz w:val="22"/>
          <w:szCs w:val="22"/>
        </w:rPr>
        <w:t xml:space="preserve">Mechanistic predictions for each fossil: which positions matter, what the regulatory function is, and how it affects gene expression</w:t>
      </w:r>
    </w:p>
    <w:p>
      <w:pPr>
        <w:pStyle w:val="ListParagraph"/>
        <w:numPr>
          <w:ilvl w:val="0"/>
          <w:numId w:val="2"/>
        </w:numPr>
        <w:spacing w:after="100"/>
      </w:pPr>
      <w:r>
        <w:rPr>
          <w:rFonts w:ascii="Arial" w:cs="Arial" w:eastAsia="Arial" w:hAnsi="Arial"/>
          <w:sz w:val="22"/>
          <w:szCs w:val="22"/>
        </w:rPr>
        <w:t xml:space="preserve">Prioritized list for wet-lab validation</w:t>
      </w:r>
    </w:p>
    <w:p>
      <w:r>
        <w:br w:type="page"/>
      </w:r>
    </w:p>
    <w:p>
      <w:pPr>
        <w:pStyle w:val="Heading1"/>
        <w:spacing w:before="360" w:after="120"/>
      </w:pPr>
      <w:r>
        <w:rPr>
          <w:b/>
          <w:bCs/>
        </w:rPr>
        <w:t xml:space="preserve">5. Key Strategic Insights</w:t>
      </w:r>
    </w:p>
    <w:p>
      <w:pPr>
        <w:pStyle w:val="Heading2"/>
        <w:spacing w:before="240" w:after="120"/>
      </w:pPr>
      <w:r>
        <w:rPr>
          <w:b/>
          <w:bCs/>
        </w:rPr>
        <w:t xml:space="preserve">5.1 NTv3 is Both Endpoint and Infrastructure</w:t>
      </w:r>
    </w:p>
    <w:p>
      <w:pPr>
        <w:spacing w:after="160"/>
      </w:pPr>
      <w:r>
        <w:rPr>
          <w:rFonts w:ascii="Arial" w:cs="Arial" w:eastAsia="Arial" w:hAnsi="Arial"/>
          <w:sz w:val="22"/>
          <w:szCs w:val="22"/>
        </w:rPr>
        <w:t xml:space="preserve">The most important realization from this conversation: NTv3 is not just something you run at the end of your pipeline. It serves double duty as (a) a publishable analysis tool for regulatory scoring, ablation, and variant effects, and (b) a labeling tool that generates the training data your contrastive learning model needs. This breaks the chicken-and-egg problem of needing labeled examples before you can train your ML pipeline.</w:t>
      </w:r>
    </w:p>
    <w:p>
      <w:pPr>
        <w:pStyle w:val="Heading2"/>
        <w:spacing w:before="240" w:after="120"/>
      </w:pPr>
      <w:r>
        <w:rPr>
          <w:b/>
          <w:bCs/>
        </w:rPr>
        <w:t xml:space="preserve">5.2 Three Paths for Species-Specific Models</w:t>
      </w:r>
    </w:p>
    <w:p>
      <w:pPr>
        <w:spacing w:after="160"/>
      </w:pPr>
      <w:r>
        <w:rPr>
          <w:rFonts w:ascii="Arial" w:cs="Arial" w:eastAsia="Arial" w:hAnsi="Arial"/>
          <w:sz w:val="22"/>
          <w:szCs w:val="22"/>
        </w:rPr>
        <w:t xml:space="preserve">If NTv3’s built-in Drosophila tracks prove insufficient, there are three escalation paths: (A) fine-tune NTv3 further on DeepSTARR/STARR-seq data (~$75–200), (B) fine-tune Evo2 7B on compiled Drosophila functional genomics data (~$150–1,500, free compute via NVIDIA BioNeMo), or (C) transfer Borzoi to fly using the brand-new PEFT framework (~$750–3,200). Each is a separate potential publication.</w:t>
      </w:r>
    </w:p>
    <w:p>
      <w:pPr>
        <w:pStyle w:val="Heading2"/>
        <w:spacing w:before="240" w:after="120"/>
      </w:pPr>
      <w:r>
        <w:rPr>
          <w:b/>
          <w:bCs/>
        </w:rPr>
        <w:t xml:space="preserve">5.3 The Quality Paradox as Testable Prediction</w:t>
      </w:r>
    </w:p>
    <w:p>
      <w:pPr>
        <w:spacing w:after="160"/>
      </w:pPr>
      <w:r>
        <w:rPr>
          <w:rFonts w:ascii="Arial" w:cs="Arial" w:eastAsia="Arial" w:hAnsi="Arial"/>
          <w:sz w:val="22"/>
          <w:szCs w:val="22"/>
        </w:rPr>
        <w:t xml:space="preserve">The NTv3 pipeline provides a direct, independent test of the Quality Paradox hypothesis. If weak BLAST hits systematically correlate with strong NTv3 regulatory scores (and strong ablation deltas), this is strong evidence that degraded sequence homology reflects ancient functional constraint rather than noise. This is the strongest possible framing for a paper.</w:t>
      </w:r>
    </w:p>
    <w:p>
      <w:pPr>
        <w:pStyle w:val="Heading2"/>
        <w:spacing w:before="240" w:after="120"/>
      </w:pPr>
      <w:r>
        <w:rPr>
          <w:b/>
          <w:bCs/>
        </w:rPr>
        <w:t xml:space="preserve">5.4 Available Training Data for Drosophila</w:t>
      </w:r>
    </w:p>
    <w:p>
      <w:pPr>
        <w:spacing w:after="160"/>
      </w:pPr>
      <w:r>
        <w:rPr>
          <w:rFonts w:ascii="Arial" w:cs="Arial" w:eastAsia="Arial" w:hAnsi="Arial"/>
          <w:sz w:val="22"/>
          <w:szCs w:val="22"/>
        </w:rPr>
        <w:t xml:space="preserve">Key datasets for fine-tuning or validation, all publicly available:</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DeepSTARR (Stark lab):</w:t>
      </w:r>
      <w:r>
        <w:rPr>
          <w:rFonts w:ascii="Arial" w:cs="Arial" w:eastAsia="Arial" w:hAnsi="Arial"/>
          <w:sz w:val="22"/>
          <w:szCs w:val="22"/>
        </w:rPr>
        <w:t xml:space="preserve"> Millions of sequences with quantitative enhancer activity in Drosophila S2 cells (housekeeping and developmental)</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modENCODE:</w:t>
      </w:r>
      <w:r>
        <w:rPr>
          <w:rFonts w:ascii="Arial" w:cs="Arial" w:eastAsia="Arial" w:hAnsi="Arial"/>
          <w:sz w:val="22"/>
          <w:szCs w:val="22"/>
        </w:rPr>
        <w:t xml:space="preserve"> Comprehensive histone modification, TF binding, and RNA-seq time-course data across Drosophila developmental stages</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Dfam:</w:t>
      </w:r>
      <w:r>
        <w:rPr>
          <w:rFonts w:ascii="Arial" w:cs="Arial" w:eastAsia="Arial" w:hAnsi="Arial"/>
          <w:sz w:val="22"/>
          <w:szCs w:val="22"/>
        </w:rPr>
        <w:t xml:space="preserve"> Curated profile HMMs for Drosophila TE families (ready to use with nhmmer)</w:t>
      </w:r>
    </w:p>
    <w:p>
      <w:pPr>
        <w:pStyle w:val="ListParagraph"/>
        <w:numPr>
          <w:ilvl w:val="0"/>
          <w:numId w:val="2"/>
        </w:numPr>
        <w:spacing w:after="100"/>
      </w:pPr>
      <w:r>
        <w:rPr>
          <w:rFonts w:ascii="Arial" w:cs="Arial" w:eastAsia="Arial" w:hAnsi="Arial"/>
          <w:sz w:val="22"/>
          <w:szCs w:val="22"/>
        </w:rPr>
        <w:t xml:space="preserve"/>
      </w:r>
      <w:r>
        <w:rPr>
          <w:rFonts w:ascii="Arial" w:cs="Arial" w:eastAsia="Arial" w:hAnsi="Arial"/>
          <w:b/>
          <w:bCs/>
          <w:sz w:val="22"/>
          <w:szCs w:val="22"/>
        </w:rPr>
        <w:t xml:space="preserve">12 Drosophila genomes project:</w:t>
      </w:r>
      <w:r>
        <w:rPr>
          <w:rFonts w:ascii="Arial" w:cs="Arial" w:eastAsia="Arial" w:hAnsi="Arial"/>
          <w:sz w:val="22"/>
          <w:szCs w:val="22"/>
        </w:rPr>
        <w:t xml:space="preserve"> Multi-species alignments with Branch Length Scores for motif conservation</w:t>
      </w:r>
    </w:p>
    <w:p>
      <w:pPr>
        <w:pStyle w:val="Heading2"/>
        <w:spacing w:before="240" w:after="120"/>
      </w:pPr>
      <w:r>
        <w:rPr>
          <w:b/>
          <w:bCs/>
        </w:rPr>
        <w:t xml:space="preserve">5.5 Publication Angle</w:t>
      </w:r>
    </w:p>
    <w:p>
      <w:pPr>
        <w:spacing w:after="160"/>
      </w:pPr>
      <w:r>
        <w:rPr>
          <w:rFonts w:ascii="Arial" w:cs="Arial" w:eastAsia="Arial" w:hAnsi="Arial"/>
          <w:sz w:val="22"/>
          <w:szCs w:val="22"/>
        </w:rPr>
        <w:t xml:space="preserve">The complete evidence chain — from detection through regulatory scoring, variant saturation, ablation, and expression prediction — provides mechanistic specificity well beyond “it’s conserved.” The variant and ablation results show which positions matter and what the functional consequence is. Combined with the NTv3 novelty (first application to TE biology) and the Quality Paradox framing, this is a compelling story for a journal like Genome Research, Genome Biology, or Molecular Biology and Evolution.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F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2026-02-06T00:35:37.295Z</dcterms:created>
  <dcterms:modified xsi:type="dcterms:W3CDTF">2026-02-06T00:35:37.296Z</dcterms:modified>
</cp:coreProperties>
</file>

<file path=docProps/custom.xml><?xml version="1.0" encoding="utf-8"?>
<Properties xmlns="http://schemas.openxmlformats.org/officeDocument/2006/custom-properties" xmlns:vt="http://schemas.openxmlformats.org/officeDocument/2006/docPropsVTypes"/>
</file>