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0" w:before="0"/>
        <w:jc w:val="center"/>
      </w:pPr>
      <w:r>
        <w:rPr>
          <w:rFonts w:ascii="Arial" w:cs="Arial" w:eastAsia="Arial" w:hAnsi="Arial"/>
          <w:b/>
          <w:bCs/>
          <w:color w:val="1B3A6B"/>
          <w:sz w:val="72"/>
          <w:szCs w:val="72"/>
        </w:rPr>
        <w:t xml:space="preserve">CLEANROOM</w:t>
      </w:r>
    </w:p>
    <w:p>
      <w:pPr>
        <w:spacing w:after="0" w:before="0"/>
        <w:jc w:val="center"/>
      </w:pPr>
      <w:r>
        <w:rPr>
          <w:rFonts w:ascii="Arial" w:cs="Arial" w:eastAsia="Arial" w:hAnsi="Arial"/>
          <w:b/>
          <w:bCs/>
          <w:color w:val="1B3A6B"/>
          <w:sz w:val="52"/>
          <w:szCs w:val="52"/>
        </w:rPr>
        <w:t xml:space="preserve">SAFETY &amp; PROTOCOL GUIDE</w:t>
      </w:r>
    </w:p>
    <w:p>
      <w:pPr>
        <w:spacing w:after="0" w:before="80"/>
      </w:pPr>
      <w:r>
        <w:t xml:space="preserve"/>
      </w:r>
    </w:p>
    <w:p>
      <w:pPr>
        <w:pBdr>
          <w:bottom w:val="single" w:color="0E7C86" w:sz="14" w:space="6"/>
        </w:pBdr>
        <w:spacing w:after="180" w:before="0"/>
        <w:jc w:val="center"/>
      </w:pPr>
    </w:p>
    <w:p>
      <w:pPr>
        <w:spacing w:after="0" w:before="80"/>
      </w:pPr>
      <w:r>
        <w:t xml:space="preserve"/>
      </w:r>
    </w:p>
    <w:p>
      <w:pPr>
        <w:spacing w:after="80" w:before="0"/>
        <w:jc w:val="center"/>
      </w:pPr>
      <w:r>
        <w:rPr>
          <w:rFonts w:ascii="Arial" w:cs="Arial" w:eastAsia="Arial" w:hAnsi="Arial"/>
          <w:b/>
          <w:bCs/>
          <w:color w:val="0E7C86"/>
          <w:sz w:val="28"/>
          <w:szCs w:val="28"/>
        </w:rPr>
        <w:t xml:space="preserve">For Graduate Students &amp; Research Personnel</w:t>
      </w:r>
    </w:p>
    <w:p>
      <w:pPr>
        <w:spacing w:after="80" w:before="0"/>
        <w:jc w:val="center"/>
      </w:pPr>
      <w:r>
        <w:rPr>
          <w:rFonts w:ascii="Arial" w:cs="Arial" w:eastAsia="Arial" w:hAnsi="Arial"/>
          <w:color w:val="7F8C8D"/>
          <w:sz w:val="24"/>
          <w:szCs w:val="24"/>
        </w:rPr>
        <w:t xml:space="preserve">Nanofabrication &amp; Advanced Materials Research Facility</w:t>
      </w:r>
    </w:p>
    <w:p>
      <w:pPr>
        <w:spacing w:after="400" w:before="0"/>
        <w:jc w:val="center"/>
      </w:pPr>
      <w:r>
        <w:rPr>
          <w:rFonts w:ascii="Arial" w:cs="Arial" w:eastAsia="Arial" w:hAnsi="Arial"/>
          <w:i/>
          <w:iCs/>
          <w:color w:val="7F8C8D"/>
          <w:sz w:val="22"/>
          <w:szCs w:val="22"/>
        </w:rPr>
        <w:t xml:space="preserve">United Kingdom</w:t>
      </w:r>
    </w:p>
    <w:p>
      <w:pPr>
        <w:spacing w:after="0" w:before="20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1"/>
              <w:left w:val="single" w:color="CCCCCC" w:sz="1"/>
              <w:bottom w:val="single" w:color="CCCCCC" w:sz="1"/>
              <w:right w:val="single" w:color="CCCCCC" w:sz="1"/>
            </w:tcBorders>
            <w:shd w:fill="D6E8F7" w:val="clear"/>
            <w:tcMar>
              <w:top w:type="dxa" w:w="120"/>
              <w:left w:type="dxa" w:w="200"/>
              <w:bottom w:type="dxa" w:w="120"/>
              <w:right w:type="dxa" w:w="200"/>
            </w:tcMar>
          </w:tcPr>
          <w:p>
            <w:pPr>
              <w:spacing w:after="20" w:before="0"/>
            </w:pPr>
            <w:r>
              <w:rPr>
                <w:rFonts w:ascii="Arial" w:cs="Arial" w:eastAsia="Arial" w:hAnsi="Arial"/>
                <w:color w:val="7F8C8D"/>
                <w:sz w:val="18"/>
                <w:szCs w:val="18"/>
              </w:rPr>
              <w:t xml:space="preserve">Document Version</w:t>
            </w:r>
          </w:p>
          <w:p>
            <w:pPr>
              <w:spacing w:after="0" w:before="0"/>
            </w:pPr>
            <w:r>
              <w:rPr>
                <w:rFonts w:ascii="Arial" w:cs="Arial" w:eastAsia="Arial" w:hAnsi="Arial"/>
                <w:b/>
                <w:bCs/>
                <w:color w:val="1B3A6B"/>
                <w:sz w:val="24"/>
                <w:szCs w:val="24"/>
              </w:rPr>
              <w:t xml:space="preserve">3.2 (UK Edition)</w:t>
            </w:r>
          </w:p>
        </w:tc>
        <w:tc>
          <w:tcPr>
            <w:tcW w:type="dxa" w:w="2880"/>
            <w:tcBorders>
              <w:top w:val="single" w:color="CCCCCC" w:sz="1"/>
              <w:left w:val="single" w:color="CCCCCC" w:sz="1"/>
              <w:bottom w:val="single" w:color="CCCCCC" w:sz="1"/>
              <w:right w:val="single" w:color="CCCCCC" w:sz="1"/>
            </w:tcBorders>
            <w:shd w:fill="D0EDEF" w:val="clear"/>
            <w:tcMar>
              <w:top w:type="dxa" w:w="120"/>
              <w:left w:type="dxa" w:w="200"/>
              <w:bottom w:type="dxa" w:w="120"/>
              <w:right w:type="dxa" w:w="200"/>
            </w:tcMar>
          </w:tcPr>
          <w:p>
            <w:pPr>
              <w:spacing w:after="20" w:before="0"/>
            </w:pPr>
            <w:r>
              <w:rPr>
                <w:rFonts w:ascii="Arial" w:cs="Arial" w:eastAsia="Arial" w:hAnsi="Arial"/>
                <w:color w:val="7F8C8D"/>
                <w:sz w:val="18"/>
                <w:szCs w:val="18"/>
              </w:rPr>
              <w:t xml:space="preserve">Effective Date</w:t>
            </w:r>
          </w:p>
          <w:p>
            <w:pPr>
              <w:spacing w:after="0" w:before="0"/>
            </w:pPr>
            <w:r>
              <w:rPr>
                <w:rFonts w:ascii="Arial" w:cs="Arial" w:eastAsia="Arial" w:hAnsi="Arial"/>
                <w:b/>
                <w:bCs/>
                <w:color w:val="0E7C86"/>
                <w:sz w:val="24"/>
                <w:szCs w:val="24"/>
              </w:rPr>
              <w:t xml:space="preserve">January 2025</w:t>
            </w:r>
          </w:p>
        </w:tc>
      </w:tr>
      <w:tr>
        <w:tc>
          <w:tcPr>
            <w:tcW w:type="dxa" w:w="288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after="20" w:before="0"/>
            </w:pPr>
            <w:r>
              <w:rPr>
                <w:rFonts w:ascii="Arial" w:cs="Arial" w:eastAsia="Arial" w:hAnsi="Arial"/>
                <w:color w:val="7F8C8D"/>
                <w:sz w:val="18"/>
                <w:szCs w:val="18"/>
              </w:rPr>
              <w:t xml:space="preserve">Cleanroom Class</w:t>
            </w:r>
          </w:p>
          <w:p>
            <w:pPr>
              <w:spacing w:after="0" w:before="0"/>
            </w:pPr>
            <w:r>
              <w:rPr>
                <w:rFonts w:ascii="Arial" w:cs="Arial" w:eastAsia="Arial" w:hAnsi="Arial"/>
                <w:b/>
                <w:bCs/>
                <w:color w:val="2C3E50"/>
                <w:sz w:val="24"/>
                <w:szCs w:val="24"/>
              </w:rPr>
              <w:t xml:space="preserve">ISO 5 / 6 / 7</w:t>
            </w:r>
          </w:p>
        </w:tc>
        <w:tc>
          <w:tcPr>
            <w:tcW w:type="dxa" w:w="288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after="20" w:before="0"/>
            </w:pPr>
            <w:r>
              <w:rPr>
                <w:rFonts w:ascii="Arial" w:cs="Arial" w:eastAsia="Arial" w:hAnsi="Arial"/>
                <w:color w:val="7F8C8D"/>
                <w:sz w:val="18"/>
                <w:szCs w:val="18"/>
              </w:rPr>
              <w:t xml:space="preserve">Review Cycle</w:t>
            </w:r>
          </w:p>
          <w:p>
            <w:pPr>
              <w:spacing w:after="0" w:before="0"/>
            </w:pPr>
            <w:r>
              <w:rPr>
                <w:rFonts w:ascii="Arial" w:cs="Arial" w:eastAsia="Arial" w:hAnsi="Arial"/>
                <w:b/>
                <w:bCs/>
                <w:color w:val="C0392B"/>
                <w:sz w:val="24"/>
                <w:szCs w:val="24"/>
              </w:rPr>
              <w:t xml:space="preserve">Annual</w:t>
            </w:r>
          </w:p>
        </w:tc>
      </w:tr>
    </w:tbl>
    <w:p>
      <w:pPr>
        <w:spacing w:after="0" w:before="20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after="20" w:before="0"/>
            </w:pPr>
            <w:r>
              <w:rPr>
                <w:rFonts w:ascii="Arial" w:cs="Arial" w:eastAsia="Arial" w:hAnsi="Arial"/>
                <w:color w:val="7F8C8D"/>
                <w:sz w:val="18"/>
                <w:szCs w:val="18"/>
              </w:rPr>
              <w:t xml:space="preserve">Regulatory Framework</w:t>
            </w:r>
          </w:p>
          <w:p>
            <w:pPr>
              <w:spacing w:after="0" w:before="0"/>
            </w:pPr>
            <w:r>
              <w:rPr>
                <w:rFonts w:ascii="Arial" w:cs="Arial" w:eastAsia="Arial" w:hAnsi="Arial"/>
                <w:b/>
                <w:bCs/>
                <w:color w:val="D68910"/>
                <w:sz w:val="21"/>
                <w:szCs w:val="21"/>
              </w:rPr>
              <w:t xml:space="preserve">COSHH / RIDDOR / PUWER</w:t>
            </w:r>
          </w:p>
        </w:tc>
        <w:tc>
          <w:tcPr>
            <w:tcW w:type="dxa" w:w="288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200"/>
            </w:tcMar>
          </w:tcPr>
          <w:p>
            <w:pPr>
              <w:spacing w:after="20" w:before="0"/>
            </w:pPr>
            <w:r>
              <w:rPr>
                <w:rFonts w:ascii="Arial" w:cs="Arial" w:eastAsia="Arial" w:hAnsi="Arial"/>
                <w:color w:val="7F8C8D"/>
                <w:sz w:val="18"/>
                <w:szCs w:val="18"/>
              </w:rPr>
              <w:t xml:space="preserve">Enforcement Body</w:t>
            </w:r>
          </w:p>
          <w:p>
            <w:pPr>
              <w:spacing w:after="0" w:before="0"/>
            </w:pPr>
            <w:r>
              <w:rPr>
                <w:rFonts w:ascii="Arial" w:cs="Arial" w:eastAsia="Arial" w:hAnsi="Arial"/>
                <w:b/>
                <w:bCs/>
                <w:color w:val="2C3E50"/>
                <w:sz w:val="21"/>
                <w:szCs w:val="21"/>
              </w:rPr>
              <w:t xml:space="preserve">HSE (Health &amp; Safety Executive)</w:t>
            </w:r>
          </w:p>
        </w:tc>
      </w:tr>
    </w:tbl>
    <w:p>
      <w:pPr>
        <w:spacing w:after="0" w:before="500"/>
      </w:pPr>
      <w:r>
        <w:t xml:space="preserve"/>
      </w:r>
    </w:p>
    <w:p>
      <w:pPr>
        <w:spacing w:after="80" w:before="0"/>
        <w:jc w:val="center"/>
      </w:pPr>
      <w:r>
        <w:rPr>
          <w:rFonts w:ascii="Arial" w:cs="Arial" w:eastAsia="Arial" w:hAnsi="Arial"/>
          <w:b/>
          <w:bCs/>
          <w:color w:val="C0392B"/>
          <w:sz w:val="24"/>
          <w:szCs w:val="24"/>
        </w:rPr>
        <w:t xml:space="preserve">READ BEFORE FIRST ACCESS</w:t>
      </w:r>
    </w:p>
    <w:p>
      <w:pPr>
        <w:spacing w:after="0" w:before="0"/>
        <w:jc w:val="center"/>
      </w:pPr>
      <w:r>
        <w:rPr>
          <w:rFonts w:ascii="Arial" w:cs="Arial" w:eastAsia="Arial" w:hAnsi="Arial"/>
          <w:i/>
          <w:iCs/>
          <w:color w:val="7F8C8D"/>
          <w:sz w:val="20"/>
          <w:szCs w:val="20"/>
        </w:rPr>
        <w:t xml:space="preserve">All personnel must complete training certification before unsupervised cleanroom entry.</w:t>
      </w:r>
    </w:p>
    <w:p>
      <w:pPr>
        <w:sectPr>
          <w:pgSz w:w="11906" w:h="16838" w:orient="portrait"/>
          <w:pgMar w:top="1440" w:right="1440" w:bottom="1440" w:left="1440" w:header="708" w:footer="708" w:gutter="0"/>
          <w:pgNumType/>
          <w:docGrid w:linePitch="360"/>
        </w:sectPr>
      </w:pPr>
    </w:p>
    <w:p>
      <w:pPr>
        <w:pStyle w:val="Heading1"/>
        <w:pBdr>
          <w:bottom w:val="single" w:color="0E7C86" w:sz="10" w:space="6"/>
        </w:pBdr>
        <w:spacing w:after="160" w:before="360"/>
      </w:pPr>
      <w:r>
        <w:rPr>
          <w:rFonts w:ascii="Arial" w:cs="Arial" w:eastAsia="Arial" w:hAnsi="Arial"/>
          <w:b/>
          <w:bCs/>
          <w:color w:val="1B3A6B"/>
          <w:sz w:val="30"/>
          <w:szCs w:val="30"/>
        </w:rPr>
        <w:t xml:space="preserve">1.  Introduction &amp; Scope</w:t>
      </w:r>
    </w:p>
    <w:p>
      <w:pPr>
        <w:spacing w:after="80" w:before="60"/>
      </w:pPr>
      <w:r>
        <w:rPr>
          <w:rFonts w:ascii="Arial" w:cs="Arial" w:eastAsia="Arial" w:hAnsi="Arial"/>
          <w:color w:val="2C3E50"/>
          <w:sz w:val="22"/>
          <w:szCs w:val="22"/>
        </w:rPr>
        <w:t xml:space="preserve">This guide establishes mandatory safety requirements and operational protocols for all graduate students, postdoctoral researchers, and visiting personnel who use the Nanofabrication &amp; Advanced Materials Research Facility cleanroom. Adherence to these procedures protects personal health, preserves instrument integrity, and ensures the reproducibility of experimental results.</w:t>
      </w:r>
    </w:p>
    <w:p>
      <w:pPr>
        <w:spacing w:after="80" w:before="60"/>
      </w:pPr>
      <w:r>
        <w:rPr>
          <w:rFonts w:ascii="Arial" w:cs="Arial" w:eastAsia="Arial" w:hAnsi="Arial"/>
          <w:color w:val="2C3E50"/>
          <w:sz w:val="22"/>
          <w:szCs w:val="22"/>
        </w:rPr>
        <w:t xml:space="preserve">This guide has been prepared in accordance with UK health and safety legislation, including the Health and Safety at Work etc. Act 1974, the Control of Substances Hazardous to Health (COSHH) Regulations 2002, the Provision and Use of Work Equipment Regulations (PUWER) 1998, and the Reporting of Injuries, Diseases and Dangerous Occurrences Regulations (RIDDOR) 2013. Compliance with this guide forms part of your statutory duty of care.</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1.1  Who Must Read This Guide</w:t>
      </w:r>
    </w:p>
    <w:p>
      <w:pPr>
        <w:pStyle w:val="ListParagraph"/>
        <w:numPr>
          <w:ilvl w:val="0"/>
          <w:numId w:val="2"/>
        </w:numPr>
        <w:spacing w:after="40" w:before="40"/>
      </w:pPr>
      <w:r>
        <w:rPr>
          <w:rFonts w:ascii="Arial" w:cs="Arial" w:eastAsia="Arial" w:hAnsi="Arial"/>
          <w:color w:val="2C3E50"/>
          <w:sz w:val="22"/>
          <w:szCs w:val="22"/>
        </w:rPr>
        <w:t xml:space="preserve">All new graduate students before their first supervised cleanroom session</w:t>
      </w:r>
    </w:p>
    <w:p>
      <w:pPr>
        <w:pStyle w:val="ListParagraph"/>
        <w:numPr>
          <w:ilvl w:val="0"/>
          <w:numId w:val="2"/>
        </w:numPr>
        <w:spacing w:after="40" w:before="40"/>
      </w:pPr>
      <w:r>
        <w:rPr>
          <w:rFonts w:ascii="Arial" w:cs="Arial" w:eastAsia="Arial" w:hAnsi="Arial"/>
          <w:color w:val="2C3E50"/>
          <w:sz w:val="22"/>
          <w:szCs w:val="22"/>
        </w:rPr>
        <w:t xml:space="preserve">Visiting researchers before any facility access is granted</w:t>
      </w:r>
    </w:p>
    <w:p>
      <w:pPr>
        <w:pStyle w:val="ListParagraph"/>
        <w:numPr>
          <w:ilvl w:val="0"/>
          <w:numId w:val="2"/>
        </w:numPr>
        <w:spacing w:after="40" w:before="40"/>
      </w:pPr>
      <w:r>
        <w:rPr>
          <w:rFonts w:ascii="Arial" w:cs="Arial" w:eastAsia="Arial" w:hAnsi="Arial"/>
          <w:color w:val="2C3E50"/>
          <w:sz w:val="22"/>
          <w:szCs w:val="22"/>
        </w:rPr>
        <w:t xml:space="preserve">Existing users when a new major version is issued (indicated by the cover page version number)</w:t>
      </w:r>
    </w:p>
    <w:p>
      <w:pPr>
        <w:pStyle w:val="ListParagraph"/>
        <w:numPr>
          <w:ilvl w:val="0"/>
          <w:numId w:val="2"/>
        </w:numPr>
        <w:spacing w:after="40" w:before="40"/>
      </w:pPr>
      <w:r>
        <w:rPr>
          <w:rFonts w:ascii="Arial" w:cs="Arial" w:eastAsia="Arial" w:hAnsi="Arial"/>
          <w:color w:val="2C3E50"/>
          <w:sz w:val="22"/>
          <w:szCs w:val="22"/>
        </w:rPr>
        <w:t xml:space="preserve">Any user following a safety incident or documented policy violation</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1.2  Scope of This Document</w:t>
      </w:r>
    </w:p>
    <w:p>
      <w:pPr>
        <w:pStyle w:val="ListParagraph"/>
        <w:numPr>
          <w:ilvl w:val="0"/>
          <w:numId w:val="2"/>
        </w:numPr>
        <w:spacing w:after="40" w:before="40"/>
      </w:pPr>
      <w:r>
        <w:rPr>
          <w:rFonts w:ascii="Arial" w:cs="Arial" w:eastAsia="Arial" w:hAnsi="Arial"/>
          <w:color w:val="2C3E50"/>
          <w:sz w:val="22"/>
          <w:szCs w:val="22"/>
        </w:rPr>
        <w:t xml:space="preserve">Personal protective equipment (PPE) requirements for each cleanroom zone</w:t>
      </w:r>
    </w:p>
    <w:p>
      <w:pPr>
        <w:pStyle w:val="ListParagraph"/>
        <w:numPr>
          <w:ilvl w:val="0"/>
          <w:numId w:val="2"/>
        </w:numPr>
        <w:spacing w:after="40" w:before="40"/>
      </w:pPr>
      <w:r>
        <w:rPr>
          <w:rFonts w:ascii="Arial" w:cs="Arial" w:eastAsia="Arial" w:hAnsi="Arial"/>
          <w:color w:val="2C3E50"/>
          <w:sz w:val="22"/>
          <w:szCs w:val="22"/>
        </w:rPr>
        <w:t xml:space="preserve">Gowning and degowning procedures</w:t>
      </w:r>
    </w:p>
    <w:p>
      <w:pPr>
        <w:pStyle w:val="ListParagraph"/>
        <w:numPr>
          <w:ilvl w:val="0"/>
          <w:numId w:val="2"/>
        </w:numPr>
        <w:spacing w:after="40" w:before="40"/>
      </w:pPr>
      <w:r>
        <w:rPr>
          <w:rFonts w:ascii="Arial" w:cs="Arial" w:eastAsia="Arial" w:hAnsi="Arial"/>
          <w:color w:val="2C3E50"/>
          <w:sz w:val="22"/>
          <w:szCs w:val="22"/>
        </w:rPr>
        <w:t xml:space="preserve">Chemical safety, storage, and waste disposal under COSHH</w:t>
      </w:r>
    </w:p>
    <w:p>
      <w:pPr>
        <w:pStyle w:val="ListParagraph"/>
        <w:numPr>
          <w:ilvl w:val="0"/>
          <w:numId w:val="2"/>
        </w:numPr>
        <w:spacing w:after="40" w:before="40"/>
      </w:pPr>
      <w:r>
        <w:rPr>
          <w:rFonts w:ascii="Arial" w:cs="Arial" w:eastAsia="Arial" w:hAnsi="Arial"/>
          <w:color w:val="2C3E50"/>
          <w:sz w:val="22"/>
          <w:szCs w:val="22"/>
        </w:rPr>
        <w:t xml:space="preserve">Equipment-specific operating protocols and reservation procedures</w:t>
      </w:r>
    </w:p>
    <w:p>
      <w:pPr>
        <w:pStyle w:val="ListParagraph"/>
        <w:numPr>
          <w:ilvl w:val="0"/>
          <w:numId w:val="2"/>
        </w:numPr>
        <w:spacing w:after="40" w:before="40"/>
      </w:pPr>
      <w:r>
        <w:rPr>
          <w:rFonts w:ascii="Arial" w:cs="Arial" w:eastAsia="Arial" w:hAnsi="Arial"/>
          <w:color w:val="2C3E50"/>
          <w:sz w:val="22"/>
          <w:szCs w:val="22"/>
        </w:rPr>
        <w:t xml:space="preserve">Emergency response and incident reporting under RIDDOR</w:t>
      </w:r>
    </w:p>
    <w:p>
      <w:pPr>
        <w:pStyle w:val="ListParagraph"/>
        <w:numPr>
          <w:ilvl w:val="0"/>
          <w:numId w:val="2"/>
        </w:numPr>
        <w:spacing w:after="40" w:before="40"/>
      </w:pPr>
      <w:r>
        <w:rPr>
          <w:rFonts w:ascii="Arial" w:cs="Arial" w:eastAsia="Arial" w:hAnsi="Arial"/>
          <w:color w:val="2C3E50"/>
          <w:sz w:val="22"/>
          <w:szCs w:val="22"/>
        </w:rPr>
        <w:t xml:space="preserve">Access authorisation and training certification pathways</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1.3  UK Regulatory Context</w:t>
      </w:r>
    </w:p>
    <w:p>
      <w:pPr>
        <w:spacing w:after="80" w:before="60"/>
      </w:pPr>
      <w:r>
        <w:rPr>
          <w:rFonts w:ascii="Arial" w:cs="Arial" w:eastAsia="Arial" w:hAnsi="Arial"/>
          <w:color w:val="2C3E50"/>
          <w:sz w:val="22"/>
          <w:szCs w:val="22"/>
        </w:rPr>
        <w:t xml:space="preserve">All users are reminded that under the Health and Safety at Work etc. Act 1974, every employee (including students undertaking research as part of their employment or supervision) has a legal duty to take reasonable care of their own and others' health and safety, and to cooperate with their employer's safety procedures. Failure to comply with this guide may constitute a breach of statutory duty in addition to a facility policy violation.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00"/>
              <w:left w:type="dxa" w:w="160"/>
              <w:bottom w:type="dxa" w:w="60"/>
              <w:right w:type="dxa" w:w="160"/>
            </w:tcMar>
          </w:tcPr>
          <w:p>
            <w:pPr>
              <w:spacing w:after="0" w:before="0"/>
            </w:pPr>
            <w:r>
              <w:rPr>
                <w:rFonts w:ascii="Arial" w:cs="Arial" w:eastAsia="Arial" w:hAnsi="Arial"/>
                <w:b/>
                <w:bCs/>
                <w:color w:val="D68910"/>
                <w:sz w:val="22"/>
                <w:szCs w:val="22"/>
              </w:rPr>
              <w:t xml:space="preserve">READ BEFORE FIRST ACCESS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All personnel must complete training certification prior to unsupervised cleanroom entry.</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This guide forms part of your COSHH and PUWER induction obligations.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Failure to comply may result in suspension of facility access and referral to the University Safety Office.</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Questions? Contact: cleanroom-safety@university.ac.uk  |  Facility Manager Office: Room 042B</w:t>
            </w:r>
          </w:p>
        </w:tc>
      </w:tr>
    </w:tbl>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2.  Cleanroom Zones &amp; Access Levels</w:t>
      </w:r>
    </w:p>
    <w:p>
      <w:pPr>
        <w:spacing w:after="80" w:before="60"/>
      </w:pPr>
      <w:r>
        <w:rPr>
          <w:rFonts w:ascii="Arial" w:cs="Arial" w:eastAsia="Arial" w:hAnsi="Arial"/>
          <w:color w:val="2C3E50"/>
          <w:sz w:val="22"/>
          <w:szCs w:val="22"/>
        </w:rPr>
        <w:t xml:space="preserve">The facility operates three interconnected ISO-classified zones. Each zone carries distinct contamination-control requirements and access restrictions. Access levels are assigned by the Facility Manager upon completion of the relevant training module.</w:t>
      </w:r>
    </w:p>
    <w:p>
      <w:pPr>
        <w:spacing w:after="80" w:before="60"/>
      </w:pPr>
      <w:r>
        <w:rPr>
          <w:rFonts w:ascii="Arial" w:cs="Arial" w:eastAsia="Arial" w:hAnsi="Arial"/>
          <w:b/>
          <w:bCs/>
          <w:color w:val="C0392B"/>
          <w:sz w:val="22"/>
          <w:szCs w:val="22"/>
        </w:rPr>
        <w:t xml:space="preserve">Users may not work in a zone for which they are not certified, even if accompanied by a certified user.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Zone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ISO Class / Particles</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Authorised Activities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A — Lithography Bay</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ISO 5 (Class 100)  |  ≤3,520 particles/m³</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Photolithography, e-beam lithography, mask alignment, spin coating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B — Deposition &amp; Etch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ISO 6 (Class 1,000)  |  ≤35,200 particles/m³</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CVD, PVD, ALD, RIE, wet etching, thermal oxidation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C — Metrology &amp; Prep</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ISO 7 (Class 10,000)  |  ≤352,000 particles/m³</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SEM/TEM prep, profilometry, ellipsometry, sample cleaving, chemical prep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Gowning Room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Transitional (unclassed)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Gowning/degowning only — no experimental work permitted</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2.1  Access Level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Access Level</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Requirements &amp; Zone Access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1</w:t>
            </w:r>
          </w:p>
        </w:tc>
        <w:tc>
          <w:tcPr>
            <w:tcW w:type="dxa" w:w="7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C supervised — Cleanroom Fundamentals certification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Zones B &amp; C independent — + Chemical Safety (COSHH) certification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3</w:t>
            </w:r>
          </w:p>
        </w:tc>
        <w:tc>
          <w:tcPr>
            <w:tcW w:type="dxa" w:w="7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A independent — + Zone A tool-specific certifications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All zones + hazardous processes — + written PI and Facility Manager approval</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2.2  Zone Transition Rules</w:t>
      </w:r>
    </w:p>
    <w:p>
      <w:pPr>
        <w:pStyle w:val="ListParagraph"/>
        <w:numPr>
          <w:ilvl w:val="0"/>
          <w:numId w:val="2"/>
        </w:numPr>
        <w:spacing w:after="40" w:before="40"/>
      </w:pPr>
      <w:r>
        <w:rPr>
          <w:rFonts w:ascii="Arial" w:cs="Arial" w:eastAsia="Arial" w:hAnsi="Arial"/>
          <w:color w:val="2C3E50"/>
          <w:sz w:val="22"/>
          <w:szCs w:val="22"/>
        </w:rPr>
        <w:t xml:space="preserve">Always pass through the gowning room airlock when entering or exiting any zone.</w:t>
      </w:r>
    </w:p>
    <w:p>
      <w:pPr>
        <w:pStyle w:val="ListParagraph"/>
        <w:numPr>
          <w:ilvl w:val="0"/>
          <w:numId w:val="2"/>
        </w:numPr>
        <w:spacing w:after="40" w:before="40"/>
      </w:pPr>
      <w:r>
        <w:rPr>
          <w:rFonts w:ascii="Arial" w:cs="Arial" w:eastAsia="Arial" w:hAnsi="Arial"/>
          <w:color w:val="2C3E50"/>
          <w:sz w:val="22"/>
          <w:szCs w:val="22"/>
        </w:rPr>
        <w:t xml:space="preserve">Moving from Zone C to Zone A requires replacing gloves and inspecting gown integrity at the airlock.</w:t>
      </w:r>
    </w:p>
    <w:p>
      <w:pPr>
        <w:pStyle w:val="ListParagraph"/>
        <w:numPr>
          <w:ilvl w:val="0"/>
          <w:numId w:val="2"/>
        </w:numPr>
        <w:spacing w:after="40" w:before="40"/>
      </w:pPr>
      <w:r>
        <w:rPr>
          <w:rFonts w:ascii="Arial" w:cs="Arial" w:eastAsia="Arial" w:hAnsi="Arial"/>
          <w:color w:val="2C3E50"/>
          <w:sz w:val="22"/>
          <w:szCs w:val="22"/>
        </w:rPr>
        <w:t xml:space="preserve">Do not carry samples between zones unless the transfer is documented in the experiment logbook.</w:t>
      </w:r>
    </w:p>
    <w:p>
      <w:pPr>
        <w:pStyle w:val="ListParagraph"/>
        <w:numPr>
          <w:ilvl w:val="0"/>
          <w:numId w:val="2"/>
        </w:numPr>
        <w:spacing w:after="40" w:before="40"/>
      </w:pPr>
      <w:r>
        <w:rPr>
          <w:rFonts w:ascii="Arial" w:cs="Arial" w:eastAsia="Arial" w:hAnsi="Arial"/>
          <w:color w:val="2C3E50"/>
          <w:sz w:val="22"/>
          <w:szCs w:val="22"/>
        </w:rPr>
        <w:t xml:space="preserve">No food, beverages, or personal items may be transported through any zone transition.</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3.  Personal Protective Equipment (PPE)</w:t>
      </w:r>
    </w:p>
    <w:p>
      <w:pPr>
        <w:spacing w:after="80" w:before="60"/>
      </w:pPr>
      <w:r>
        <w:rPr>
          <w:rFonts w:ascii="Arial" w:cs="Arial" w:eastAsia="Arial" w:hAnsi="Arial"/>
          <w:color w:val="2C3E50"/>
          <w:sz w:val="22"/>
          <w:szCs w:val="22"/>
        </w:rPr>
        <w:t xml:space="preserve">All PPE is provided in the gowning room and must not be removed or modified during cleanroom occupancy. PPE is selected and maintained in compliance with the Personal Protective Equipment at Work Regulations 2022 (amended) and relevant EN ISO standards. PPE must be worn correctly at all times — partial or incorrect gowning is treated as a policy violation.</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3.1  Standard Cleanroom Attire (All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PPE 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Specification &amp; Notes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Cleanroom coverall (bunny suit)</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Full-length, lint-free polyester/nylon. Must cover all street clothing. Replace if torn or visibly contaminated.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Hood / balaclava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Covers hair, ears, and neck entirely. Tuck into coverall collar — no exposed skin gaps permitted.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Cleanroom gloves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Nitrile minimum. Switch to neoprene or butyl rubber gloves for corrosives, solvents, or oxidisers. Double-glove for HF or concentrated acids. Gloves must meet EN 374.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Shoe covers / booties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Slip on after gowning, before stepping into the airlock. Replace every time you exit and re-enter.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Safety glasses or goggles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EN 166-rated minimum. Full-seal chemical splash goggles (EN 166:2002 Class 3) required in all wet chemistry areas and whenever aerosol or splash risk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Face mask / RPE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Surgical mask minimum (Type IIR, EN 14683). FFP2 (EN 149) or better required in Zone A and during all photoresist handling. FFP3 where fine particle aerosol exposure is possible.</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3.2  Chemical-Specific PPE Upgrades</w:t>
      </w:r>
    </w:p>
    <w:p>
      <w:pPr>
        <w:spacing w:after="80" w:before="60"/>
      </w:pPr>
      <w:r>
        <w:rPr>
          <w:rFonts w:ascii="Arial" w:cs="Arial" w:eastAsia="Arial" w:hAnsi="Arial"/>
          <w:color w:val="2C3E50"/>
          <w:sz w:val="22"/>
          <w:szCs w:val="22"/>
        </w:rPr>
        <w:t xml:space="preserve">Consult the Safety Data Sheet (SDS) and the posted COSHH assessment / chemical-specific PPE sign before beginning any procedure. PPE selections must be consistent with the relevant COSHH risk assessment on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Chemical Class</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Upgraded PPE Required</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Facility Examples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HF (all concentrations)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Face shield (EN 166), butyl rubber apron, butyl rubber gloves (EN 374) over nitrile. Calcium gluconate gel must be on the bench before starting.</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BHF, HF:H₂O dilutions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Concentrated mineral acids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Face shield, EN 166 chemical splash goggles, neoprene apron, neoprene gloves (EN 374)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H₂SO₄, HNO₃, HCl, H₃PO₄</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Piranha solution (H₂SO₄:H₂O₂)</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Face shield, acid apron, neoprene gloves. No organic material on person.</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Piranha clean, organic strip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Organic solvents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Solvent-resistant gloves (EN 374), face shield if splash risk. Use in vented LEV hood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Acetone, IPA, NMP, PGMEA, toluene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Oxidising / toxic gases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RPE with appropriate assigned protection factor (APF) per HSE guidance if WEL may be exceeded. Gas monitor alarm must be active.</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Cl₂, SF₆, O₂ plasma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Cryogenic liquids (LN₂)</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Cryogenic insulated gloves (EN 511), full face shield. Loose-fitting gloves to allow spill drainage.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LN₂ dewars, cryo-pump traps</w:t>
            </w:r>
          </w:p>
        </w:tc>
      </w:tr>
    </w:tbl>
    <w:p>
      <w:pPr>
        <w:spacing w:after="0" w:before="100"/>
      </w:pPr>
      <w:r>
        <w:t xml:space="preserve"/>
      </w:r>
    </w:p>
    <w:p>
      <w:pPr>
        <w:pStyle w:val="Heading2"/>
        <w:spacing w:after="120" w:before="240"/>
      </w:pPr>
      <w:r>
        <w:rPr>
          <w:rFonts w:ascii="Arial" w:cs="Arial" w:eastAsia="Arial" w:hAnsi="Arial"/>
          <w:b/>
          <w:bCs/>
          <w:color w:val="0E7C86"/>
          <w:sz w:val="26"/>
          <w:szCs w:val="26"/>
        </w:rPr>
        <w:t xml:space="preserve">3.3  PPE Inspection &amp; Replacement</w:t>
      </w:r>
    </w:p>
    <w:p>
      <w:pPr>
        <w:pStyle w:val="ListParagraph"/>
        <w:numPr>
          <w:ilvl w:val="0"/>
          <w:numId w:val="2"/>
        </w:numPr>
        <w:spacing w:after="40" w:before="40"/>
      </w:pPr>
      <w:r>
        <w:rPr>
          <w:rFonts w:ascii="Arial" w:cs="Arial" w:eastAsia="Arial" w:hAnsi="Arial"/>
          <w:color w:val="2C3E50"/>
          <w:sz w:val="22"/>
          <w:szCs w:val="22"/>
        </w:rPr>
        <w:t xml:space="preserve">Inspect your bunny suit before each entry for tears, stains, or degraded zippers. Defective PPE must not be used.</w:t>
      </w:r>
    </w:p>
    <w:p>
      <w:pPr>
        <w:pStyle w:val="ListParagraph"/>
        <w:numPr>
          <w:ilvl w:val="0"/>
          <w:numId w:val="2"/>
        </w:numPr>
        <w:spacing w:after="40" w:before="40"/>
      </w:pPr>
      <w:r>
        <w:rPr>
          <w:rFonts w:ascii="Arial" w:cs="Arial" w:eastAsia="Arial" w:hAnsi="Arial"/>
          <w:color w:val="2C3E50"/>
          <w:sz w:val="22"/>
          <w:szCs w:val="22"/>
        </w:rPr>
        <w:t xml:space="preserve">Gloves must be replaced: after any chemical contact, after touching bare skin or street clothes, and on every re-entry.</w:t>
      </w:r>
    </w:p>
    <w:p>
      <w:pPr>
        <w:pStyle w:val="ListParagraph"/>
        <w:numPr>
          <w:ilvl w:val="0"/>
          <w:numId w:val="2"/>
        </w:numPr>
        <w:spacing w:after="40" w:before="40"/>
      </w:pPr>
      <w:r>
        <w:rPr>
          <w:rFonts w:ascii="Arial" w:cs="Arial" w:eastAsia="Arial" w:hAnsi="Arial"/>
          <w:color w:val="2C3E50"/>
          <w:sz w:val="22"/>
          <w:szCs w:val="22"/>
        </w:rPr>
        <w:t xml:space="preserve">Report damaged or depleted PPE stock to the Facility Manager immediately — do not begin work if proper PPE is unavailable.</w:t>
      </w:r>
    </w:p>
    <w:p>
      <w:pPr>
        <w:pStyle w:val="ListParagraph"/>
        <w:numPr>
          <w:ilvl w:val="0"/>
          <w:numId w:val="2"/>
        </w:numPr>
        <w:spacing w:after="40" w:before="40"/>
      </w:pPr>
      <w:r>
        <w:rPr>
          <w:rFonts w:ascii="Arial" w:cs="Arial" w:eastAsia="Arial" w:hAnsi="Arial"/>
          <w:color w:val="2C3E50"/>
          <w:sz w:val="22"/>
          <w:szCs w:val="22"/>
        </w:rPr>
        <w:t xml:space="preserve">Single-use PPE (masks, shoe covers, nitrile gloves) must be disposed of in the cleanroom waste bin as clinical/laboratory waste — not placed in general waste.</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4.  Gowning &amp; Degowning Procedure</w:t>
      </w:r>
    </w:p>
    <w:p>
      <w:pPr>
        <w:spacing w:after="80" w:before="60"/>
      </w:pPr>
      <w:r>
        <w:rPr>
          <w:rFonts w:ascii="Arial" w:cs="Arial" w:eastAsia="Arial" w:hAnsi="Arial"/>
          <w:color w:val="2C3E50"/>
          <w:sz w:val="22"/>
          <w:szCs w:val="22"/>
        </w:rPr>
        <w:t xml:space="preserve">The gowning sequence prevents particle transfer from your person into the cleanroom. Steps must be performed in the exact order specified. You will be assessed on this procedure during Level 1 certification.</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4.1  Pre-Gowning Checklist</w:t>
      </w:r>
    </w:p>
    <w:p>
      <w:pPr>
        <w:pStyle w:val="ListParagraph"/>
        <w:numPr>
          <w:ilvl w:val="0"/>
          <w:numId w:val="2"/>
        </w:numPr>
        <w:spacing w:after="40" w:before="40"/>
      </w:pPr>
      <w:r>
        <w:rPr>
          <w:rFonts w:ascii="Arial" w:cs="Arial" w:eastAsia="Arial" w:hAnsi="Arial"/>
          <w:color w:val="2C3E50"/>
          <w:sz w:val="22"/>
          <w:szCs w:val="22"/>
        </w:rPr>
        <w:t xml:space="preserve">No cosmetics, lotions, perfumes, or hair products applied today</w:t>
      </w:r>
    </w:p>
    <w:p>
      <w:pPr>
        <w:pStyle w:val="ListParagraph"/>
        <w:numPr>
          <w:ilvl w:val="0"/>
          <w:numId w:val="2"/>
        </w:numPr>
        <w:spacing w:after="40" w:before="40"/>
      </w:pPr>
      <w:r>
        <w:rPr>
          <w:rFonts w:ascii="Arial" w:cs="Arial" w:eastAsia="Arial" w:hAnsi="Arial"/>
          <w:color w:val="2C3E50"/>
          <w:sz w:val="22"/>
          <w:szCs w:val="22"/>
        </w:rPr>
        <w:t xml:space="preserve">No glitter, nail polish, or makeup (particle-shedding materials)</w:t>
      </w:r>
    </w:p>
    <w:p>
      <w:pPr>
        <w:pStyle w:val="ListParagraph"/>
        <w:numPr>
          <w:ilvl w:val="0"/>
          <w:numId w:val="2"/>
        </w:numPr>
        <w:spacing w:after="40" w:before="40"/>
      </w:pPr>
      <w:r>
        <w:rPr>
          <w:rFonts w:ascii="Arial" w:cs="Arial" w:eastAsia="Arial" w:hAnsi="Arial"/>
          <w:color w:val="2C3E50"/>
          <w:sz w:val="22"/>
          <w:szCs w:val="22"/>
        </w:rPr>
        <w:t xml:space="preserve">Mobile phone and personal laptop placed in anti-static cleanroom bag</w:t>
      </w:r>
    </w:p>
    <w:p>
      <w:pPr>
        <w:pStyle w:val="ListParagraph"/>
        <w:numPr>
          <w:ilvl w:val="0"/>
          <w:numId w:val="2"/>
        </w:numPr>
        <w:spacing w:after="40" w:before="40"/>
      </w:pPr>
      <w:r>
        <w:rPr>
          <w:rFonts w:ascii="Arial" w:cs="Arial" w:eastAsia="Arial" w:hAnsi="Arial"/>
          <w:color w:val="2C3E50"/>
          <w:sz w:val="22"/>
          <w:szCs w:val="22"/>
        </w:rPr>
        <w:t xml:space="preserve">Paper notebook swapped for cleanroom-grade notebook</w:t>
      </w:r>
    </w:p>
    <w:p>
      <w:pPr>
        <w:pStyle w:val="ListParagraph"/>
        <w:numPr>
          <w:ilvl w:val="0"/>
          <w:numId w:val="2"/>
        </w:numPr>
        <w:spacing w:after="40" w:before="40"/>
      </w:pPr>
      <w:r>
        <w:rPr>
          <w:rFonts w:ascii="Arial" w:cs="Arial" w:eastAsia="Arial" w:hAnsi="Arial"/>
          <w:color w:val="2C3E50"/>
          <w:sz w:val="22"/>
          <w:szCs w:val="22"/>
        </w:rPr>
        <w:t xml:space="preserve">Facility access card on person</w:t>
      </w:r>
    </w:p>
    <w:p>
      <w:pPr>
        <w:pStyle w:val="ListParagraph"/>
        <w:numPr>
          <w:ilvl w:val="0"/>
          <w:numId w:val="2"/>
        </w:numPr>
        <w:spacing w:after="40" w:before="40"/>
      </w:pPr>
      <w:r>
        <w:rPr>
          <w:rFonts w:ascii="Arial" w:cs="Arial" w:eastAsia="Arial" w:hAnsi="Arial"/>
          <w:color w:val="2C3E50"/>
          <w:sz w:val="22"/>
          <w:szCs w:val="22"/>
        </w:rPr>
        <w:t xml:space="preserve">Any cuts or abrasions on hands are covered with a cleanroom-compatible wound dressing before gloving</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4.2  Gowning — Required Sequence</w:t>
      </w:r>
    </w:p>
    <w:p>
      <w:pPr>
        <w:spacing w:after="80" w:before="60"/>
      </w:pPr>
      <w:r>
        <w:rPr>
          <w:rFonts w:ascii="Arial" w:cs="Arial" w:eastAsia="Arial" w:hAnsi="Arial"/>
          <w:b/>
          <w:bCs/>
          <w:color w:val="2C3E50"/>
          <w:sz w:val="22"/>
          <w:szCs w:val="22"/>
        </w:rPr>
        <w:t xml:space="preserve">Follow steps in order. Each step must be complete before the next begins.</w:t>
      </w:r>
    </w:p>
    <w:p>
      <w:pPr>
        <w:spacing w:after="0" w:before="60"/>
      </w:pPr>
      <w:r>
        <w:t xml:space="preserve"/>
      </w:r>
    </w:p>
    <w:p>
      <w:pPr>
        <w:pStyle w:val="ListParagraph"/>
        <w:numPr>
          <w:ilvl w:val="0"/>
          <w:numId w:val="3"/>
        </w:numPr>
        <w:spacing w:after="40" w:before="40"/>
      </w:pPr>
      <w:r>
        <w:rPr>
          <w:rFonts w:ascii="Arial" w:cs="Arial" w:eastAsia="Arial" w:hAnsi="Arial"/>
          <w:color w:val="2C3E50"/>
          <w:sz w:val="22"/>
          <w:szCs w:val="22"/>
        </w:rPr>
        <w:t xml:space="preserve">Remove outer garments (jackets, scarves) and store in the designated locker outside the gowning room.</w:t>
      </w:r>
    </w:p>
    <w:p>
      <w:pPr>
        <w:pStyle w:val="ListParagraph"/>
        <w:numPr>
          <w:ilvl w:val="0"/>
          <w:numId w:val="3"/>
        </w:numPr>
        <w:spacing w:after="40" w:before="40"/>
      </w:pPr>
      <w:r>
        <w:rPr>
          <w:rFonts w:ascii="Arial" w:cs="Arial" w:eastAsia="Arial" w:hAnsi="Arial"/>
          <w:color w:val="2C3E50"/>
          <w:sz w:val="22"/>
          <w:szCs w:val="22"/>
        </w:rPr>
        <w:t xml:space="preserve">Wash hands thoroughly with soap for a minimum of 20 seconds. Dry with lint-free paper towels.</w:t>
      </w:r>
    </w:p>
    <w:p>
      <w:pPr>
        <w:pStyle w:val="ListParagraph"/>
        <w:numPr>
          <w:ilvl w:val="0"/>
          <w:numId w:val="3"/>
        </w:numPr>
        <w:spacing w:after="40" w:before="40"/>
      </w:pPr>
      <w:r>
        <w:rPr>
          <w:rFonts w:ascii="Arial" w:cs="Arial" w:eastAsia="Arial" w:hAnsi="Arial"/>
          <w:color w:val="2C3E50"/>
          <w:sz w:val="22"/>
          <w:szCs w:val="22"/>
        </w:rPr>
        <w:t xml:space="preserve">Sit on the gowning bench. Put on shoe covers while seated on the street side. Do not step onto the cleanroom side before both covers are fully on.</w:t>
      </w:r>
    </w:p>
    <w:p>
      <w:pPr>
        <w:pStyle w:val="ListParagraph"/>
        <w:numPr>
          <w:ilvl w:val="0"/>
          <w:numId w:val="3"/>
        </w:numPr>
        <w:spacing w:after="40" w:before="40"/>
      </w:pPr>
      <w:r>
        <w:rPr>
          <w:rFonts w:ascii="Arial" w:cs="Arial" w:eastAsia="Arial" w:hAnsi="Arial"/>
          <w:color w:val="2C3E50"/>
          <w:sz w:val="22"/>
          <w:szCs w:val="22"/>
        </w:rPr>
        <w:t xml:space="preserve">Step over the bench to the cleanroom side. Do not step back.</w:t>
      </w:r>
    </w:p>
    <w:p>
      <w:pPr>
        <w:pStyle w:val="ListParagraph"/>
        <w:numPr>
          <w:ilvl w:val="0"/>
          <w:numId w:val="3"/>
        </w:numPr>
        <w:spacing w:after="40" w:before="40"/>
      </w:pPr>
      <w:r>
        <w:rPr>
          <w:rFonts w:ascii="Arial" w:cs="Arial" w:eastAsia="Arial" w:hAnsi="Arial"/>
          <w:color w:val="2C3E50"/>
          <w:sz w:val="22"/>
          <w:szCs w:val="22"/>
        </w:rPr>
        <w:t xml:space="preserve">Put on the balaclava/hood — full hair coverage, no loose strands. Tuck into collar.</w:t>
      </w:r>
    </w:p>
    <w:p>
      <w:pPr>
        <w:pStyle w:val="ListParagraph"/>
        <w:numPr>
          <w:ilvl w:val="0"/>
          <w:numId w:val="3"/>
        </w:numPr>
        <w:spacing w:after="40" w:before="40"/>
      </w:pPr>
      <w:r>
        <w:rPr>
          <w:rFonts w:ascii="Arial" w:cs="Arial" w:eastAsia="Arial" w:hAnsi="Arial"/>
          <w:color w:val="2C3E50"/>
          <w:sz w:val="22"/>
          <w:szCs w:val="22"/>
        </w:rPr>
        <w:t xml:space="preserve">Put on the cleanroom coverall. Zip fully to the collar — no gaps.</w:t>
      </w:r>
    </w:p>
    <w:p>
      <w:pPr>
        <w:pStyle w:val="ListParagraph"/>
        <w:numPr>
          <w:ilvl w:val="0"/>
          <w:numId w:val="3"/>
        </w:numPr>
        <w:spacing w:after="40" w:before="40"/>
      </w:pPr>
      <w:r>
        <w:rPr>
          <w:rFonts w:ascii="Arial" w:cs="Arial" w:eastAsia="Arial" w:hAnsi="Arial"/>
          <w:color w:val="2C3E50"/>
          <w:sz w:val="22"/>
          <w:szCs w:val="22"/>
        </w:rPr>
        <w:t xml:space="preserve">Put on fresh nitrile gloves. Tuck glove cuffs over the coverall sleeve cuffs — no exposed wrist skin.</w:t>
      </w:r>
    </w:p>
    <w:p>
      <w:pPr>
        <w:pStyle w:val="ListParagraph"/>
        <w:numPr>
          <w:ilvl w:val="0"/>
          <w:numId w:val="3"/>
        </w:numPr>
        <w:spacing w:after="40" w:before="40"/>
      </w:pPr>
      <w:r>
        <w:rPr>
          <w:rFonts w:ascii="Arial" w:cs="Arial" w:eastAsia="Arial" w:hAnsi="Arial"/>
          <w:color w:val="2C3E50"/>
          <w:sz w:val="22"/>
          <w:szCs w:val="22"/>
        </w:rPr>
        <w:t xml:space="preserve">Put on face mask. Pinch and form-fit the nose wire snugly.</w:t>
      </w:r>
    </w:p>
    <w:p>
      <w:pPr>
        <w:pStyle w:val="ListParagraph"/>
        <w:numPr>
          <w:ilvl w:val="0"/>
          <w:numId w:val="3"/>
        </w:numPr>
        <w:spacing w:after="40" w:before="40"/>
      </w:pPr>
      <w:r>
        <w:rPr>
          <w:rFonts w:ascii="Arial" w:cs="Arial" w:eastAsia="Arial" w:hAnsi="Arial"/>
          <w:color w:val="2C3E50"/>
          <w:sz w:val="22"/>
          <w:szCs w:val="22"/>
        </w:rPr>
        <w:t xml:space="preserve">Put on safety glasses or goggles over the mask straps.</w:t>
      </w:r>
    </w:p>
    <w:p>
      <w:pPr>
        <w:pStyle w:val="ListParagraph"/>
        <w:numPr>
          <w:ilvl w:val="0"/>
          <w:numId w:val="3"/>
        </w:numPr>
        <w:spacing w:after="40" w:before="40"/>
      </w:pPr>
      <w:r>
        <w:rPr>
          <w:rFonts w:ascii="Arial" w:cs="Arial" w:eastAsia="Arial" w:hAnsi="Arial"/>
          <w:color w:val="2C3E50"/>
          <w:sz w:val="22"/>
          <w:szCs w:val="22"/>
        </w:rPr>
        <w:t xml:space="preserve">Self-inspection in the gowning mirror: no exposed skin, no loose material, coverall fully zipped.</w:t>
      </w:r>
    </w:p>
    <w:p>
      <w:pPr>
        <w:pStyle w:val="ListParagraph"/>
        <w:numPr>
          <w:ilvl w:val="0"/>
          <w:numId w:val="3"/>
        </w:numPr>
        <w:spacing w:after="40" w:before="40"/>
      </w:pPr>
      <w:r>
        <w:rPr>
          <w:rFonts w:ascii="Arial" w:cs="Arial" w:eastAsia="Arial" w:hAnsi="Arial"/>
          <w:color w:val="2C3E50"/>
          <w:sz w:val="22"/>
          <w:szCs w:val="22"/>
        </w:rPr>
        <w:t xml:space="preserve">Sign the logbook or badge in at the entry panel with name, date, time, and experiment reference.</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4.3  Degowning — Required Sequence</w:t>
      </w:r>
    </w:p>
    <w:p>
      <w:pPr>
        <w:spacing w:after="80" w:before="60"/>
      </w:pPr>
      <w:r>
        <w:rPr>
          <w:rFonts w:ascii="Arial" w:cs="Arial" w:eastAsia="Arial" w:hAnsi="Arial"/>
          <w:color w:val="2C3E50"/>
          <w:sz w:val="22"/>
          <w:szCs w:val="22"/>
        </w:rPr>
        <w:t xml:space="preserve">Degowning is performed in reverse order. PPE must be disposed of or placed in the correct receptacle — never taken into offices, communal areas, or personal spaces.</w:t>
      </w:r>
    </w:p>
    <w:p>
      <w:pPr>
        <w:spacing w:after="0" w:before="60"/>
      </w:pPr>
      <w:r>
        <w:t xml:space="preserve"/>
      </w:r>
    </w:p>
    <w:p>
      <w:pPr>
        <w:pStyle w:val="ListParagraph"/>
        <w:numPr>
          <w:ilvl w:val="0"/>
          <w:numId w:val="3"/>
        </w:numPr>
        <w:spacing w:after="40" w:before="40"/>
      </w:pPr>
      <w:r>
        <w:rPr>
          <w:rFonts w:ascii="Arial" w:cs="Arial" w:eastAsia="Arial" w:hAnsi="Arial"/>
          <w:color w:val="2C3E50"/>
          <w:sz w:val="22"/>
          <w:szCs w:val="22"/>
        </w:rPr>
        <w:t xml:space="preserve">Remove gloves by peeling inside-out. Dispose in the cleanroom laboratory waste bin.</w:t>
      </w:r>
    </w:p>
    <w:p>
      <w:pPr>
        <w:pStyle w:val="ListParagraph"/>
        <w:numPr>
          <w:ilvl w:val="0"/>
          <w:numId w:val="3"/>
        </w:numPr>
        <w:spacing w:after="40" w:before="40"/>
      </w:pPr>
      <w:r>
        <w:rPr>
          <w:rFonts w:ascii="Arial" w:cs="Arial" w:eastAsia="Arial" w:hAnsi="Arial"/>
          <w:color w:val="2C3E50"/>
          <w:sz w:val="22"/>
          <w:szCs w:val="22"/>
        </w:rPr>
        <w:t xml:space="preserve">Remove goggles/safety glasses — reusable items to the disinfection tray; single-use items to waste.</w:t>
      </w:r>
    </w:p>
    <w:p>
      <w:pPr>
        <w:pStyle w:val="ListParagraph"/>
        <w:numPr>
          <w:ilvl w:val="0"/>
          <w:numId w:val="3"/>
        </w:numPr>
        <w:spacing w:after="40" w:before="40"/>
      </w:pPr>
      <w:r>
        <w:rPr>
          <w:rFonts w:ascii="Arial" w:cs="Arial" w:eastAsia="Arial" w:hAnsi="Arial"/>
          <w:color w:val="2C3E50"/>
          <w:sz w:val="22"/>
          <w:szCs w:val="22"/>
        </w:rPr>
        <w:t xml:space="preserve">Remove face mask — dispose immediately.</w:t>
      </w:r>
    </w:p>
    <w:p>
      <w:pPr>
        <w:pStyle w:val="ListParagraph"/>
        <w:numPr>
          <w:ilvl w:val="0"/>
          <w:numId w:val="3"/>
        </w:numPr>
        <w:spacing w:after="40" w:before="40"/>
      </w:pPr>
      <w:r>
        <w:rPr>
          <w:rFonts w:ascii="Arial" w:cs="Arial" w:eastAsia="Arial" w:hAnsi="Arial"/>
          <w:color w:val="2C3E50"/>
          <w:sz w:val="22"/>
          <w:szCs w:val="22"/>
        </w:rPr>
        <w:t xml:space="preserve">Unzip coverall completely. Peel off inside-out. Place in the reusable PPE bin for laundering, or dispose if single-use.</w:t>
      </w:r>
    </w:p>
    <w:p>
      <w:pPr>
        <w:pStyle w:val="ListParagraph"/>
        <w:numPr>
          <w:ilvl w:val="0"/>
          <w:numId w:val="3"/>
        </w:numPr>
        <w:spacing w:after="40" w:before="40"/>
      </w:pPr>
      <w:r>
        <w:rPr>
          <w:rFonts w:ascii="Arial" w:cs="Arial" w:eastAsia="Arial" w:hAnsi="Arial"/>
          <w:color w:val="2C3E50"/>
          <w:sz w:val="22"/>
          <w:szCs w:val="22"/>
        </w:rPr>
        <w:t xml:space="preserve">Sit on the gowning bench. Remove shoe covers whilst on the cleanroom side. Dispose in cleanroom bin.</w:t>
      </w:r>
    </w:p>
    <w:p>
      <w:pPr>
        <w:pStyle w:val="ListParagraph"/>
        <w:numPr>
          <w:ilvl w:val="0"/>
          <w:numId w:val="3"/>
        </w:numPr>
        <w:spacing w:after="40" w:before="40"/>
      </w:pPr>
      <w:r>
        <w:rPr>
          <w:rFonts w:ascii="Arial" w:cs="Arial" w:eastAsia="Arial" w:hAnsi="Arial"/>
          <w:color w:val="2C3E50"/>
          <w:sz w:val="22"/>
          <w:szCs w:val="22"/>
        </w:rPr>
        <w:t xml:space="preserve">Step over the bench to the street side.</w:t>
      </w:r>
    </w:p>
    <w:p>
      <w:pPr>
        <w:pStyle w:val="ListParagraph"/>
        <w:numPr>
          <w:ilvl w:val="0"/>
          <w:numId w:val="3"/>
        </w:numPr>
        <w:spacing w:after="40" w:before="40"/>
      </w:pPr>
      <w:r>
        <w:rPr>
          <w:rFonts w:ascii="Arial" w:cs="Arial" w:eastAsia="Arial" w:hAnsi="Arial"/>
          <w:color w:val="2C3E50"/>
          <w:sz w:val="22"/>
          <w:szCs w:val="22"/>
        </w:rPr>
        <w:t xml:space="preserve">Remove balaclava and dispose or place in laundry bin.</w:t>
      </w:r>
    </w:p>
    <w:p>
      <w:pPr>
        <w:pStyle w:val="ListParagraph"/>
        <w:numPr>
          <w:ilvl w:val="0"/>
          <w:numId w:val="3"/>
        </w:numPr>
        <w:spacing w:after="40" w:before="40"/>
      </w:pPr>
      <w:r>
        <w:rPr>
          <w:rFonts w:ascii="Arial" w:cs="Arial" w:eastAsia="Arial" w:hAnsi="Arial"/>
          <w:color w:val="2C3E50"/>
          <w:sz w:val="22"/>
          <w:szCs w:val="22"/>
        </w:rPr>
        <w:t xml:space="preserve">Wash hands again thoroughly.</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4.4  Re-Entry Protocol</w:t>
      </w:r>
    </w:p>
    <w:p>
      <w:pPr>
        <w:spacing w:after="80" w:before="60"/>
      </w:pPr>
      <w:r>
        <w:rPr>
          <w:rFonts w:ascii="Arial" w:cs="Arial" w:eastAsia="Arial" w:hAnsi="Arial"/>
          <w:color w:val="2C3E50"/>
          <w:sz w:val="22"/>
          <w:szCs w:val="22"/>
        </w:rPr>
        <w:t xml:space="preserve">If you exit the cleanroom mid-experiment (e.g., to use the toilet or retrieve materials), full degowning and re-gowning is required before re-entering any zone. Shoe covers and gloves must be replaced on every re-entry. Your experiment logbook entry should note the exit and re-entry times.</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5.  Chemical Safety</w:t>
      </w:r>
    </w:p>
    <w:p>
      <w:pPr>
        <w:spacing w:after="80" w:before="60"/>
      </w:pPr>
      <w:r>
        <w:rPr>
          <w:rFonts w:ascii="Arial" w:cs="Arial" w:eastAsia="Arial" w:hAnsi="Arial"/>
          <w:color w:val="2C3E50"/>
          <w:sz w:val="22"/>
          <w:szCs w:val="22"/>
        </w:rPr>
        <w:t xml:space="preserve">The cleanroom houses concentrated acids, organic solvents, oxidisers, and pyrophoric precursor gases. This section governs their safe handling, storage, and disposal in accordance with COSHH Regulations 2002. A COSHH risk assessment must be completed and approved for every chemical process before work begins. Failure to comply is a breach of statutory duty.</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5.1  COSHH Assessments &amp; SDS Access</w:t>
      </w:r>
    </w:p>
    <w:p>
      <w:pPr>
        <w:pStyle w:val="ListParagraph"/>
        <w:numPr>
          <w:ilvl w:val="0"/>
          <w:numId w:val="2"/>
        </w:numPr>
        <w:spacing w:after="40" w:before="40"/>
      </w:pPr>
      <w:r>
        <w:rPr>
          <w:rFonts w:ascii="Arial" w:cs="Arial" w:eastAsia="Arial" w:hAnsi="Arial"/>
          <w:color w:val="2C3E50"/>
          <w:sz w:val="22"/>
          <w:szCs w:val="22"/>
        </w:rPr>
        <w:t xml:space="preserve">A COSHH risk assessment, approved by the Facility Manager and your supervisor, must be on file before you handle any hazardous substance in the facility.</w:t>
      </w:r>
    </w:p>
    <w:p>
      <w:pPr>
        <w:pStyle w:val="ListParagraph"/>
        <w:numPr>
          <w:ilvl w:val="0"/>
          <w:numId w:val="2"/>
        </w:numPr>
        <w:spacing w:after="40" w:before="40"/>
      </w:pPr>
      <w:r>
        <w:rPr>
          <w:rFonts w:ascii="Arial" w:cs="Arial" w:eastAsia="Arial" w:hAnsi="Arial"/>
          <w:color w:val="2C3E50"/>
          <w:sz w:val="22"/>
          <w:szCs w:val="22"/>
        </w:rPr>
        <w:t xml:space="preserve">Safety Data Sheets (SDS, conforming to REACH Regulation EC 1907/2006 as retained in UK law) for every facility chemical are held in the SDS binder at the facility entrance and on the intranet safety portal.</w:t>
      </w:r>
    </w:p>
    <w:p>
      <w:pPr>
        <w:pStyle w:val="ListParagraph"/>
        <w:numPr>
          <w:ilvl w:val="0"/>
          <w:numId w:val="2"/>
        </w:numPr>
        <w:spacing w:after="40" w:before="40"/>
      </w:pPr>
      <w:r>
        <w:rPr>
          <w:rFonts w:ascii="Arial" w:cs="Arial" w:eastAsia="Arial" w:hAnsi="Arial"/>
          <w:color w:val="2C3E50"/>
          <w:sz w:val="22"/>
          <w:szCs w:val="22"/>
        </w:rPr>
        <w:t xml:space="preserve">Before working with any chemical for the first time, read the full SDS and the associated COSHH assessment.</w:t>
      </w:r>
    </w:p>
    <w:p>
      <w:pPr>
        <w:pStyle w:val="ListParagraph"/>
        <w:numPr>
          <w:ilvl w:val="0"/>
          <w:numId w:val="2"/>
        </w:numPr>
        <w:spacing w:after="40" w:before="40"/>
      </w:pPr>
      <w:r>
        <w:rPr>
          <w:rFonts w:ascii="Arial" w:cs="Arial" w:eastAsia="Arial" w:hAnsi="Arial"/>
          <w:color w:val="2C3E50"/>
          <w:sz w:val="22"/>
          <w:szCs w:val="22"/>
        </w:rPr>
        <w:t xml:space="preserve">A printed SDS copy must be present at the bench during any high-hazard procedure.</w:t>
      </w:r>
    </w:p>
    <w:p>
      <w:pPr>
        <w:pStyle w:val="ListParagraph"/>
        <w:numPr>
          <w:ilvl w:val="0"/>
          <w:numId w:val="2"/>
        </w:numPr>
        <w:spacing w:after="40" w:before="40"/>
      </w:pPr>
      <w:r>
        <w:rPr>
          <w:rFonts w:ascii="Arial" w:cs="Arial" w:eastAsia="Arial" w:hAnsi="Arial"/>
          <w:color w:val="2C3E50"/>
          <w:sz w:val="22"/>
          <w:szCs w:val="22"/>
        </w:rPr>
        <w:t xml:space="preserve">New chemicals require a COSHH pre-approval request submitted at least five working days before first intended use.</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5.2  General Chemical Handling Rules</w:t>
      </w:r>
    </w:p>
    <w:p>
      <w:pPr>
        <w:pStyle w:val="ListParagraph"/>
        <w:numPr>
          <w:ilvl w:val="0"/>
          <w:numId w:val="2"/>
        </w:numPr>
        <w:spacing w:after="40" w:before="40"/>
      </w:pPr>
      <w:r>
        <w:rPr>
          <w:rFonts w:ascii="Arial" w:cs="Arial" w:eastAsia="Arial" w:hAnsi="Arial"/>
          <w:color w:val="2C3E50"/>
          <w:sz w:val="22"/>
          <w:szCs w:val="22"/>
        </w:rPr>
        <w:t xml:space="preserve">Never work alone with HF, piranha solution, or concentrated perchloric acid (see Section 8.3 for the buddy requirement).</w:t>
      </w:r>
    </w:p>
    <w:p>
      <w:pPr>
        <w:pStyle w:val="ListParagraph"/>
        <w:numPr>
          <w:ilvl w:val="0"/>
          <w:numId w:val="2"/>
        </w:numPr>
        <w:spacing w:after="40" w:before="40"/>
      </w:pPr>
      <w:r>
        <w:rPr>
          <w:rFonts w:ascii="Arial" w:cs="Arial" w:eastAsia="Arial" w:hAnsi="Arial"/>
          <w:color w:val="2C3E50"/>
          <w:sz w:val="22"/>
          <w:szCs w:val="22"/>
        </w:rPr>
        <w:t xml:space="preserve">Always add acid to water — never add water to concentrated acid.</w:t>
      </w:r>
    </w:p>
    <w:p>
      <w:pPr>
        <w:pStyle w:val="ListParagraph"/>
        <w:numPr>
          <w:ilvl w:val="0"/>
          <w:numId w:val="2"/>
        </w:numPr>
        <w:spacing w:after="40" w:before="40"/>
      </w:pPr>
      <w:r>
        <w:rPr>
          <w:rFonts w:ascii="Arial" w:cs="Arial" w:eastAsia="Arial" w:hAnsi="Arial"/>
          <w:color w:val="2C3E50"/>
          <w:sz w:val="22"/>
          <w:szCs w:val="22"/>
        </w:rPr>
        <w:t xml:space="preserve">Never mix oxidisers (H₂SO₄, HNO₃, H₂O₂) with organic solvents (acetone, IPA) outside of a documented and approved procedure.</w:t>
      </w:r>
    </w:p>
    <w:p>
      <w:pPr>
        <w:pStyle w:val="ListParagraph"/>
        <w:numPr>
          <w:ilvl w:val="0"/>
          <w:numId w:val="2"/>
        </w:numPr>
        <w:spacing w:after="40" w:before="40"/>
      </w:pPr>
      <w:r>
        <w:rPr>
          <w:rFonts w:ascii="Arial" w:cs="Arial" w:eastAsia="Arial" w:hAnsi="Arial"/>
          <w:color w:val="2C3E50"/>
          <w:sz w:val="22"/>
          <w:szCs w:val="22"/>
        </w:rPr>
        <w:t xml:space="preserve">Cap all containers when not actively dispensing. Never leave open containers unattended.</w:t>
      </w:r>
    </w:p>
    <w:p>
      <w:pPr>
        <w:pStyle w:val="ListParagraph"/>
        <w:numPr>
          <w:ilvl w:val="0"/>
          <w:numId w:val="2"/>
        </w:numPr>
        <w:spacing w:after="40" w:before="40"/>
      </w:pPr>
      <w:r>
        <w:rPr>
          <w:rFonts w:ascii="Arial" w:cs="Arial" w:eastAsia="Arial" w:hAnsi="Arial"/>
          <w:color w:val="2C3E50"/>
          <w:sz w:val="22"/>
          <w:szCs w:val="22"/>
        </w:rPr>
        <w:t xml:space="preserve">Label every secondary container: chemical name, concentration, date prepared, your name.</w:t>
      </w:r>
    </w:p>
    <w:p>
      <w:pPr>
        <w:pStyle w:val="ListParagraph"/>
        <w:numPr>
          <w:ilvl w:val="0"/>
          <w:numId w:val="2"/>
        </w:numPr>
        <w:spacing w:after="40" w:before="40"/>
      </w:pPr>
      <w:r>
        <w:rPr>
          <w:rFonts w:ascii="Arial" w:cs="Arial" w:eastAsia="Arial" w:hAnsi="Arial"/>
          <w:color w:val="2C3E50"/>
          <w:sz w:val="22"/>
          <w:szCs w:val="22"/>
        </w:rPr>
        <w:t xml:space="preserve">Conduct all solvent work under local exhaust ventilation (LEV). Verify the hood airflow indicator is green before starting. LEV equipment is inspected annually in accordance with COSHH Regulation 9.</w:t>
      </w:r>
    </w:p>
    <w:p>
      <w:pPr>
        <w:pStyle w:val="ListParagraph"/>
        <w:numPr>
          <w:ilvl w:val="0"/>
          <w:numId w:val="2"/>
        </w:numPr>
        <w:spacing w:after="40" w:before="40"/>
      </w:pPr>
      <w:r>
        <w:rPr>
          <w:rFonts w:ascii="Arial" w:cs="Arial" w:eastAsia="Arial" w:hAnsi="Arial"/>
          <w:color w:val="2C3E50"/>
          <w:sz w:val="22"/>
          <w:szCs w:val="22"/>
        </w:rPr>
        <w:t xml:space="preserve">Never pipette by mouth. Use only mechanical dispensing tools.</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5.3  Chemical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Chemical Group</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Storage Requirements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Flammable solvents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Flammable storage cabinet (BS EN 14470-1). Maximum 4 L per bench. No ignition sources within 3 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Concentrated non-oxidising acids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Acid cabinet — segregated from bases and oxidisers. Secondary containment tray required.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Oxidising acids (H₂SO₄, HNO₃, HClO₄)</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Dedicated oxidiser cabinet. Never store with flammables or organic materials.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Bases (KOH, TMAH, NH₄OH)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Base cabinet — segregated from acids. Secondary containment required.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Photoresists &amp; developers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Light-tight, temperature-controlled cabinet (15–22 °C). Respect expiry 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Cryogenic dewars (LN₂)</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Upright in ventilated dewar rack, secured with anti-tip chain. Pressure-relief valves inspected before each use.</w:t>
            </w:r>
          </w:p>
        </w:tc>
      </w:tr>
    </w:tbl>
    <w:p>
      <w:pPr>
        <w:spacing w:after="0" w:before="100"/>
      </w:pPr>
      <w:r>
        <w:t xml:space="preserve"/>
      </w:r>
    </w:p>
    <w:p>
      <w:pPr>
        <w:pStyle w:val="Heading2"/>
        <w:spacing w:after="120" w:before="240"/>
      </w:pPr>
      <w:r>
        <w:rPr>
          <w:rFonts w:ascii="Arial" w:cs="Arial" w:eastAsia="Arial" w:hAnsi="Arial"/>
          <w:b/>
          <w:bCs/>
          <w:color w:val="0E7C86"/>
          <w:sz w:val="26"/>
          <w:szCs w:val="26"/>
        </w:rPr>
        <w:t xml:space="preserve">5.4  Waste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00"/>
              <w:left w:type="dxa" w:w="160"/>
              <w:bottom w:type="dxa" w:w="60"/>
              <w:right w:type="dxa" w:w="160"/>
            </w:tcMar>
          </w:tcPr>
          <w:p>
            <w:pPr>
              <w:spacing w:after="0" w:before="0"/>
            </w:pPr>
            <w:r>
              <w:rPr>
                <w:rFonts w:ascii="Arial" w:cs="Arial" w:eastAsia="Arial" w:hAnsi="Arial"/>
                <w:b/>
                <w:bCs/>
                <w:color w:val="C0392B"/>
                <w:sz w:val="22"/>
                <w:szCs w:val="22"/>
              </w:rPr>
              <w:t xml:space="preserve">Improper chemical waste disposal is a statutory offence under UK environmental law</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Segregate waste correctly — never combine incompatible waste streams.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Chemical waste is classified as hazardous waste under the Hazardous Waste (England and Wales) Regulations 2005.</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Never pour chemical waste down the drain unless a written Environment Agency-approved disposal procedure exists for that specific material.</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Waste is collected by the University’s licensed waste contractor. Contact Facility Manager if a container exceeds 80% capacity.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Waste Type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Container</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Required Label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Acid waste (pH &lt; 6)</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Yellow-cap acid waste carboy</w:t>
            </w:r>
          </w:p>
        </w:tc>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Acids, concentration, date, your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Halogenated solvent waste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Red-label halogenated waste jug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Halogenated solvents, full contents list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Non-halogenated solvent waste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Green-label solvent waste jug</w:t>
            </w:r>
          </w:p>
        </w:tc>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Non-halogenated solvents, contents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HF / fluoride-containing waste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White double-labelled HF waste jug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HF WASTE — EXTREME HAZARD, date, name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Solid contaminated waste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Closed solid waste bag in rigid labelled container</w:t>
            </w:r>
          </w:p>
        </w:tc>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Contents, date, your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Sharps (blades, broken wafers)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Rigid UN-approved sharps container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Sharps only</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5.5  Piranha Solution — Special Handling</w:t>
      </w:r>
    </w:p>
    <w:p>
      <w:pPr>
        <w:spacing w:after="80" w:before="60"/>
      </w:pPr>
      <w:r>
        <w:rPr>
          <w:rFonts w:ascii="Arial" w:cs="Arial" w:eastAsia="Arial" w:hAnsi="Arial"/>
          <w:color w:val="2C3E50"/>
          <w:sz w:val="22"/>
          <w:szCs w:val="22"/>
        </w:rPr>
        <w:t xml:space="preserve">Piranha (H₂SO₄:H₂O₂, typically 3:1 or 4:1) is an extreme oxidiser that generates significant heat and can react violently with organic materials. A dedicated COSHH assessment must be approved before piranha may be prepared or used.</w:t>
      </w:r>
    </w:p>
    <w:p>
      <w:pPr>
        <w:pStyle w:val="ListParagraph"/>
        <w:numPr>
          <w:ilvl w:val="0"/>
          <w:numId w:val="2"/>
        </w:numPr>
        <w:spacing w:after="40" w:before="40"/>
      </w:pPr>
      <w:r>
        <w:rPr>
          <w:rFonts w:ascii="Arial" w:cs="Arial" w:eastAsia="Arial" w:hAnsi="Arial"/>
          <w:color w:val="2C3E50"/>
          <w:sz w:val="22"/>
          <w:szCs w:val="22"/>
        </w:rPr>
        <w:t xml:space="preserve">Prepare piranha only in the designated piranha wet bench — no exceptions.</w:t>
      </w:r>
    </w:p>
    <w:p>
      <w:pPr>
        <w:pStyle w:val="ListParagraph"/>
        <w:numPr>
          <w:ilvl w:val="0"/>
          <w:numId w:val="2"/>
        </w:numPr>
        <w:spacing w:after="40" w:before="40"/>
      </w:pPr>
      <w:r>
        <w:rPr>
          <w:rFonts w:ascii="Arial" w:cs="Arial" w:eastAsia="Arial" w:hAnsi="Arial"/>
          <w:color w:val="2C3E50"/>
          <w:sz w:val="22"/>
          <w:szCs w:val="22"/>
        </w:rPr>
        <w:t xml:space="preserve">Never add H₂O₂ to hot H₂SO₄ — allow acid to cool below 50 °C first.</w:t>
      </w:r>
    </w:p>
    <w:p>
      <w:pPr>
        <w:pStyle w:val="ListParagraph"/>
        <w:numPr>
          <w:ilvl w:val="0"/>
          <w:numId w:val="2"/>
        </w:numPr>
        <w:spacing w:after="40" w:before="40"/>
      </w:pPr>
      <w:r>
        <w:rPr>
          <w:rFonts w:ascii="Arial" w:cs="Arial" w:eastAsia="Arial" w:hAnsi="Arial"/>
          <w:color w:val="2C3E50"/>
          <w:sz w:val="22"/>
          <w:szCs w:val="22"/>
        </w:rPr>
        <w:t xml:space="preserve">Never store piranha — prepare only the volume required and dispose immediately in the dedicated piranha waste container.</w:t>
      </w:r>
    </w:p>
    <w:p>
      <w:pPr>
        <w:pStyle w:val="ListParagraph"/>
        <w:numPr>
          <w:ilvl w:val="0"/>
          <w:numId w:val="2"/>
        </w:numPr>
        <w:spacing w:after="40" w:before="40"/>
      </w:pPr>
      <w:r>
        <w:rPr>
          <w:rFonts w:ascii="Arial" w:cs="Arial" w:eastAsia="Arial" w:hAnsi="Arial"/>
          <w:color w:val="2C3E50"/>
          <w:sz w:val="22"/>
          <w:szCs w:val="22"/>
        </w:rPr>
        <w:t xml:space="preserve">Organic residue on samples being cleaned with piranha can cause violent spattering. Ensure samples are solvent-rinsed and blow-dried before immersion.</w:t>
      </w:r>
    </w:p>
    <w:p>
      <w:pPr>
        <w:pStyle w:val="ListParagraph"/>
        <w:numPr>
          <w:ilvl w:val="0"/>
          <w:numId w:val="2"/>
        </w:numPr>
        <w:spacing w:after="40" w:before="40"/>
      </w:pPr>
      <w:r>
        <w:rPr>
          <w:rFonts w:ascii="Arial" w:cs="Arial" w:eastAsia="Arial" w:hAnsi="Arial"/>
          <w:color w:val="2C3E50"/>
          <w:sz w:val="22"/>
          <w:szCs w:val="22"/>
        </w:rPr>
        <w:t xml:space="preserve">Two persons must be present for all piranha preparation and use (see Section 8.3).</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6.  Equipment Protocols &amp; Reservation</w:t>
      </w:r>
    </w:p>
    <w:p>
      <w:pPr>
        <w:spacing w:after="80" w:before="60"/>
      </w:pPr>
      <w:r>
        <w:rPr>
          <w:rFonts w:ascii="Arial" w:cs="Arial" w:eastAsia="Arial" w:hAnsi="Arial"/>
          <w:color w:val="2C3E50"/>
          <w:sz w:val="22"/>
          <w:szCs w:val="22"/>
        </w:rPr>
        <w:t xml:space="preserve">All equipment use is governed by written Standard Operating Procedures (SOPs). SOPs have been prepared in line with PUWER 1998, which requires that work equipment is used only by persons who have received adequate training and is suitable for the task. Departing from a published SOP requires written approval from the Facility Manager.</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6.1  Reservation System</w:t>
      </w:r>
    </w:p>
    <w:p>
      <w:pPr>
        <w:spacing w:after="80" w:before="60"/>
      </w:pPr>
      <w:r>
        <w:rPr>
          <w:rFonts w:ascii="Arial" w:cs="Arial" w:eastAsia="Arial" w:hAnsi="Arial"/>
          <w:color w:val="2C3E50"/>
          <w:sz w:val="22"/>
          <w:szCs w:val="22"/>
        </w:rPr>
        <w:t xml:space="preserve">All major equipment must be reserved in advance through the online FOM (Facility Operations Manager) scheduling portal. Walk-up use is not permitted for reserved equipment.</w:t>
      </w:r>
    </w:p>
    <w:p>
      <w:pPr>
        <w:pStyle w:val="ListParagraph"/>
        <w:numPr>
          <w:ilvl w:val="0"/>
          <w:numId w:val="2"/>
        </w:numPr>
        <w:spacing w:after="40" w:before="40"/>
      </w:pPr>
      <w:r>
        <w:rPr>
          <w:rFonts w:ascii="Arial" w:cs="Arial" w:eastAsia="Arial" w:hAnsi="Arial"/>
          <w:color w:val="2C3E50"/>
          <w:sz w:val="22"/>
          <w:szCs w:val="22"/>
        </w:rPr>
        <w:t xml:space="preserve">Cancel unused reservations at least 2 hours in advance to avoid a no-show penalty.</w:t>
      </w:r>
    </w:p>
    <w:p>
      <w:pPr>
        <w:pStyle w:val="ListParagraph"/>
        <w:numPr>
          <w:ilvl w:val="0"/>
          <w:numId w:val="2"/>
        </w:numPr>
        <w:spacing w:after="40" w:before="40"/>
      </w:pPr>
      <w:r>
        <w:rPr>
          <w:rFonts w:ascii="Arial" w:cs="Arial" w:eastAsia="Arial" w:hAnsi="Arial"/>
          <w:color w:val="2C3E50"/>
          <w:sz w:val="22"/>
          <w:szCs w:val="22"/>
        </w:rPr>
        <w:t xml:space="preserve">Three no-shows within an academic term result in a 30-day scheduling restriction.</w:t>
      </w:r>
    </w:p>
    <w:p>
      <w:pPr>
        <w:pStyle w:val="ListParagraph"/>
        <w:numPr>
          <w:ilvl w:val="0"/>
          <w:numId w:val="2"/>
        </w:numPr>
        <w:spacing w:after="40" w:before="40"/>
      </w:pPr>
      <w:r>
        <w:rPr>
          <w:rFonts w:ascii="Arial" w:cs="Arial" w:eastAsia="Arial" w:hAnsi="Arial"/>
          <w:color w:val="2C3E50"/>
          <w:sz w:val="22"/>
          <w:szCs w:val="22"/>
        </w:rPr>
        <w:t xml:space="preserve">Reservation slots may not be transferred to another user.</w:t>
      </w:r>
    </w:p>
    <w:p>
      <w:pPr>
        <w:pStyle w:val="ListParagraph"/>
        <w:numPr>
          <w:ilvl w:val="0"/>
          <w:numId w:val="2"/>
        </w:numPr>
        <w:spacing w:after="40" w:before="40"/>
      </w:pPr>
      <w:r>
        <w:rPr>
          <w:rFonts w:ascii="Arial" w:cs="Arial" w:eastAsia="Arial" w:hAnsi="Arial"/>
          <w:color w:val="2C3E50"/>
          <w:sz w:val="22"/>
          <w:szCs w:val="22"/>
        </w:rPr>
        <w:t xml:space="preserve">Overrunning your slot by more than 15 minutes without prior arrangement is a courtesy violation.</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6.2  Pre-Use &amp; Post-Use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Stage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Required Actions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Pre-use</w:t>
            </w:r>
          </w:p>
        </w:tc>
        <w:tc>
          <w:tcPr>
            <w:tcW w:type="dxa" w:w="7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Confirm active reservation in FOM. Review tool logbook for outstanding faults or contamination notes. Verify all interlocks are armed. Confirm adequate consumables (gases, targets, resist). Sign into logbook: date, time, name, experiment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During 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Do not leave the tool unattended during active processing unless the SOP explicitly permits it. Monitor process parameters against the expected range. Log any anomalies in the tool logbook immediately.</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Post-use</w:t>
            </w:r>
          </w:p>
        </w:tc>
        <w:tc>
          <w:tcPr>
            <w:tcW w:type="dxa" w:w="7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Complete all SOP shutdown steps. Remove all samples and personal items. Clean the work surface per the posted procedure. Log completion time, process summary, and tool condition. Cancel remaining reserved time in FOM. Report any faults to the Tool Owner before leaving.</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6.3  Photolithography (Mask Aligners &amp; Steppers)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7" w:val="clear"/>
            <w:tcMar>
              <w:top w:type="dxa" w:w="100"/>
              <w:left w:type="dxa" w:w="160"/>
              <w:bottom w:type="dxa" w:w="60"/>
              <w:right w:type="dxa" w:w="160"/>
            </w:tcMar>
          </w:tcPr>
          <w:p>
            <w:pPr>
              <w:spacing w:after="0" w:before="0"/>
            </w:pPr>
            <w:r>
              <w:rPr>
                <w:rFonts w:ascii="Arial" w:cs="Arial" w:eastAsia="Arial" w:hAnsi="Arial"/>
                <w:b/>
                <w:bCs/>
                <w:color w:val="1B3A6B"/>
                <w:sz w:val="22"/>
                <w:szCs w:val="22"/>
              </w:rPr>
              <w:t xml:space="preserve">Hazards: UV-C/UV-A radiation, photoresist chemicals, high-pressure Hg lamp</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Never look directly at the lamp when the shutter is open — UV exposure causes severe eye injury within seconds.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Confirm the lamp is fully extinguished before adjusting optics, stage, or mask.</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Handle photoresist in a vented LEV hood with nitrile gloves. Dispose in the correct waste stream per your COSHH assessment.</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Inspect substrates for cracks before loading — fragments can jam mechanisms and generate particles.</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6.4  Reactive Ion Etching (RIE / DRIE)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00"/>
              <w:left w:type="dxa" w:w="160"/>
              <w:bottom w:type="dxa" w:w="60"/>
              <w:right w:type="dxa" w:w="160"/>
            </w:tcMar>
          </w:tcPr>
          <w:p>
            <w:pPr>
              <w:spacing w:after="0" w:before="0"/>
            </w:pPr>
            <w:r>
              <w:rPr>
                <w:rFonts w:ascii="Arial" w:cs="Arial" w:eastAsia="Arial" w:hAnsi="Arial"/>
                <w:b/>
                <w:bCs/>
                <w:color w:val="C0392B"/>
                <w:sz w:val="22"/>
                <w:szCs w:val="22"/>
              </w:rPr>
              <w:t xml:space="preserve">Hazards: toxic and corrosive process gases, high-voltage RF plasma, reactive byproducts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Confirm exhaust interlock is active and scrubber is online before any halogen-chemistry process.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Vent the chamber slowly after process end — residual reactive gas may be present in the chamber volume.</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Inspect o-rings and chamber seals before each load — a vacuum failure during halogen processing is a serious inhalation and fire hazard.</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Never open a chamber that processed HBr or Cl₂ without a minimum 15-minute inert purge cycle and Facility Manager approval.</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6.5  Electron Beam Systems (SEM, e-Beam Litho, e-Beam Evaporator)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0EDEF" w:val="clear"/>
            <w:tcMar>
              <w:top w:type="dxa" w:w="100"/>
              <w:left w:type="dxa" w:w="160"/>
              <w:bottom w:type="dxa" w:w="60"/>
              <w:right w:type="dxa" w:w="160"/>
            </w:tcMar>
          </w:tcPr>
          <w:p>
            <w:pPr>
              <w:spacing w:after="0" w:before="0"/>
            </w:pPr>
            <w:r>
              <w:rPr>
                <w:rFonts w:ascii="Arial" w:cs="Arial" w:eastAsia="Arial" w:hAnsi="Arial"/>
                <w:b/>
                <w:bCs/>
                <w:color w:val="0E7C86"/>
                <w:sz w:val="22"/>
                <w:szCs w:val="22"/>
              </w:rPr>
              <w:t xml:space="preserve">Hazards: ionising radiation (X-rays), high voltage up to 30 kV, vacuum systems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These systems are classified as radiation generators under the Ionising Radiations Regulations 2017 (IRR17). Do not defeat any radiation interlock.</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All shielding panels must be closed and latched before energising the beam. Radiation warning lamp must be lit during operation.</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Treat all high-voltage connections as live until personally confirmed de-energised. Never reach into the column area when powered.</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Open vent valves slowly — rapid venting damages filaments, apertures, and stage mechanisms.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Ensure samples are clean and dry before loading to prevent carbon deposition under the beam.</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6.6  Chemical Vapour Deposition (CVD / LPCVD / PECVD / ALD)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00"/>
              <w:left w:type="dxa" w:w="160"/>
              <w:bottom w:type="dxa" w:w="60"/>
              <w:right w:type="dxa" w:w="160"/>
            </w:tcMar>
          </w:tcPr>
          <w:p>
            <w:pPr>
              <w:spacing w:after="0" w:before="0"/>
            </w:pPr>
            <w:r>
              <w:rPr>
                <w:rFonts w:ascii="Arial" w:cs="Arial" w:eastAsia="Arial" w:hAnsi="Arial"/>
                <w:b/>
                <w:bCs/>
                <w:color w:val="D68910"/>
                <w:sz w:val="22"/>
                <w:szCs w:val="22"/>
              </w:rPr>
              <w:t xml:space="preserve">Hazards: pyrophoric gases, toxic precursors, high temperatures, pressure hazards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Review the SDS before every run — precursors may be flammable (SiH₄, B₂H₆), highly toxic (WF₆, TiCl₄), or pyrophoric.</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Silane (SiH₄) is pyrophoric — confirm inert purge is fully complete before exposing any gas line to atmosphere. Full lock-out/tag-out required when disconnecting fittings.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Allow a minimum 30-minute cool-down after high-temperature processes (&gt;800 °C) before retrieving samples. Use insulated tongs only.</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Inspect quartz tubes for hairline cracks at every load — a cracked tube at process temperature is a fire, implosion, and toxic gas release hazard.</w:t>
            </w:r>
          </w:p>
        </w:tc>
      </w:tr>
    </w:tbl>
    <w:p>
      <w:pPr>
        <w:spacing w:after="0" w:before="100"/>
      </w:pPr>
      <w:r>
        <w:t xml:space="preserve"/>
      </w:r>
    </w:p>
    <w:p>
      <w:pPr>
        <w:pStyle w:val="Heading2"/>
        <w:spacing w:after="120" w:before="240"/>
      </w:pPr>
      <w:r>
        <w:rPr>
          <w:rFonts w:ascii="Arial" w:cs="Arial" w:eastAsia="Arial" w:hAnsi="Arial"/>
          <w:b/>
          <w:bCs/>
          <w:color w:val="0E7C86"/>
          <w:sz w:val="26"/>
          <w:szCs w:val="26"/>
        </w:rPr>
        <w:t xml:space="preserve">6.7  Wet Benches &amp; Local Exhaust Ventilation (LEV)</w:t>
      </w:r>
    </w:p>
    <w:p>
      <w:pPr>
        <w:pStyle w:val="ListParagraph"/>
        <w:numPr>
          <w:ilvl w:val="0"/>
          <w:numId w:val="2"/>
        </w:numPr>
        <w:spacing w:after="40" w:before="40"/>
      </w:pPr>
      <w:r>
        <w:rPr>
          <w:rFonts w:ascii="Arial" w:cs="Arial" w:eastAsia="Arial" w:hAnsi="Arial"/>
          <w:color w:val="2C3E50"/>
          <w:sz w:val="22"/>
          <w:szCs w:val="22"/>
        </w:rPr>
        <w:t xml:space="preserve">Verify the LEV airflow indicator is green before beginning any work. If the indicator is amber or red, do not proceed — contact Facilities immediately and record in the fault log.</w:t>
      </w:r>
    </w:p>
    <w:p>
      <w:pPr>
        <w:pStyle w:val="ListParagraph"/>
        <w:numPr>
          <w:ilvl w:val="0"/>
          <w:numId w:val="2"/>
        </w:numPr>
        <w:spacing w:after="40" w:before="40"/>
      </w:pPr>
      <w:r>
        <w:rPr>
          <w:rFonts w:ascii="Arial" w:cs="Arial" w:eastAsia="Arial" w:hAnsi="Arial"/>
          <w:color w:val="2C3E50"/>
          <w:sz w:val="22"/>
          <w:szCs w:val="22"/>
        </w:rPr>
        <w:t xml:space="preserve">LEV systems are inspected and tested at least every 14 months in compliance with COSHH Regulation 9. Inspection records are held in the Facility Manager's office.</w:t>
      </w:r>
    </w:p>
    <w:p>
      <w:pPr>
        <w:pStyle w:val="ListParagraph"/>
        <w:numPr>
          <w:ilvl w:val="0"/>
          <w:numId w:val="2"/>
        </w:numPr>
        <w:spacing w:after="40" w:before="40"/>
      </w:pPr>
      <w:r>
        <w:rPr>
          <w:rFonts w:ascii="Arial" w:cs="Arial" w:eastAsia="Arial" w:hAnsi="Arial"/>
          <w:color w:val="2C3E50"/>
          <w:sz w:val="22"/>
          <w:szCs w:val="22"/>
        </w:rPr>
        <w:t xml:space="preserve">Position all chemical containers in the secondary containment tray within the hood before opening.</w:t>
      </w:r>
    </w:p>
    <w:p>
      <w:pPr>
        <w:pStyle w:val="ListParagraph"/>
        <w:numPr>
          <w:ilvl w:val="0"/>
          <w:numId w:val="2"/>
        </w:numPr>
        <w:spacing w:after="40" w:before="40"/>
      </w:pPr>
      <w:r>
        <w:rPr>
          <w:rFonts w:ascii="Arial" w:cs="Arial" w:eastAsia="Arial" w:hAnsi="Arial"/>
          <w:color w:val="2C3E50"/>
          <w:sz w:val="22"/>
          <w:szCs w:val="22"/>
        </w:rPr>
        <w:t xml:space="preserve">Work at least 15 cm behind the sash line whenever possible. Never block airflow slots at the hood base.</w:t>
      </w:r>
    </w:p>
    <w:p>
      <w:pPr>
        <w:pStyle w:val="ListParagraph"/>
        <w:numPr>
          <w:ilvl w:val="0"/>
          <w:numId w:val="2"/>
        </w:numPr>
        <w:spacing w:after="40" w:before="40"/>
      </w:pPr>
      <w:r>
        <w:rPr>
          <w:rFonts w:ascii="Arial" w:cs="Arial" w:eastAsia="Arial" w:hAnsi="Arial"/>
          <w:color w:val="2C3E50"/>
          <w:sz w:val="22"/>
          <w:szCs w:val="22"/>
        </w:rPr>
        <w:t xml:space="preserve">Clean the wet bench surface with deionised water after every session, even if no spills occurred.</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7.  Emergency Procedures</w:t>
      </w:r>
    </w:p>
    <w:p>
      <w:pPr>
        <w:spacing w:after="80" w:before="60"/>
      </w:pPr>
      <w:r>
        <w:rPr>
          <w:rFonts w:ascii="Arial" w:cs="Arial" w:eastAsia="Arial" w:hAnsi="Arial"/>
          <w:color w:val="2C3E50"/>
          <w:sz w:val="22"/>
          <w:szCs w:val="22"/>
        </w:rPr>
        <w:t xml:space="preserve">Know these procedures before you need them. Familiarise yourself with the location of all emergency equipment during your Level 1 facility orientation tour. Emergency arrangements are reviewed annually and following any significant incident.</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7.1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Situation</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Contact / Action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Life-threatening emergency</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Call 999 (ambulance / fire / police) immediately. Do not delay to contact facility staff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Chemical exposure / injury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University Safety Office Emergency Line: (01234) 567 890. Provide: your name, exact location, chemical involved, body area affected. If serious, call 999 first.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Fire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Activate the nearest break-glass fire call point. Evacuate immediately via marked fire exits. Call 999. Assembly point: main car park on the east side of the building.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Chemical spill (contained, non-HF)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Call Facility Manager: (01234) 567 891. Use spill kit only if trained and spill is ≤1 L of a non-HF hazard.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Equipment fault / malfunction</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Abort safely per tool SOP. Log fault in tool logbook. Call Tool Owner or Facility 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Evacuation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Leave all materials. Exit via primary airlock route. Do not use the lift. Report to assembly point.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Out-of-hours medical assistance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NHS 111 (non-emergency urgent advice) or go directly to A&amp;E. For life-threatening: 999.</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7.2  Emergency Equipment Locations</w:t>
      </w:r>
    </w:p>
    <w:p>
      <w:pPr>
        <w:spacing w:after="80" w:before="60"/>
      </w:pPr>
      <w:r>
        <w:rPr>
          <w:rFonts w:ascii="Arial" w:cs="Arial" w:eastAsia="Arial" w:hAnsi="Arial"/>
          <w:color w:val="2C3E50"/>
          <w:sz w:val="22"/>
          <w:szCs w:val="22"/>
        </w:rPr>
        <w:t xml:space="preserve">Verify these locations during your first supervised session.</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Eyewash stations: at each wet chemistry bench (Zones B and C)</w:t>
      </w:r>
    </w:p>
    <w:p>
      <w:pPr>
        <w:pStyle w:val="ListParagraph"/>
        <w:numPr>
          <w:ilvl w:val="0"/>
          <w:numId w:val="2"/>
        </w:numPr>
        <w:spacing w:after="40" w:before="40"/>
      </w:pPr>
      <w:r>
        <w:rPr>
          <w:rFonts w:ascii="Arial" w:cs="Arial" w:eastAsia="Arial" w:hAnsi="Arial"/>
          <w:color w:val="2C3E50"/>
          <w:sz w:val="22"/>
          <w:szCs w:val="22"/>
        </w:rPr>
        <w:t xml:space="preserve">Safety shower: at the Zone B exit and the Zone C exit</w:t>
      </w:r>
    </w:p>
    <w:p>
      <w:pPr>
        <w:pStyle w:val="ListParagraph"/>
        <w:numPr>
          <w:ilvl w:val="0"/>
          <w:numId w:val="2"/>
        </w:numPr>
        <w:spacing w:after="40" w:before="40"/>
      </w:pPr>
      <w:r>
        <w:rPr>
          <w:rFonts w:ascii="Arial" w:cs="Arial" w:eastAsia="Arial" w:hAnsi="Arial"/>
          <w:color w:val="2C3E50"/>
          <w:sz w:val="22"/>
          <w:szCs w:val="22"/>
        </w:rPr>
        <w:t xml:space="preserve">Fire extinguishers: CO₂ (electrical equipment) and dry powder at each zone entrance; foam in the gowning room</w:t>
      </w:r>
    </w:p>
    <w:p>
      <w:pPr>
        <w:pStyle w:val="ListParagraph"/>
        <w:numPr>
          <w:ilvl w:val="0"/>
          <w:numId w:val="2"/>
        </w:numPr>
        <w:spacing w:after="40" w:before="40"/>
      </w:pPr>
      <w:r>
        <w:rPr>
          <w:rFonts w:ascii="Arial" w:cs="Arial" w:eastAsia="Arial" w:hAnsi="Arial"/>
          <w:color w:val="2C3E50"/>
          <w:sz w:val="22"/>
          <w:szCs w:val="22"/>
        </w:rPr>
        <w:t xml:space="preserve">Fire blanket: adjacent to each wet bench</w:t>
      </w:r>
    </w:p>
    <w:p>
      <w:pPr>
        <w:pStyle w:val="ListParagraph"/>
        <w:numPr>
          <w:ilvl w:val="0"/>
          <w:numId w:val="2"/>
        </w:numPr>
        <w:spacing w:after="40" w:before="40"/>
      </w:pPr>
      <w:r>
        <w:rPr>
          <w:rFonts w:ascii="Arial" w:cs="Arial" w:eastAsia="Arial" w:hAnsi="Arial"/>
          <w:color w:val="2C3E50"/>
          <w:sz w:val="22"/>
          <w:szCs w:val="22"/>
        </w:rPr>
        <w:t xml:space="preserve">Spill kits: at the entrance of each zone</w:t>
      </w:r>
    </w:p>
    <w:p>
      <w:pPr>
        <w:pStyle w:val="ListParagraph"/>
        <w:numPr>
          <w:ilvl w:val="0"/>
          <w:numId w:val="2"/>
        </w:numPr>
        <w:spacing w:after="40" w:before="40"/>
      </w:pPr>
      <w:r>
        <w:rPr>
          <w:rFonts w:ascii="Arial" w:cs="Arial" w:eastAsia="Arial" w:hAnsi="Arial"/>
          <w:color w:val="2C3E50"/>
          <w:sz w:val="22"/>
          <w:szCs w:val="22"/>
        </w:rPr>
        <w:t xml:space="preserve">HF antidote gel (calcium gluconate): mounted at every HF bench — blue tubes in red holder</w:t>
      </w:r>
    </w:p>
    <w:p>
      <w:pPr>
        <w:pStyle w:val="ListParagraph"/>
        <w:numPr>
          <w:ilvl w:val="0"/>
          <w:numId w:val="2"/>
        </w:numPr>
        <w:spacing w:after="40" w:before="40"/>
      </w:pPr>
      <w:r>
        <w:rPr>
          <w:rFonts w:ascii="Arial" w:cs="Arial" w:eastAsia="Arial" w:hAnsi="Arial"/>
          <w:color w:val="2C3E50"/>
          <w:sz w:val="22"/>
          <w:szCs w:val="22"/>
        </w:rPr>
        <w:t xml:space="preserve">First aid kit: gowning room and Facility Manager's office (Room 042B)</w:t>
      </w:r>
    </w:p>
    <w:p>
      <w:pPr>
        <w:pStyle w:val="ListParagraph"/>
        <w:numPr>
          <w:ilvl w:val="0"/>
          <w:numId w:val="2"/>
        </w:numPr>
        <w:spacing w:after="40" w:before="40"/>
      </w:pPr>
      <w:r>
        <w:rPr>
          <w:rFonts w:ascii="Arial" w:cs="Arial" w:eastAsia="Arial" w:hAnsi="Arial"/>
          <w:color w:val="2C3E50"/>
          <w:sz w:val="22"/>
          <w:szCs w:val="22"/>
        </w:rPr>
        <w:t xml:space="preserve">Defibrillator (AED): corridor outside the gowning room</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7.3  Chemical Spill Response</w:t>
      </w:r>
    </w:p>
    <w:p>
      <w:pPr>
        <w:spacing w:after="80" w:before="60"/>
      </w:pPr>
      <w:r>
        <w:rPr>
          <w:rFonts w:ascii="Arial" w:cs="Arial" w:eastAsia="Arial" w:hAnsi="Arial"/>
          <w:color w:val="2C3E50"/>
          <w:sz w:val="22"/>
          <w:szCs w:val="22"/>
        </w:rPr>
        <w:t xml:space="preserve">Response actions depend on spill size and chemical involved. Never attempt a cleanup you have not been specifically trained for.</w:t>
      </w:r>
    </w:p>
    <w:p>
      <w:pPr>
        <w:spacing w:after="0" w:before="60"/>
      </w:pPr>
      <w:r>
        <w:t xml:space="preserve"/>
      </w:r>
    </w:p>
    <w:p>
      <w:pPr>
        <w:pStyle w:val="ListParagraph"/>
        <w:numPr>
          <w:ilvl w:val="0"/>
          <w:numId w:val="3"/>
        </w:numPr>
        <w:spacing w:after="40" w:before="40"/>
      </w:pPr>
      <w:r>
        <w:rPr>
          <w:rFonts w:ascii="Arial" w:cs="Arial" w:eastAsia="Arial" w:hAnsi="Arial"/>
          <w:color w:val="2C3E50"/>
          <w:sz w:val="22"/>
          <w:szCs w:val="22"/>
        </w:rPr>
        <w:t xml:space="preserve">Ensure your own safety first. If you are contaminated, proceed to the eyewash or safety shower immediately — see Section 7.4.</w:t>
      </w:r>
    </w:p>
    <w:p>
      <w:pPr>
        <w:pStyle w:val="ListParagraph"/>
        <w:numPr>
          <w:ilvl w:val="0"/>
          <w:numId w:val="3"/>
        </w:numPr>
        <w:spacing w:after="40" w:before="40"/>
      </w:pPr>
      <w:r>
        <w:rPr>
          <w:rFonts w:ascii="Arial" w:cs="Arial" w:eastAsia="Arial" w:hAnsi="Arial"/>
          <w:color w:val="2C3E50"/>
          <w:sz w:val="22"/>
          <w:szCs w:val="22"/>
        </w:rPr>
        <w:t xml:space="preserve">Alert others in the area verbally. Clear non-essential personnel from the zone.</w:t>
      </w:r>
    </w:p>
    <w:p>
      <w:pPr>
        <w:pStyle w:val="ListParagraph"/>
        <w:numPr>
          <w:ilvl w:val="0"/>
          <w:numId w:val="3"/>
        </w:numPr>
        <w:spacing w:after="40" w:before="40"/>
      </w:pPr>
      <w:r>
        <w:rPr>
          <w:rFonts w:ascii="Arial" w:cs="Arial" w:eastAsia="Arial" w:hAnsi="Arial"/>
          <w:color w:val="2C3E50"/>
          <w:sz w:val="22"/>
          <w:szCs w:val="22"/>
        </w:rPr>
        <w:t xml:space="preserve">If HF is involved: apply calcium gluconate antidote gel to exposed skin immediately. Call 999 and the University Safety Office Emergency Line. Do not attempt to clean up an HF spill yourself.</w:t>
      </w:r>
    </w:p>
    <w:p>
      <w:pPr>
        <w:pStyle w:val="ListParagraph"/>
        <w:numPr>
          <w:ilvl w:val="0"/>
          <w:numId w:val="3"/>
        </w:numPr>
        <w:spacing w:after="40" w:before="40"/>
      </w:pPr>
      <w:r>
        <w:rPr>
          <w:rFonts w:ascii="Arial" w:cs="Arial" w:eastAsia="Arial" w:hAnsi="Arial"/>
          <w:color w:val="2C3E50"/>
          <w:sz w:val="22"/>
          <w:szCs w:val="22"/>
        </w:rPr>
        <w:t xml:space="preserve">If no personal exposure occurred and the spill is ≤1 L of a non-HF, non-pyrophoric chemical: trained users may use the zone spill kit following kit instructions.</w:t>
      </w:r>
    </w:p>
    <w:p>
      <w:pPr>
        <w:pStyle w:val="ListParagraph"/>
        <w:numPr>
          <w:ilvl w:val="0"/>
          <w:numId w:val="3"/>
        </w:numPr>
        <w:spacing w:after="40" w:before="40"/>
      </w:pPr>
      <w:r>
        <w:rPr>
          <w:rFonts w:ascii="Arial" w:cs="Arial" w:eastAsia="Arial" w:hAnsi="Arial"/>
          <w:color w:val="2C3E50"/>
          <w:sz w:val="22"/>
          <w:szCs w:val="22"/>
        </w:rPr>
        <w:t xml:space="preserve">For spills &gt;1 L, any HF-containing material, pyrophoric material, or unknown substance: do not attempt cleanup. Seal the area and call the University Safety Office.</w:t>
      </w:r>
    </w:p>
    <w:p>
      <w:pPr>
        <w:pStyle w:val="ListParagraph"/>
        <w:numPr>
          <w:ilvl w:val="0"/>
          <w:numId w:val="3"/>
        </w:numPr>
        <w:spacing w:after="40" w:before="40"/>
      </w:pPr>
      <w:r>
        <w:rPr>
          <w:rFonts w:ascii="Arial" w:cs="Arial" w:eastAsia="Arial" w:hAnsi="Arial"/>
          <w:color w:val="2C3E50"/>
          <w:sz w:val="22"/>
          <w:szCs w:val="22"/>
        </w:rPr>
        <w:t xml:space="preserve">Document the incident in the facility incident logbook and complete a RIDDOR-compatible incident report form (see Section 10).</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7.4  Eyewash &amp; Safety Shower</w:t>
      </w:r>
    </w:p>
    <w:p>
      <w:pPr>
        <w:pStyle w:val="ListParagraph"/>
        <w:numPr>
          <w:ilvl w:val="0"/>
          <w:numId w:val="2"/>
        </w:numPr>
        <w:spacing w:after="40" w:before="40"/>
      </w:pPr>
      <w:r>
        <w:rPr>
          <w:rFonts w:ascii="Arial" w:cs="Arial" w:eastAsia="Arial" w:hAnsi="Arial"/>
          <w:color w:val="2C3E50"/>
          <w:sz w:val="22"/>
          <w:szCs w:val="22"/>
        </w:rPr>
        <w:t xml:space="preserve">Proceed to the nearest eyewash or safety shower immediately — within 10 seconds of chemical contact.</w:t>
      </w:r>
    </w:p>
    <w:p>
      <w:pPr>
        <w:pStyle w:val="ListParagraph"/>
        <w:numPr>
          <w:ilvl w:val="0"/>
          <w:numId w:val="2"/>
        </w:numPr>
        <w:spacing w:after="40" w:before="40"/>
      </w:pPr>
      <w:r>
        <w:rPr>
          <w:rFonts w:ascii="Arial" w:cs="Arial" w:eastAsia="Arial" w:hAnsi="Arial"/>
          <w:color w:val="2C3E50"/>
          <w:sz w:val="22"/>
          <w:szCs w:val="22"/>
        </w:rPr>
        <w:t xml:space="preserve">Flush eyes continuously for a minimum of 15 minutes with tepid water. Do not rub eyes.</w:t>
      </w:r>
    </w:p>
    <w:p>
      <w:pPr>
        <w:pStyle w:val="ListParagraph"/>
        <w:numPr>
          <w:ilvl w:val="0"/>
          <w:numId w:val="2"/>
        </w:numPr>
        <w:spacing w:after="40" w:before="40"/>
      </w:pPr>
      <w:r>
        <w:rPr>
          <w:rFonts w:ascii="Arial" w:cs="Arial" w:eastAsia="Arial" w:hAnsi="Arial"/>
          <w:color w:val="2C3E50"/>
          <w:sz w:val="22"/>
          <w:szCs w:val="22"/>
        </w:rPr>
        <w:t xml:space="preserve">Remove contaminated clothing whilst under the safety shower.</w:t>
      </w:r>
    </w:p>
    <w:p>
      <w:pPr>
        <w:pStyle w:val="ListParagraph"/>
        <w:numPr>
          <w:ilvl w:val="0"/>
          <w:numId w:val="2"/>
        </w:numPr>
        <w:spacing w:after="40" w:before="40"/>
      </w:pPr>
      <w:r>
        <w:rPr>
          <w:rFonts w:ascii="Arial" w:cs="Arial" w:eastAsia="Arial" w:hAnsi="Arial"/>
          <w:color w:val="2C3E50"/>
          <w:sz w:val="22"/>
          <w:szCs w:val="22"/>
        </w:rPr>
        <w:t xml:space="preserve">Have a second person call 999 and the University Health Centre whilst flushing continues — do not leave the affected person alone.</w:t>
      </w:r>
    </w:p>
    <w:p>
      <w:pPr>
        <w:pStyle w:val="ListParagraph"/>
        <w:numPr>
          <w:ilvl w:val="0"/>
          <w:numId w:val="2"/>
        </w:numPr>
        <w:spacing w:after="40" w:before="40"/>
      </w:pPr>
      <w:r>
        <w:rPr>
          <w:rFonts w:ascii="Arial" w:cs="Arial" w:eastAsia="Arial" w:hAnsi="Arial"/>
          <w:color w:val="2C3E50"/>
          <w:sz w:val="22"/>
          <w:szCs w:val="22"/>
        </w:rPr>
        <w:t xml:space="preserve">After flushing, transport immediately to A&amp;E (or call 999 for an ambulance) even if symptoms appear mild.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00"/>
              <w:left w:type="dxa" w:w="160"/>
              <w:bottom w:type="dxa" w:w="60"/>
              <w:right w:type="dxa" w:w="160"/>
            </w:tcMar>
          </w:tcPr>
          <w:p>
            <w:pPr>
              <w:spacing w:after="0" w:before="0"/>
            </w:pPr>
            <w:r>
              <w:rPr>
                <w:rFonts w:ascii="Arial" w:cs="Arial" w:eastAsia="Arial" w:hAnsi="Arial"/>
                <w:b/>
                <w:bCs/>
                <w:color w:val="C0392B"/>
                <w:sz w:val="22"/>
                <w:szCs w:val="22"/>
              </w:rPr>
              <w:t xml:space="preserve">HF EXPOSURE PROTOCOL — CRITICAL / CALL 999 IMMEDIATELY</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Apply calcium gluconate antidote gel (blue tube at every HF bench) to ALL exposed skin immediately.</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HF burns may be painless for 8–24 hours whilst causing deep tissue destruction and systemic toxicity (hypocalcaemia, cardiac arrhythmia). Do not wait for symptoms.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Flush with large volumes of water and continue applying gel during transport.</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Call 999 AND the University Safety Office Emergency Line simultaneously.</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Inhalation exposure: move to fresh air immediately; seek A&amp;E attendance even if asymptomatic — delayed pulmonary oedema is possible.</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Inform A&amp;E staff and paramedics of the exact HF concentration and estimated exposure area. Bring the SDS.</w:t>
            </w:r>
          </w:p>
        </w:tc>
      </w:tr>
    </w:tbl>
    <w:p>
      <w:pPr>
        <w:spacing w:after="0" w:before="100"/>
      </w:pPr>
      <w:r>
        <w:t xml:space="preserve"/>
      </w:r>
    </w:p>
    <w:p>
      <w:pPr>
        <w:pStyle w:val="Heading2"/>
        <w:spacing w:after="120" w:before="240"/>
      </w:pPr>
      <w:r>
        <w:rPr>
          <w:rFonts w:ascii="Arial" w:cs="Arial" w:eastAsia="Arial" w:hAnsi="Arial"/>
          <w:b/>
          <w:bCs/>
          <w:color w:val="0E7C86"/>
          <w:sz w:val="26"/>
          <w:szCs w:val="26"/>
        </w:rPr>
        <w:t xml:space="preserve">7.5  Fire &amp; Evacuation</w:t>
      </w:r>
    </w:p>
    <w:p>
      <w:pPr>
        <w:pStyle w:val="ListParagraph"/>
        <w:numPr>
          <w:ilvl w:val="0"/>
          <w:numId w:val="2"/>
        </w:numPr>
        <w:spacing w:after="40" w:before="40"/>
      </w:pPr>
      <w:r>
        <w:rPr>
          <w:rFonts w:ascii="Arial" w:cs="Arial" w:eastAsia="Arial" w:hAnsi="Arial"/>
          <w:color w:val="2C3E50"/>
          <w:sz w:val="22"/>
          <w:szCs w:val="22"/>
        </w:rPr>
        <w:t xml:space="preserve">On discovering a fire or hearing the fire alarm: evacuate immediately.</w:t>
      </w:r>
    </w:p>
    <w:p>
      <w:pPr>
        <w:pStyle w:val="ListParagraph"/>
        <w:numPr>
          <w:ilvl w:val="0"/>
          <w:numId w:val="2"/>
        </w:numPr>
        <w:spacing w:after="40" w:before="40"/>
      </w:pPr>
      <w:r>
        <w:rPr>
          <w:rFonts w:ascii="Arial" w:cs="Arial" w:eastAsia="Arial" w:hAnsi="Arial"/>
          <w:color w:val="2C3E50"/>
          <w:sz w:val="22"/>
          <w:szCs w:val="22"/>
        </w:rPr>
        <w:t xml:space="preserve">Only attempt to use a fire extinguisher if the fire is very small, you have been trained in its use, and you have a clear escape route behind you.</w:t>
      </w:r>
    </w:p>
    <w:p>
      <w:pPr>
        <w:pStyle w:val="ListParagraph"/>
        <w:numPr>
          <w:ilvl w:val="0"/>
          <w:numId w:val="2"/>
        </w:numPr>
        <w:spacing w:after="40" w:before="40"/>
      </w:pPr>
      <w:r>
        <w:rPr>
          <w:rFonts w:ascii="Arial" w:cs="Arial" w:eastAsia="Arial" w:hAnsi="Arial"/>
          <w:color w:val="2C3E50"/>
          <w:sz w:val="22"/>
          <w:szCs w:val="22"/>
        </w:rPr>
        <w:t xml:space="preserve">Shut down active processes only if it can be done within 5 seconds without personal risk. Do not delay evacuation to secure experiments.</w:t>
      </w:r>
    </w:p>
    <w:p>
      <w:pPr>
        <w:pStyle w:val="ListParagraph"/>
        <w:numPr>
          <w:ilvl w:val="0"/>
          <w:numId w:val="2"/>
        </w:numPr>
        <w:spacing w:after="40" w:before="40"/>
      </w:pPr>
      <w:r>
        <w:rPr>
          <w:rFonts w:ascii="Arial" w:cs="Arial" w:eastAsia="Arial" w:hAnsi="Arial"/>
          <w:color w:val="2C3E50"/>
          <w:sz w:val="22"/>
          <w:szCs w:val="22"/>
        </w:rPr>
        <w:t xml:space="preserve">Exit through the nearest marked fire exit. Do not use the lift.</w:t>
      </w:r>
    </w:p>
    <w:p>
      <w:pPr>
        <w:pStyle w:val="ListParagraph"/>
        <w:numPr>
          <w:ilvl w:val="0"/>
          <w:numId w:val="2"/>
        </w:numPr>
        <w:spacing w:after="40" w:before="40"/>
      </w:pPr>
      <w:r>
        <w:rPr>
          <w:rFonts w:ascii="Arial" w:cs="Arial" w:eastAsia="Arial" w:hAnsi="Arial"/>
          <w:color w:val="2C3E50"/>
          <w:sz w:val="22"/>
          <w:szCs w:val="22"/>
        </w:rPr>
        <w:t xml:space="preserve">Close fire doors behind you to contain smoke and fire spread.</w:t>
      </w:r>
    </w:p>
    <w:p>
      <w:pPr>
        <w:pStyle w:val="ListParagraph"/>
        <w:numPr>
          <w:ilvl w:val="0"/>
          <w:numId w:val="2"/>
        </w:numPr>
        <w:spacing w:after="40" w:before="40"/>
      </w:pPr>
      <w:r>
        <w:rPr>
          <w:rFonts w:ascii="Arial" w:cs="Arial" w:eastAsia="Arial" w:hAnsi="Arial"/>
          <w:color w:val="2C3E50"/>
          <w:sz w:val="22"/>
          <w:szCs w:val="22"/>
        </w:rPr>
        <w:t xml:space="preserve">Do not re-enter the building until cleared by the Fire &amp; Rescue Service or a designated Fire Warden.</w:t>
      </w:r>
    </w:p>
    <w:p>
      <w:pPr>
        <w:pStyle w:val="ListParagraph"/>
        <w:numPr>
          <w:ilvl w:val="0"/>
          <w:numId w:val="2"/>
        </w:numPr>
        <w:spacing w:after="40" w:before="40"/>
      </w:pPr>
      <w:r>
        <w:rPr>
          <w:rFonts w:ascii="Arial" w:cs="Arial" w:eastAsia="Arial" w:hAnsi="Arial"/>
          <w:color w:val="2C3E50"/>
          <w:sz w:val="22"/>
          <w:szCs w:val="22"/>
        </w:rPr>
        <w:t xml:space="preserve">Report all personnel accounted for to the Fire Warden or Facility Manager at the assembly point.</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8.  Access Authorisation &amp; Training Certification</w:t>
      </w:r>
    </w:p>
    <w:p>
      <w:pPr>
        <w:spacing w:after="80" w:before="60"/>
      </w:pPr>
      <w:r>
        <w:rPr>
          <w:rFonts w:ascii="Arial" w:cs="Arial" w:eastAsia="Arial" w:hAnsi="Arial"/>
          <w:color w:val="2C3E50"/>
          <w:sz w:val="22"/>
          <w:szCs w:val="22"/>
        </w:rPr>
        <w:t xml:space="preserve">No one may use cleanroom equipment unsupervised without completing the corresponding certification. Training is tiered and must be completed in sequence. Your principal supervisor must authorise your enrolment in each training tier. Training records are maintained by the Facility Manager and form part of the facility’s PUWER and COSHH compliance documentation.</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8.1  Training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Level</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Requirements</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Access Granted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1 — Cleanroom Fundamentals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Online safety module (2 hrs) + in-person gowning assessment with Facility Manager</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Supervised access to Zone 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2 — Chemical Safety (COSHH)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Online COSHH module + wet bench practical assessment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Independent chemical work in Zones B and C</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3 — Tool-Specific</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One-on-one training with Tool Owner (1–3 sessions); completed separately per instrument</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Independent access to that specific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4 — Hazardous Process Authorisation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Written approval from supervisor + Facility Manager + COSHH/risk assessment on 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HF, piranha, pyrophoric gas, or novel process work</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8.2  Certification Renewal &amp; Lapse</w:t>
      </w:r>
    </w:p>
    <w:p>
      <w:pPr>
        <w:pStyle w:val="ListParagraph"/>
        <w:numPr>
          <w:ilvl w:val="0"/>
          <w:numId w:val="2"/>
        </w:numPr>
        <w:spacing w:after="40" w:before="40"/>
      </w:pPr>
      <w:r>
        <w:rPr>
          <w:rFonts w:ascii="Arial" w:cs="Arial" w:eastAsia="Arial" w:hAnsi="Arial"/>
          <w:color w:val="2C3E50"/>
          <w:sz w:val="22"/>
          <w:szCs w:val="22"/>
        </w:rPr>
        <w:t xml:space="preserve">All certifications must be renewed annually. A reminder email is sent 30 days before expiry.</w:t>
      </w:r>
    </w:p>
    <w:p>
      <w:pPr>
        <w:pStyle w:val="ListParagraph"/>
        <w:numPr>
          <w:ilvl w:val="0"/>
          <w:numId w:val="2"/>
        </w:numPr>
        <w:spacing w:after="40" w:before="40"/>
      </w:pPr>
      <w:r>
        <w:rPr>
          <w:rFonts w:ascii="Arial" w:cs="Arial" w:eastAsia="Arial" w:hAnsi="Arial"/>
          <w:color w:val="2C3E50"/>
          <w:sz w:val="22"/>
          <w:szCs w:val="22"/>
        </w:rPr>
        <w:t xml:space="preserve">After any safety incident or documented policy violation, re-training and re-assessment may be required before access is reinstated, regardless of current certification status.</w:t>
      </w:r>
    </w:p>
    <w:p>
      <w:pPr>
        <w:pStyle w:val="ListParagraph"/>
        <w:numPr>
          <w:ilvl w:val="0"/>
          <w:numId w:val="2"/>
        </w:numPr>
        <w:spacing w:after="40" w:before="40"/>
      </w:pPr>
      <w:r>
        <w:rPr>
          <w:rFonts w:ascii="Arial" w:cs="Arial" w:eastAsia="Arial" w:hAnsi="Arial"/>
          <w:color w:val="2C3E50"/>
          <w:sz w:val="22"/>
          <w:szCs w:val="22"/>
        </w:rPr>
        <w:t xml:space="preserve">Users who have not badged into the facility for more than 12 consecutive months will have access automatically suspended. Reinstatement requires repeating at minimum Level 1 assessment.</w:t>
      </w:r>
    </w:p>
    <w:p>
      <w:pPr>
        <w:pStyle w:val="ListParagraph"/>
        <w:numPr>
          <w:ilvl w:val="0"/>
          <w:numId w:val="2"/>
        </w:numPr>
        <w:spacing w:after="40" w:before="40"/>
      </w:pPr>
      <w:r>
        <w:rPr>
          <w:rFonts w:ascii="Arial" w:cs="Arial" w:eastAsia="Arial" w:hAnsi="Arial"/>
          <w:color w:val="2C3E50"/>
          <w:sz w:val="22"/>
          <w:szCs w:val="22"/>
        </w:rPr>
        <w:t xml:space="preserve">Supervisors are responsible for ensuring all group members maintain current certifications. Supervisors will be notified when a group member’s certification is within 14 days of expiry.</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8.3  Buddy System &amp; Lone-Worker Policy</w:t>
      </w:r>
    </w:p>
    <w:p>
      <w:pPr>
        <w:spacing w:after="80" w:before="60"/>
      </w:pPr>
      <w:r>
        <w:rPr>
          <w:rFonts w:ascii="Arial" w:cs="Arial" w:eastAsia="Arial" w:hAnsi="Arial"/>
          <w:color w:val="2C3E50"/>
          <w:sz w:val="22"/>
          <w:szCs w:val="22"/>
        </w:rPr>
        <w:t xml:space="preserve">The buddy requirements below fulfil the University’s lone-worker policy and relevant COSHH risk assessment controls. Working alone in contravention of these requirements is a serious safety violation.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Zone / Situation</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Lone-Worker Rule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A (ISO 5)</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Two certified users must be present during any high-hazard process listed in the Zone A Hazard Register.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B (ISO 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Solo work permitted for non-chemical processes only. Any wet chemistry requires a buddy actively present.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Zone C (ISO 7)</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Solo work permitted for credentialled users 8:00–22:00. Outside these hours, written supervisor approval and notification to University Security are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HF, piranha, or pyrophoric gas 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Buddy must be present and actively monitoring — not merely present elsewhere in the building.</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Out-of-hours (any zone, outside 8:00–22:00)</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Notify University Security before entry and upon exit. Emergency contact number must be left with Security.</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8.4  New Student Onboarding Checklist</w:t>
      </w:r>
    </w:p>
    <w:p>
      <w:pPr>
        <w:pStyle w:val="ListParagraph"/>
        <w:numPr>
          <w:ilvl w:val="0"/>
          <w:numId w:val="2"/>
        </w:numPr>
        <w:spacing w:after="40" w:before="40"/>
      </w:pPr>
      <w:r>
        <w:rPr>
          <w:rFonts w:ascii="Arial" w:cs="Arial" w:eastAsia="Arial" w:hAnsi="Arial"/>
          <w:color w:val="2C3E50"/>
          <w:sz w:val="22"/>
          <w:szCs w:val="22"/>
        </w:rPr>
        <w:t xml:space="preserve">Level 1 online module completed (certificate emailed to Facility Manager)</w:t>
      </w:r>
    </w:p>
    <w:p>
      <w:pPr>
        <w:pStyle w:val="ListParagraph"/>
        <w:numPr>
          <w:ilvl w:val="0"/>
          <w:numId w:val="2"/>
        </w:numPr>
        <w:spacing w:after="40" w:before="40"/>
      </w:pPr>
      <w:r>
        <w:rPr>
          <w:rFonts w:ascii="Arial" w:cs="Arial" w:eastAsia="Arial" w:hAnsi="Arial"/>
          <w:color w:val="2C3E50"/>
          <w:sz w:val="22"/>
          <w:szCs w:val="22"/>
        </w:rPr>
        <w:t xml:space="preserve">Level 1 gowning assessment passed (signed off by Facility Manager)</w:t>
      </w:r>
    </w:p>
    <w:p>
      <w:pPr>
        <w:pStyle w:val="ListParagraph"/>
        <w:numPr>
          <w:ilvl w:val="0"/>
          <w:numId w:val="2"/>
        </w:numPr>
        <w:spacing w:after="40" w:before="40"/>
      </w:pPr>
      <w:r>
        <w:rPr>
          <w:rFonts w:ascii="Arial" w:cs="Arial" w:eastAsia="Arial" w:hAnsi="Arial"/>
          <w:color w:val="2C3E50"/>
          <w:sz w:val="22"/>
          <w:szCs w:val="22"/>
        </w:rPr>
        <w:t xml:space="preserve">Facility access card issued and tested</w:t>
      </w:r>
    </w:p>
    <w:p>
      <w:pPr>
        <w:pStyle w:val="ListParagraph"/>
        <w:numPr>
          <w:ilvl w:val="0"/>
          <w:numId w:val="2"/>
        </w:numPr>
        <w:spacing w:after="40" w:before="40"/>
      </w:pPr>
      <w:r>
        <w:rPr>
          <w:rFonts w:ascii="Arial" w:cs="Arial" w:eastAsia="Arial" w:hAnsi="Arial"/>
          <w:color w:val="2C3E50"/>
          <w:sz w:val="22"/>
          <w:szCs w:val="22"/>
        </w:rPr>
        <w:t xml:space="preserve">Emergency contacts and equipment locations reviewed during orientation tour</w:t>
      </w:r>
    </w:p>
    <w:p>
      <w:pPr>
        <w:pStyle w:val="ListParagraph"/>
        <w:numPr>
          <w:ilvl w:val="0"/>
          <w:numId w:val="2"/>
        </w:numPr>
        <w:spacing w:after="40" w:before="40"/>
      </w:pPr>
      <w:r>
        <w:rPr>
          <w:rFonts w:ascii="Arial" w:cs="Arial" w:eastAsia="Arial" w:hAnsi="Arial"/>
          <w:color w:val="2C3E50"/>
          <w:sz w:val="22"/>
          <w:szCs w:val="22"/>
        </w:rPr>
        <w:t xml:space="preserve">FOM scheduling portal account created and confirmed</w:t>
      </w:r>
    </w:p>
    <w:p>
      <w:pPr>
        <w:pStyle w:val="ListParagraph"/>
        <w:numPr>
          <w:ilvl w:val="0"/>
          <w:numId w:val="2"/>
        </w:numPr>
        <w:spacing w:after="40" w:before="40"/>
      </w:pPr>
      <w:r>
        <w:rPr>
          <w:rFonts w:ascii="Arial" w:cs="Arial" w:eastAsia="Arial" w:hAnsi="Arial"/>
          <w:color w:val="2C3E50"/>
          <w:sz w:val="22"/>
          <w:szCs w:val="22"/>
        </w:rPr>
        <w:t xml:space="preserve">COSHH assessments for intended processes reviewed and signed</w:t>
      </w:r>
    </w:p>
    <w:p>
      <w:pPr>
        <w:pStyle w:val="ListParagraph"/>
        <w:numPr>
          <w:ilvl w:val="0"/>
          <w:numId w:val="2"/>
        </w:numPr>
        <w:spacing w:after="40" w:before="40"/>
      </w:pPr>
      <w:r>
        <w:rPr>
          <w:rFonts w:ascii="Arial" w:cs="Arial" w:eastAsia="Arial" w:hAnsi="Arial"/>
          <w:color w:val="2C3E50"/>
          <w:sz w:val="22"/>
          <w:szCs w:val="22"/>
        </w:rPr>
        <w:t xml:space="preserve">This guide read in full and acknowledgement form signed (Section 12)</w:t>
      </w:r>
    </w:p>
    <w:p>
      <w:pPr>
        <w:pStyle w:val="ListParagraph"/>
        <w:numPr>
          <w:ilvl w:val="0"/>
          <w:numId w:val="2"/>
        </w:numPr>
        <w:spacing w:after="40" w:before="40"/>
      </w:pPr>
      <w:r>
        <w:rPr>
          <w:rFonts w:ascii="Arial" w:cs="Arial" w:eastAsia="Arial" w:hAnsi="Arial"/>
          <w:color w:val="2C3E50"/>
          <w:sz w:val="22"/>
          <w:szCs w:val="22"/>
        </w:rPr>
        <w:t xml:space="preserve">Supervisor authorisation on file with Facility Manager</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8.5  Visitor &amp; External Collaborator Access</w:t>
      </w:r>
    </w:p>
    <w:p>
      <w:pPr>
        <w:pStyle w:val="ListParagraph"/>
        <w:numPr>
          <w:ilvl w:val="0"/>
          <w:numId w:val="2"/>
        </w:numPr>
        <w:spacing w:after="40" w:before="40"/>
      </w:pPr>
      <w:r>
        <w:rPr>
          <w:rFonts w:ascii="Arial" w:cs="Arial" w:eastAsia="Arial" w:hAnsi="Arial"/>
          <w:color w:val="2C3E50"/>
          <w:sz w:val="22"/>
          <w:szCs w:val="22"/>
        </w:rPr>
        <w:t xml:space="preserve">Visiting researchers must provide a letter of authorisation from their home institution and from the hosting supervisor.</w:t>
      </w:r>
    </w:p>
    <w:p>
      <w:pPr>
        <w:pStyle w:val="ListParagraph"/>
        <w:numPr>
          <w:ilvl w:val="0"/>
          <w:numId w:val="2"/>
        </w:numPr>
        <w:spacing w:after="40" w:before="40"/>
      </w:pPr>
      <w:r>
        <w:rPr>
          <w:rFonts w:ascii="Arial" w:cs="Arial" w:eastAsia="Arial" w:hAnsi="Arial"/>
          <w:color w:val="2C3E50"/>
          <w:sz w:val="22"/>
          <w:szCs w:val="22"/>
        </w:rPr>
        <w:t xml:space="preserve">Level 1 certification must be completed before any access is granted (no exceptions for seniority or external credentials).</w:t>
      </w:r>
    </w:p>
    <w:p>
      <w:pPr>
        <w:pStyle w:val="ListParagraph"/>
        <w:numPr>
          <w:ilvl w:val="0"/>
          <w:numId w:val="2"/>
        </w:numPr>
        <w:spacing w:after="40" w:before="40"/>
      </w:pPr>
      <w:r>
        <w:rPr>
          <w:rFonts w:ascii="Arial" w:cs="Arial" w:eastAsia="Arial" w:hAnsi="Arial"/>
          <w:color w:val="2C3E50"/>
          <w:sz w:val="22"/>
          <w:szCs w:val="22"/>
        </w:rPr>
        <w:t xml:space="preserve">Visitors must be accompanied by a Level 3-certified facility user for all Zone A work during their first two weeks.</w:t>
      </w:r>
    </w:p>
    <w:p>
      <w:pPr>
        <w:pStyle w:val="ListParagraph"/>
        <w:numPr>
          <w:ilvl w:val="0"/>
          <w:numId w:val="2"/>
        </w:numPr>
        <w:spacing w:after="40" w:before="40"/>
      </w:pPr>
      <w:r>
        <w:rPr>
          <w:rFonts w:ascii="Arial" w:cs="Arial" w:eastAsia="Arial" w:hAnsi="Arial"/>
          <w:color w:val="2C3E50"/>
          <w:sz w:val="22"/>
          <w:szCs w:val="22"/>
        </w:rPr>
        <w:t xml:space="preserve">Short-term visitor access must be renewed every 90 days.</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9.  Contamination Control &amp; Cleanroom Etiquette</w:t>
      </w:r>
    </w:p>
    <w:p>
      <w:pPr>
        <w:spacing w:after="80" w:before="60"/>
      </w:pPr>
      <w:r>
        <w:rPr>
          <w:rFonts w:ascii="Arial" w:cs="Arial" w:eastAsia="Arial" w:hAnsi="Arial"/>
          <w:color w:val="2C3E50"/>
          <w:sz w:val="22"/>
          <w:szCs w:val="22"/>
        </w:rPr>
        <w:t xml:space="preserve">A single particle on a photomask can ruin a lithography run. Trace metal ions can permanently degrade gate oxide quality. Every user’s behaviour directly affects every other user’s results. The controls in this section also support your COSHH obligations to minimise exposure at source.</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9.1  Prohibited Items &amp;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Prohibited Item / Behaviour</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Reason</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Food, beverages, chewing gum, tobacco products</w:t>
            </w:r>
          </w:p>
        </w:tc>
        <w:tc>
          <w:tcPr>
            <w:tcW w:type="dxa" w:w="6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Particle generation; chemical contamination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Cosmetics, lotions, perfume, hairspray (same-day application)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Outgassing; particle and VOC contamination</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Paper notebooks, cardboard, untreated wood, corrugated packaging</w:t>
            </w:r>
          </w:p>
        </w:tc>
        <w:tc>
          <w:tcPr>
            <w:tcW w:type="dxa" w:w="6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Severe particle shedding — use only cleanroom-grade notebooks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Standard pens and pencils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Use only cleanroom-compatible pens provided at zone entrances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Mobile phones / personal laptops not in anti-static cleanroom bag</w:t>
            </w:r>
          </w:p>
        </w:tc>
        <w:tc>
          <w:tcPr>
            <w:tcW w:type="dxa" w:w="6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Particle shedding, electrostatic discharge, outgassing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Running or rapid movement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Disturbs laminar airflow; dramatically increases particle counts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Jewellery (rings, bracelets, watches, earrings)</w:t>
            </w:r>
          </w:p>
        </w:tc>
        <w:tc>
          <w:tcPr>
            <w:tcW w:type="dxa" w:w="6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Particle shedding; contact hazard; cannot be properly covered by gown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Unauthorised photography or recording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Intellectual property and facility compliance policy</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9.2  Metal Contamination (CMOS Compatibility)</w:t>
      </w:r>
    </w:p>
    <w:p>
      <w:pPr>
        <w:pStyle w:val="ListParagraph"/>
        <w:numPr>
          <w:ilvl w:val="0"/>
          <w:numId w:val="2"/>
        </w:numPr>
        <w:spacing w:after="40" w:before="40"/>
      </w:pPr>
      <w:r>
        <w:rPr>
          <w:rFonts w:ascii="Arial" w:cs="Arial" w:eastAsia="Arial" w:hAnsi="Arial"/>
          <w:color w:val="2C3E50"/>
          <w:sz w:val="22"/>
          <w:szCs w:val="22"/>
        </w:rPr>
        <w:t xml:space="preserve">Metals of concern: Cu, Au, Ag, Fe, and Ni are prohibited on CMOS-compatible tools.</w:t>
      </w:r>
    </w:p>
    <w:p>
      <w:pPr>
        <w:pStyle w:val="ListParagraph"/>
        <w:numPr>
          <w:ilvl w:val="0"/>
          <w:numId w:val="2"/>
        </w:numPr>
        <w:spacing w:after="40" w:before="40"/>
      </w:pPr>
      <w:r>
        <w:rPr>
          <w:rFonts w:ascii="Arial" w:cs="Arial" w:eastAsia="Arial" w:hAnsi="Arial"/>
          <w:color w:val="2C3E50"/>
          <w:sz w:val="22"/>
          <w:szCs w:val="22"/>
        </w:rPr>
        <w:t xml:space="preserve">The metal contamination map posted at zone entrances identifies which tools are CMOS-compatible.</w:t>
      </w:r>
    </w:p>
    <w:p>
      <w:pPr>
        <w:pStyle w:val="ListParagraph"/>
        <w:numPr>
          <w:ilvl w:val="0"/>
          <w:numId w:val="2"/>
        </w:numPr>
        <w:spacing w:after="40" w:before="40"/>
      </w:pPr>
      <w:r>
        <w:rPr>
          <w:rFonts w:ascii="Arial" w:cs="Arial" w:eastAsia="Arial" w:hAnsi="Arial"/>
          <w:color w:val="2C3E50"/>
          <w:sz w:val="22"/>
          <w:szCs w:val="22"/>
        </w:rPr>
        <w:t xml:space="preserve">Samples that have contacted metal films or metal-doped layers must be labelled with the orange METALS sticker before any shared storage.</w:t>
      </w:r>
    </w:p>
    <w:p>
      <w:pPr>
        <w:pStyle w:val="ListParagraph"/>
        <w:numPr>
          <w:ilvl w:val="0"/>
          <w:numId w:val="2"/>
        </w:numPr>
        <w:spacing w:after="40" w:before="40"/>
      </w:pPr>
      <w:r>
        <w:rPr>
          <w:rFonts w:ascii="Arial" w:cs="Arial" w:eastAsia="Arial" w:hAnsi="Arial"/>
          <w:color w:val="2C3E50"/>
          <w:sz w:val="22"/>
          <w:szCs w:val="22"/>
        </w:rPr>
        <w:t xml:space="preserve">If you suspect a CMOS-compatible tool has been contaminated, halt your run and contact the Facility Manager before proceeding.</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9.3  Organic Contamination</w:t>
      </w:r>
    </w:p>
    <w:p>
      <w:pPr>
        <w:pStyle w:val="ListParagraph"/>
        <w:numPr>
          <w:ilvl w:val="0"/>
          <w:numId w:val="2"/>
        </w:numPr>
        <w:spacing w:after="40" w:before="40"/>
      </w:pPr>
      <w:r>
        <w:rPr>
          <w:rFonts w:ascii="Arial" w:cs="Arial" w:eastAsia="Arial" w:hAnsi="Arial"/>
          <w:color w:val="2C3E50"/>
          <w:sz w:val="22"/>
          <w:szCs w:val="22"/>
        </w:rPr>
        <w:t xml:space="preserve">Never bring samples that have contacted photoresist, PDMS, polymers, adhesives, or biological material into Zone A unless they have been fully cleaned and documented as organic-free.</w:t>
      </w:r>
    </w:p>
    <w:p>
      <w:pPr>
        <w:pStyle w:val="ListParagraph"/>
        <w:numPr>
          <w:ilvl w:val="0"/>
          <w:numId w:val="2"/>
        </w:numPr>
        <w:spacing w:after="40" w:before="40"/>
      </w:pPr>
      <w:r>
        <w:rPr>
          <w:rFonts w:ascii="Arial" w:cs="Arial" w:eastAsia="Arial" w:hAnsi="Arial"/>
          <w:color w:val="2C3E50"/>
          <w:sz w:val="22"/>
          <w:szCs w:val="22"/>
        </w:rPr>
        <w:t xml:space="preserve">Solvents used for cleaning must be disposed of in the correct waste stream — never rinsed down the drain.</w:t>
      </w:r>
    </w:p>
    <w:p>
      <w:pPr>
        <w:pStyle w:val="ListParagraph"/>
        <w:numPr>
          <w:ilvl w:val="0"/>
          <w:numId w:val="2"/>
        </w:numPr>
        <w:spacing w:after="40" w:before="40"/>
      </w:pPr>
      <w:r>
        <w:rPr>
          <w:rFonts w:ascii="Arial" w:cs="Arial" w:eastAsia="Arial" w:hAnsi="Arial"/>
          <w:color w:val="2C3E50"/>
          <w:sz w:val="22"/>
          <w:szCs w:val="22"/>
        </w:rPr>
        <w:t xml:space="preserve">After any solvent-based cleaning step, inspect the sample surface under the microscope before proceeding.</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9.4  Cross-Contamination Between Zones</w:t>
      </w:r>
    </w:p>
    <w:p>
      <w:pPr>
        <w:pStyle w:val="ListParagraph"/>
        <w:numPr>
          <w:ilvl w:val="0"/>
          <w:numId w:val="2"/>
        </w:numPr>
        <w:spacing w:after="40" w:before="40"/>
      </w:pPr>
      <w:r>
        <w:rPr>
          <w:rFonts w:ascii="Arial" w:cs="Arial" w:eastAsia="Arial" w:hAnsi="Arial"/>
          <w:color w:val="2C3E50"/>
          <w:sz w:val="22"/>
          <w:szCs w:val="22"/>
        </w:rPr>
        <w:t xml:space="preserve">Transport samples in closed, labelled carriers between zones. Open trays are not permitted in transit.</w:t>
      </w:r>
    </w:p>
    <w:p>
      <w:pPr>
        <w:pStyle w:val="ListParagraph"/>
        <w:numPr>
          <w:ilvl w:val="0"/>
          <w:numId w:val="2"/>
        </w:numPr>
        <w:spacing w:after="40" w:before="40"/>
      </w:pPr>
      <w:r>
        <w:rPr>
          <w:rFonts w:ascii="Arial" w:cs="Arial" w:eastAsia="Arial" w:hAnsi="Arial"/>
          <w:color w:val="2C3E50"/>
          <w:sz w:val="22"/>
          <w:szCs w:val="22"/>
        </w:rPr>
        <w:t xml:space="preserve">Document all sample movements between zones in the experiment logbook with zone names, direction, and time.</w:t>
      </w:r>
    </w:p>
    <w:p>
      <w:pPr>
        <w:pStyle w:val="ListParagraph"/>
        <w:numPr>
          <w:ilvl w:val="0"/>
          <w:numId w:val="2"/>
        </w:numPr>
        <w:spacing w:after="40" w:before="40"/>
      </w:pPr>
      <w:r>
        <w:rPr>
          <w:rFonts w:ascii="Arial" w:cs="Arial" w:eastAsia="Arial" w:hAnsi="Arial"/>
          <w:color w:val="2C3E50"/>
          <w:sz w:val="22"/>
          <w:szCs w:val="22"/>
        </w:rPr>
        <w:t xml:space="preserve">Samples that have undergone wet etching must be DI-water-rinsed and blow-dried before transport.</w:t>
      </w:r>
    </w:p>
    <w:p>
      <w:pPr>
        <w:pStyle w:val="ListParagraph"/>
        <w:numPr>
          <w:ilvl w:val="0"/>
          <w:numId w:val="2"/>
        </w:numPr>
        <w:spacing w:after="40" w:before="40"/>
      </w:pPr>
      <w:r>
        <w:rPr>
          <w:rFonts w:ascii="Arial" w:cs="Arial" w:eastAsia="Arial" w:hAnsi="Arial"/>
          <w:color w:val="2C3E50"/>
          <w:sz w:val="22"/>
          <w:szCs w:val="22"/>
        </w:rPr>
        <w:t xml:space="preserve">Samples that have contacted HF, implanted dopants (B, As, P), or radioactive tracers must follow the quarantine labelling procedure posted at the Zone B exit.</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9.5  Electrostatic Discharge (ESD) Awareness</w:t>
      </w:r>
    </w:p>
    <w:p>
      <w:pPr>
        <w:pStyle w:val="ListParagraph"/>
        <w:numPr>
          <w:ilvl w:val="0"/>
          <w:numId w:val="2"/>
        </w:numPr>
        <w:spacing w:after="40" w:before="40"/>
      </w:pPr>
      <w:r>
        <w:rPr>
          <w:rFonts w:ascii="Arial" w:cs="Arial" w:eastAsia="Arial" w:hAnsi="Arial"/>
          <w:color w:val="2C3E50"/>
          <w:sz w:val="22"/>
          <w:szCs w:val="22"/>
        </w:rPr>
        <w:t xml:space="preserve">Wear ESD wrist straps when handling bare die or sensitive MEMS/photonic devices — straps are available at the Zone C metrology bench.</w:t>
      </w:r>
    </w:p>
    <w:p>
      <w:pPr>
        <w:pStyle w:val="ListParagraph"/>
        <w:numPr>
          <w:ilvl w:val="0"/>
          <w:numId w:val="2"/>
        </w:numPr>
        <w:spacing w:after="40" w:before="40"/>
      </w:pPr>
      <w:r>
        <w:rPr>
          <w:rFonts w:ascii="Arial" w:cs="Arial" w:eastAsia="Arial" w:hAnsi="Arial"/>
          <w:color w:val="2C3E50"/>
          <w:sz w:val="22"/>
          <w:szCs w:val="22"/>
        </w:rPr>
        <w:t xml:space="preserve">Store ESD-sensitive samples in anti-static bags between process steps.</w:t>
      </w:r>
    </w:p>
    <w:p>
      <w:pPr>
        <w:pStyle w:val="ListParagraph"/>
        <w:numPr>
          <w:ilvl w:val="0"/>
          <w:numId w:val="2"/>
        </w:numPr>
        <w:spacing w:after="40" w:before="40"/>
      </w:pPr>
      <w:r>
        <w:rPr>
          <w:rFonts w:ascii="Arial" w:cs="Arial" w:eastAsia="Arial" w:hAnsi="Arial"/>
          <w:color w:val="2C3E50"/>
          <w:sz w:val="22"/>
          <w:szCs w:val="22"/>
        </w:rPr>
        <w:t xml:space="preserve">The gowning room floor and workbench surfaces are ESD-controlled. Do not introduce non-ESD-safe mats or non-conductive containers without approval.</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10.  Incident Reporting &amp; Documentation</w:t>
      </w:r>
    </w:p>
    <w:p>
      <w:pPr>
        <w:spacing w:after="80" w:before="60"/>
      </w:pPr>
      <w:r>
        <w:rPr>
          <w:rFonts w:ascii="Arial" w:cs="Arial" w:eastAsia="Arial" w:hAnsi="Arial"/>
          <w:color w:val="2C3E50"/>
          <w:sz w:val="22"/>
          <w:szCs w:val="22"/>
        </w:rPr>
        <w:t xml:space="preserve">All incidents — including near-misses — must be reported promptly. Under RIDDOR 2013, certain categories of workplace incident are legally notifiable to the Health and Safety Executive (HSE). The University Safety Office manages RIDDOR notifications on behalf of the institution. Reporting is never punitive; failure to report is both a policy violation and, in RIDDOR-notifiable cases, a potential statutory offence.</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10.1  RIDDOR-Notifiable Categories</w:t>
      </w:r>
    </w:p>
    <w:p>
      <w:pPr>
        <w:spacing w:after="80" w:before="60"/>
      </w:pPr>
      <w:r>
        <w:rPr>
          <w:rFonts w:ascii="Arial" w:cs="Arial" w:eastAsia="Arial" w:hAnsi="Arial"/>
          <w:color w:val="2C3E50"/>
          <w:sz w:val="22"/>
          <w:szCs w:val="22"/>
        </w:rPr>
        <w:t xml:space="preserve">The following must be reported to the University Safety Office immediately, who will assess RIDDOR notification obligations:</w:t>
      </w:r>
    </w:p>
    <w:p>
      <w:pPr>
        <w:pStyle w:val="ListParagraph"/>
        <w:numPr>
          <w:ilvl w:val="0"/>
          <w:numId w:val="2"/>
        </w:numPr>
        <w:spacing w:after="40" w:before="40"/>
      </w:pPr>
      <w:r>
        <w:rPr>
          <w:rFonts w:ascii="Arial" w:cs="Arial" w:eastAsia="Arial" w:hAnsi="Arial"/>
          <w:color w:val="2C3E50"/>
          <w:sz w:val="22"/>
          <w:szCs w:val="22"/>
        </w:rPr>
        <w:t xml:space="preserve">Deaths or specified injuries (fractures, amputations, crush injuries, loss of consciousness, chemical burns requiring hospitalisation)</w:t>
      </w:r>
    </w:p>
    <w:p>
      <w:pPr>
        <w:pStyle w:val="ListParagraph"/>
        <w:numPr>
          <w:ilvl w:val="0"/>
          <w:numId w:val="2"/>
        </w:numPr>
        <w:spacing w:after="40" w:before="40"/>
      </w:pPr>
      <w:r>
        <w:rPr>
          <w:rFonts w:ascii="Arial" w:cs="Arial" w:eastAsia="Arial" w:hAnsi="Arial"/>
          <w:color w:val="2C3E50"/>
          <w:sz w:val="22"/>
          <w:szCs w:val="22"/>
        </w:rPr>
        <w:t xml:space="preserve">Injuries causing absence from work for more than seven consecutive days</w:t>
      </w:r>
    </w:p>
    <w:p>
      <w:pPr>
        <w:pStyle w:val="ListParagraph"/>
        <w:numPr>
          <w:ilvl w:val="0"/>
          <w:numId w:val="2"/>
        </w:numPr>
        <w:spacing w:after="40" w:before="40"/>
      </w:pPr>
      <w:r>
        <w:rPr>
          <w:rFonts w:ascii="Arial" w:cs="Arial" w:eastAsia="Arial" w:hAnsi="Arial"/>
          <w:color w:val="2C3E50"/>
          <w:sz w:val="22"/>
          <w:szCs w:val="22"/>
        </w:rPr>
        <w:t xml:space="preserve">Dangerous occurrences (near-misses from a prescribed list, including scaffold collapses, electrical incidents, and chemical releases)</w:t>
      </w:r>
    </w:p>
    <w:p>
      <w:pPr>
        <w:pStyle w:val="ListParagraph"/>
        <w:numPr>
          <w:ilvl w:val="0"/>
          <w:numId w:val="2"/>
        </w:numPr>
        <w:spacing w:after="40" w:before="40"/>
      </w:pPr>
      <w:r>
        <w:rPr>
          <w:rFonts w:ascii="Arial" w:cs="Arial" w:eastAsia="Arial" w:hAnsi="Arial"/>
          <w:color w:val="2C3E50"/>
          <w:sz w:val="22"/>
          <w:szCs w:val="22"/>
        </w:rPr>
        <w:t xml:space="preserve">Occupational diseases attributable to work activities</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10.2  What Must Be Reported Internally (All Incidents)</w:t>
      </w:r>
    </w:p>
    <w:p>
      <w:pPr>
        <w:pStyle w:val="ListParagraph"/>
        <w:numPr>
          <w:ilvl w:val="0"/>
          <w:numId w:val="2"/>
        </w:numPr>
        <w:spacing w:after="40" w:before="40"/>
      </w:pPr>
      <w:r>
        <w:rPr>
          <w:rFonts w:ascii="Arial" w:cs="Arial" w:eastAsia="Arial" w:hAnsi="Arial"/>
          <w:color w:val="2C3E50"/>
          <w:sz w:val="22"/>
          <w:szCs w:val="22"/>
        </w:rPr>
        <w:t xml:space="preserve">Any chemical exposure to skin, eyes, or respiratory tract</w:t>
      </w:r>
    </w:p>
    <w:p>
      <w:pPr>
        <w:pStyle w:val="ListParagraph"/>
        <w:numPr>
          <w:ilvl w:val="0"/>
          <w:numId w:val="2"/>
        </w:numPr>
        <w:spacing w:after="40" w:before="40"/>
      </w:pPr>
      <w:r>
        <w:rPr>
          <w:rFonts w:ascii="Arial" w:cs="Arial" w:eastAsia="Arial" w:hAnsi="Arial"/>
          <w:color w:val="2C3E50"/>
          <w:sz w:val="22"/>
          <w:szCs w:val="22"/>
        </w:rPr>
        <w:t xml:space="preserve">Any physical injury sustained in the cleanroom, however minor</w:t>
      </w:r>
    </w:p>
    <w:p>
      <w:pPr>
        <w:pStyle w:val="ListParagraph"/>
        <w:numPr>
          <w:ilvl w:val="0"/>
          <w:numId w:val="2"/>
        </w:numPr>
        <w:spacing w:after="40" w:before="40"/>
      </w:pPr>
      <w:r>
        <w:rPr>
          <w:rFonts w:ascii="Arial" w:cs="Arial" w:eastAsia="Arial" w:hAnsi="Arial"/>
          <w:color w:val="2C3E50"/>
          <w:sz w:val="22"/>
          <w:szCs w:val="22"/>
        </w:rPr>
        <w:t xml:space="preserve">Equipment malfunctions that could pose a safety risk to others</w:t>
      </w:r>
    </w:p>
    <w:p>
      <w:pPr>
        <w:pStyle w:val="ListParagraph"/>
        <w:numPr>
          <w:ilvl w:val="0"/>
          <w:numId w:val="2"/>
        </w:numPr>
        <w:spacing w:after="40" w:before="40"/>
      </w:pPr>
      <w:r>
        <w:rPr>
          <w:rFonts w:ascii="Arial" w:cs="Arial" w:eastAsia="Arial" w:hAnsi="Arial"/>
          <w:color w:val="2C3E50"/>
          <w:sz w:val="22"/>
          <w:szCs w:val="22"/>
        </w:rPr>
        <w:t xml:space="preserve">Spills, releases, or uncontrolled discharges of any chemical</w:t>
      </w:r>
    </w:p>
    <w:p>
      <w:pPr>
        <w:pStyle w:val="ListParagraph"/>
        <w:numPr>
          <w:ilvl w:val="0"/>
          <w:numId w:val="2"/>
        </w:numPr>
        <w:spacing w:after="40" w:before="40"/>
      </w:pPr>
      <w:r>
        <w:rPr>
          <w:rFonts w:ascii="Arial" w:cs="Arial" w:eastAsia="Arial" w:hAnsi="Arial"/>
          <w:color w:val="2C3E50"/>
          <w:sz w:val="22"/>
          <w:szCs w:val="22"/>
        </w:rPr>
        <w:t xml:space="preserve">Near-miss events: situations that could have caused injury or damage but did not</w:t>
      </w:r>
    </w:p>
    <w:p>
      <w:pPr>
        <w:pStyle w:val="ListParagraph"/>
        <w:numPr>
          <w:ilvl w:val="0"/>
          <w:numId w:val="2"/>
        </w:numPr>
        <w:spacing w:after="40" w:before="40"/>
      </w:pPr>
      <w:r>
        <w:rPr>
          <w:rFonts w:ascii="Arial" w:cs="Arial" w:eastAsia="Arial" w:hAnsi="Arial"/>
          <w:color w:val="2C3E50"/>
          <w:sz w:val="22"/>
          <w:szCs w:val="22"/>
        </w:rPr>
        <w:t xml:space="preserve">Suspected cross-contamination of a CMOS-compatible tool</w:t>
      </w:r>
    </w:p>
    <w:p>
      <w:pPr>
        <w:pStyle w:val="ListParagraph"/>
        <w:numPr>
          <w:ilvl w:val="0"/>
          <w:numId w:val="2"/>
        </w:numPr>
        <w:spacing w:after="40" w:before="40"/>
      </w:pPr>
      <w:r>
        <w:rPr>
          <w:rFonts w:ascii="Arial" w:cs="Arial" w:eastAsia="Arial" w:hAnsi="Arial"/>
          <w:color w:val="2C3E50"/>
          <w:sz w:val="22"/>
          <w:szCs w:val="22"/>
        </w:rPr>
        <w:t xml:space="preserve">Observation of prohibited items or behaviours in the cleanroom</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10.3  Reporting Steps</w:t>
      </w:r>
    </w:p>
    <w:p>
      <w:pPr>
        <w:pStyle w:val="ListParagraph"/>
        <w:numPr>
          <w:ilvl w:val="0"/>
          <w:numId w:val="3"/>
        </w:numPr>
        <w:spacing w:after="40" w:before="40"/>
      </w:pPr>
      <w:r>
        <w:rPr>
          <w:rFonts w:ascii="Arial" w:cs="Arial" w:eastAsia="Arial" w:hAnsi="Arial"/>
          <w:color w:val="2C3E50"/>
          <w:sz w:val="22"/>
          <w:szCs w:val="22"/>
        </w:rPr>
        <w:t xml:space="preserve">Ensure immediate safety of all persons involved (see Section 7) before beginning reporting.</w:t>
      </w:r>
    </w:p>
    <w:p>
      <w:pPr>
        <w:pStyle w:val="ListParagraph"/>
        <w:numPr>
          <w:ilvl w:val="0"/>
          <w:numId w:val="3"/>
        </w:numPr>
        <w:spacing w:after="40" w:before="40"/>
      </w:pPr>
      <w:r>
        <w:rPr>
          <w:rFonts w:ascii="Arial" w:cs="Arial" w:eastAsia="Arial" w:hAnsi="Arial"/>
          <w:color w:val="2C3E50"/>
          <w:sz w:val="22"/>
          <w:szCs w:val="22"/>
        </w:rPr>
        <w:t xml:space="preserve">Notify the Facility Manager by phone for any chemical incident or injury — do not wait until end of day.</w:t>
      </w:r>
    </w:p>
    <w:p>
      <w:pPr>
        <w:pStyle w:val="ListParagraph"/>
        <w:numPr>
          <w:ilvl w:val="0"/>
          <w:numId w:val="3"/>
        </w:numPr>
        <w:spacing w:after="40" w:before="40"/>
      </w:pPr>
      <w:r>
        <w:rPr>
          <w:rFonts w:ascii="Arial" w:cs="Arial" w:eastAsia="Arial" w:hAnsi="Arial"/>
          <w:color w:val="2C3E50"/>
          <w:sz w:val="22"/>
          <w:szCs w:val="22"/>
        </w:rPr>
        <w:t xml:space="preserve">Contact the University Safety Office if the incident may be RIDDOR-notifiable.</w:t>
      </w:r>
    </w:p>
    <w:p>
      <w:pPr>
        <w:pStyle w:val="ListParagraph"/>
        <w:numPr>
          <w:ilvl w:val="0"/>
          <w:numId w:val="3"/>
        </w:numPr>
        <w:spacing w:after="40" w:before="40"/>
      </w:pPr>
      <w:r>
        <w:rPr>
          <w:rFonts w:ascii="Arial" w:cs="Arial" w:eastAsia="Arial" w:hAnsi="Arial"/>
          <w:color w:val="2C3E50"/>
          <w:sz w:val="22"/>
          <w:szCs w:val="22"/>
        </w:rPr>
        <w:t xml:space="preserve">Complete the University’s online Incident Report Form within 24 hours of the event.</w:t>
      </w:r>
    </w:p>
    <w:p>
      <w:pPr>
        <w:pStyle w:val="ListParagraph"/>
        <w:numPr>
          <w:ilvl w:val="0"/>
          <w:numId w:val="3"/>
        </w:numPr>
        <w:spacing w:after="40" w:before="40"/>
      </w:pPr>
      <w:r>
        <w:rPr>
          <w:rFonts w:ascii="Arial" w:cs="Arial" w:eastAsia="Arial" w:hAnsi="Arial"/>
          <w:color w:val="2C3E50"/>
          <w:sz w:val="22"/>
          <w:szCs w:val="22"/>
        </w:rPr>
        <w:t xml:space="preserve">Inform your supervisor directly — they will also receive an automated notification.</w:t>
      </w:r>
    </w:p>
    <w:p>
      <w:pPr>
        <w:pStyle w:val="ListParagraph"/>
        <w:numPr>
          <w:ilvl w:val="0"/>
          <w:numId w:val="3"/>
        </w:numPr>
        <w:spacing w:after="40" w:before="40"/>
      </w:pPr>
      <w:r>
        <w:rPr>
          <w:rFonts w:ascii="Arial" w:cs="Arial" w:eastAsia="Arial" w:hAnsi="Arial"/>
          <w:color w:val="2C3E50"/>
          <w:sz w:val="22"/>
          <w:szCs w:val="22"/>
        </w:rPr>
        <w:t xml:space="preserve">Cooperate fully with any Safety Office or HSE investigation. Preserve the incident scene until cleared.</w:t>
      </w:r>
    </w:p>
    <w:p>
      <w:pPr>
        <w:spacing w:after="0" w:before="100"/>
      </w:pPr>
      <w:r>
        <w:t xml:space="preserve"/>
      </w:r>
    </w:p>
    <w:p>
      <w:pPr>
        <w:pStyle w:val="Heading2"/>
        <w:spacing w:after="120" w:before="240"/>
      </w:pPr>
      <w:r>
        <w:rPr>
          <w:rFonts w:ascii="Arial" w:cs="Arial" w:eastAsia="Arial" w:hAnsi="Arial"/>
          <w:b/>
          <w:bCs/>
          <w:color w:val="0E7C86"/>
          <w:sz w:val="26"/>
          <w:szCs w:val="26"/>
        </w:rPr>
        <w:t xml:space="preserve">10.4  Logbook Standards</w:t>
      </w:r>
    </w:p>
    <w:p>
      <w:pPr>
        <w:spacing w:after="80" w:before="60"/>
      </w:pPr>
      <w:r>
        <w:rPr>
          <w:rFonts w:ascii="Arial" w:cs="Arial" w:eastAsia="Arial" w:hAnsi="Arial"/>
          <w:color w:val="2C3E50"/>
          <w:sz w:val="22"/>
          <w:szCs w:val="22"/>
        </w:rPr>
        <w:t xml:space="preserve">Logbooks are legal documents and may be inspected by the HSE or University Safety Office. The following standards apply:</w:t>
      </w:r>
    </w:p>
    <w:p>
      <w:pPr>
        <w:pStyle w:val="ListParagraph"/>
        <w:numPr>
          <w:ilvl w:val="0"/>
          <w:numId w:val="2"/>
        </w:numPr>
        <w:spacing w:after="40" w:before="40"/>
      </w:pPr>
      <w:r>
        <w:rPr>
          <w:rFonts w:ascii="Arial" w:cs="Arial" w:eastAsia="Arial" w:hAnsi="Arial"/>
          <w:color w:val="2C3E50"/>
          <w:sz w:val="22"/>
          <w:szCs w:val="22"/>
        </w:rPr>
        <w:t xml:space="preserve">Record every experiment: date, full name, experiment reference, process, substances used (name and concentration), equipment used, and start/end times.</w:t>
      </w:r>
    </w:p>
    <w:p>
      <w:pPr>
        <w:pStyle w:val="ListParagraph"/>
        <w:numPr>
          <w:ilvl w:val="0"/>
          <w:numId w:val="2"/>
        </w:numPr>
        <w:spacing w:after="40" w:before="40"/>
      </w:pPr>
      <w:r>
        <w:rPr>
          <w:rFonts w:ascii="Arial" w:cs="Arial" w:eastAsia="Arial" w:hAnsi="Arial"/>
          <w:color w:val="2C3E50"/>
          <w:sz w:val="22"/>
          <w:szCs w:val="22"/>
        </w:rPr>
        <w:t xml:space="preserve">Entries must be made in real time — backdating or retroactive editing is prohibited.</w:t>
      </w:r>
    </w:p>
    <w:p>
      <w:pPr>
        <w:pStyle w:val="ListParagraph"/>
        <w:numPr>
          <w:ilvl w:val="0"/>
          <w:numId w:val="2"/>
        </w:numPr>
        <w:spacing w:after="40" w:before="40"/>
      </w:pPr>
      <w:r>
        <w:rPr>
          <w:rFonts w:ascii="Arial" w:cs="Arial" w:eastAsia="Arial" w:hAnsi="Arial"/>
          <w:color w:val="2C3E50"/>
          <w:sz w:val="22"/>
          <w:szCs w:val="22"/>
        </w:rPr>
        <w:t xml:space="preserve">Errors must be crossed out with a single line; the correction written alongside with initials and date. Never use correction fluid or fully obscure original text.</w:t>
      </w:r>
    </w:p>
    <w:p>
      <w:pPr>
        <w:pStyle w:val="ListParagraph"/>
        <w:numPr>
          <w:ilvl w:val="0"/>
          <w:numId w:val="2"/>
        </w:numPr>
        <w:spacing w:after="40" w:before="40"/>
      </w:pPr>
      <w:r>
        <w:rPr>
          <w:rFonts w:ascii="Arial" w:cs="Arial" w:eastAsia="Arial" w:hAnsi="Arial"/>
          <w:color w:val="2C3E50"/>
          <w:sz w:val="22"/>
          <w:szCs w:val="22"/>
        </w:rPr>
        <w:t xml:space="preserve">If a tool fault is observed, log it before you leave the instrument, even if you have already reported it verbally.</w:t>
      </w:r>
    </w:p>
    <w:p>
      <w:pPr>
        <w:pStyle w:val="ListParagraph"/>
        <w:numPr>
          <w:ilvl w:val="0"/>
          <w:numId w:val="2"/>
        </w:numPr>
        <w:spacing w:after="40" w:before="40"/>
      </w:pPr>
      <w:r>
        <w:rPr>
          <w:rFonts w:ascii="Arial" w:cs="Arial" w:eastAsia="Arial" w:hAnsi="Arial"/>
          <w:color w:val="2C3E50"/>
          <w:sz w:val="22"/>
          <w:szCs w:val="22"/>
        </w:rPr>
        <w:t xml:space="preserve">Logbooks remain facility property and must not be removed from the cleanroom.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7" w:val="clear"/>
            <w:tcMar>
              <w:top w:type="dxa" w:w="100"/>
              <w:left w:type="dxa" w:w="160"/>
              <w:bottom w:type="dxa" w:w="60"/>
              <w:right w:type="dxa" w:w="160"/>
            </w:tcMar>
          </w:tcPr>
          <w:p>
            <w:pPr>
              <w:spacing w:after="0" w:before="0"/>
            </w:pPr>
            <w:r>
              <w:rPr>
                <w:rFonts w:ascii="Arial" w:cs="Arial" w:eastAsia="Arial" w:hAnsi="Arial"/>
                <w:b/>
                <w:bCs/>
                <w:color w:val="1B3A6B"/>
                <w:sz w:val="22"/>
                <w:szCs w:val="22"/>
              </w:rPr>
              <w:t xml:space="preserve">Documentation is your protection</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Accurate and timely records protect you in any equipment dispute or contamination investigation.</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They also satisfy COSHH, PUWER, and RIDDOR compliance requirements.</w:t>
            </w:r>
          </w:p>
        </w:tc>
      </w:tr>
      <w:tr>
        <w:tc>
          <w:tcPr>
            <w:tcBorders>
              <w:top w:val="single" w:color="CCCCCC" w:sz="1"/>
              <w:left w:val="single" w:color="CCCCCC" w:sz="1"/>
              <w:bottom w:val="single" w:color="CCCCCC" w:sz="1"/>
              <w:right w:val="single" w:color="CCCCCC" w:sz="1"/>
            </w:tcBorders>
            <w:shd w:fill="FFFFFF" w:val="clear"/>
            <w:tcMar>
              <w:top w:type="dxa" w:w="50"/>
              <w:left w:type="dxa" w:w="160"/>
              <w:bottom w:type="dxa" w:w="50"/>
              <w:right w:type="dxa" w:w="160"/>
            </w:tcMar>
          </w:tcPr>
          <w:p>
            <w:pPr>
              <w:spacing w:after="0" w:before="0"/>
            </w:pPr>
            <w:r>
              <w:rPr>
                <w:rFonts w:ascii="Arial" w:cs="Arial" w:eastAsia="Arial" w:hAnsi="Arial"/>
                <w:color w:val="2C3E50"/>
                <w:sz w:val="21"/>
                <w:szCs w:val="21"/>
              </w:rPr>
              <w:t xml:space="preserve">•  Before leaving any tool station, spend 60 seconds completing your logbook entry — this habit has resolved many disputes and prevented many repeated mistakes.</w:t>
            </w:r>
          </w:p>
        </w:tc>
      </w:tr>
    </w:tbl>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11.  Policy Violations &amp; Enforcement</w:t>
      </w:r>
    </w:p>
    <w:p>
      <w:pPr>
        <w:spacing w:after="80" w:before="60"/>
      </w:pPr>
      <w:r>
        <w:rPr>
          <w:rFonts w:ascii="Arial" w:cs="Arial" w:eastAsia="Arial" w:hAnsi="Arial"/>
          <w:color w:val="2C3E50"/>
          <w:sz w:val="22"/>
          <w:szCs w:val="22"/>
        </w:rPr>
        <w:t xml:space="preserve">The facility operates on a tiered enforcement policy consistent with the University’s disciplinary procedures. The goal is correction and education — but repeated or serious violations will be escalated without exception. Certain serious violations may also constitute breaches of health and safety legislation and be referred to the HSE.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Tier</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Examples</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Consequence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Minor (first offence)</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Incorrect gowning, missing logbook entry, late cancellation</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Verbal warning from Facility Manager. Noted in user record.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Moderate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PPE non-compliance, unauthorised chemical use, repeated no-shows, working in an uncertified zone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Written warning. Mandatory retraining. Scheduling restriction up to 30 days. Supervisor notified.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Serious</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Violating buddy policy, bypassing a safety interlock, falsifying logbook entries, working under the influence</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Immediate suspension of facility access. Supervisor and Departmental Safety Officer notified. Reinstatement requires full retraining and Safety Committee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Severe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Deliberate violation, tampering with safety equipment, working under the influence of substances, unauthorised access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Permanent facility access revocation. Referral to University disciplinary committee and, where applicable, the HSE.</w:t>
            </w:r>
          </w:p>
        </w:tc>
      </w:tr>
    </w:tbl>
    <w:p>
      <w:pPr>
        <w:spacing w:after="0" w:before="120"/>
      </w:pPr>
      <w:r>
        <w:t xml:space="preserve"/>
      </w:r>
    </w:p>
    <w:p>
      <w:pPr>
        <w:pStyle w:val="Heading2"/>
        <w:spacing w:after="120" w:before="240"/>
      </w:pPr>
      <w:r>
        <w:rPr>
          <w:rFonts w:ascii="Arial" w:cs="Arial" w:eastAsia="Arial" w:hAnsi="Arial"/>
          <w:b/>
          <w:bCs/>
          <w:color w:val="0E7C86"/>
          <w:sz w:val="26"/>
          <w:szCs w:val="26"/>
        </w:rPr>
        <w:t xml:space="preserve">11.1  Responsibility Sharing</w:t>
      </w:r>
    </w:p>
    <w:p>
      <w:pPr>
        <w:pStyle w:val="ListParagraph"/>
        <w:numPr>
          <w:ilvl w:val="0"/>
          <w:numId w:val="2"/>
        </w:numPr>
        <w:spacing w:after="40" w:before="40"/>
      </w:pPr>
      <w:r>
        <w:rPr>
          <w:rFonts w:ascii="Arial" w:cs="Arial" w:eastAsia="Arial" w:hAnsi="Arial"/>
          <w:color w:val="2C3E50"/>
          <w:sz w:val="22"/>
          <w:szCs w:val="22"/>
        </w:rPr>
        <w:t xml:space="preserve">Graduate students are personally responsible for knowing and following all protocols in this guide.</w:t>
      </w:r>
    </w:p>
    <w:p>
      <w:pPr>
        <w:pStyle w:val="ListParagraph"/>
        <w:numPr>
          <w:ilvl w:val="0"/>
          <w:numId w:val="2"/>
        </w:numPr>
        <w:spacing w:after="40" w:before="40"/>
      </w:pPr>
      <w:r>
        <w:rPr>
          <w:rFonts w:ascii="Arial" w:cs="Arial" w:eastAsia="Arial" w:hAnsi="Arial"/>
          <w:color w:val="2C3E50"/>
          <w:sz w:val="22"/>
          <w:szCs w:val="22"/>
        </w:rPr>
        <w:t xml:space="preserve">Supervisors (principal investigators) bear institutional responsibility for the safety conduct of their group members under the Health and Safety at Work etc. Act 1974. A pattern of violations within a single group may trigger a supervisory review of the PI’s lab access privileges.</w:t>
      </w:r>
    </w:p>
    <w:p>
      <w:pPr>
        <w:pStyle w:val="ListParagraph"/>
        <w:numPr>
          <w:ilvl w:val="0"/>
          <w:numId w:val="2"/>
        </w:numPr>
        <w:spacing w:after="40" w:before="40"/>
      </w:pPr>
      <w:r>
        <w:rPr>
          <w:rFonts w:ascii="Arial" w:cs="Arial" w:eastAsia="Arial" w:hAnsi="Arial"/>
          <w:color w:val="2C3E50"/>
          <w:sz w:val="22"/>
          <w:szCs w:val="22"/>
        </w:rPr>
        <w:t xml:space="preserve">Facility staff are empowered to halt any activity they deem unsafe, even if it disrupts an ongoing experiment. Such interventions are not subject to appeal.</w:t>
      </w:r>
    </w:p>
    <w:p>
      <w:pPr>
        <w:pStyle w:val="ListParagraph"/>
        <w:numPr>
          <w:ilvl w:val="0"/>
          <w:numId w:val="2"/>
        </w:numPr>
        <w:spacing w:after="40" w:before="40"/>
      </w:pPr>
      <w:r>
        <w:rPr>
          <w:rFonts w:ascii="Arial" w:cs="Arial" w:eastAsia="Arial" w:hAnsi="Arial"/>
          <w:color w:val="2C3E50"/>
          <w:sz w:val="22"/>
          <w:szCs w:val="22"/>
        </w:rPr>
        <w:t xml:space="preserve">Peers: if you observe a safety violation, you are encouraged — and for serious violations, required — to report it. Reports made in good faith are treated confidentially.</w:t>
      </w:r>
    </w:p>
    <w:p>
      <w:pPr>
        <w:spacing w:after="0" w:before="120"/>
      </w:pPr>
      <w:r>
        <w:t xml:space="preserve"/>
      </w:r>
    </w:p>
    <w:p>
      <w:pPr>
        <w:pStyle w:val="Heading2"/>
        <w:spacing w:after="120" w:before="240"/>
      </w:pPr>
      <w:r>
        <w:rPr>
          <w:rFonts w:ascii="Arial" w:cs="Arial" w:eastAsia="Arial" w:hAnsi="Arial"/>
          <w:b/>
          <w:bCs/>
          <w:color w:val="0E7C86"/>
          <w:sz w:val="26"/>
          <w:szCs w:val="26"/>
        </w:rPr>
        <w:t xml:space="preserve">11.2  Good Samaritan Principle</w:t>
      </w:r>
    </w:p>
    <w:p>
      <w:pPr>
        <w:spacing w:after="80" w:before="60"/>
      </w:pPr>
      <w:r>
        <w:rPr>
          <w:rFonts w:ascii="Arial" w:cs="Arial" w:eastAsia="Arial" w:hAnsi="Arial"/>
          <w:color w:val="2C3E50"/>
          <w:sz w:val="22"/>
          <w:szCs w:val="22"/>
        </w:rPr>
        <w:t xml:space="preserve">Users who self-report a mistake, near-miss, or minor violation before it is independently discovered will receive reduced or waived disciplinary consequences for minor and moderate offences. The Good Samaritan principle does not apply to violations that resulted in injury to others, deliberate rule-breaking, or falsification of records.</w:t>
      </w:r>
    </w:p>
    <w:p>
      <w:pPr>
        <w:spacing w:after="0" w:before="80"/>
      </w:pPr>
      <w:r>
        <w:t xml:space="preserve"/>
      </w:r>
    </w:p>
    <w:p>
      <w:pPr>
        <w:pStyle w:val="Heading2"/>
        <w:spacing w:after="120" w:before="240"/>
      </w:pPr>
      <w:r>
        <w:rPr>
          <w:rFonts w:ascii="Arial" w:cs="Arial" w:eastAsia="Arial" w:hAnsi="Arial"/>
          <w:b/>
          <w:bCs/>
          <w:color w:val="0E7C86"/>
          <w:sz w:val="26"/>
          <w:szCs w:val="26"/>
        </w:rPr>
        <w:t xml:space="preserve">11.3  Appeals Process</w:t>
      </w:r>
    </w:p>
    <w:p>
      <w:pPr>
        <w:spacing w:after="80" w:before="60"/>
      </w:pPr>
      <w:r>
        <w:rPr>
          <w:rFonts w:ascii="Arial" w:cs="Arial" w:eastAsia="Arial" w:hAnsi="Arial"/>
          <w:color w:val="2C3E50"/>
          <w:sz w:val="22"/>
          <w:szCs w:val="22"/>
        </w:rPr>
        <w:t xml:space="preserve">Users who believe a violation finding is incorrect may submit a written appeal to the Facility Director within 10 working days of notification. A written decision will be issued within 15 working days. Access suspension remains in effect during the appeal period unless the Facility Director grants temporary reinstatement pending review.</w:t>
      </w:r>
    </w:p>
    <w:p>
      <w:r>
        <w:br w:type="page"/>
      </w:r>
    </w:p>
    <w:p>
      <w:pPr>
        <w:pStyle w:val="Heading1"/>
        <w:pBdr>
          <w:bottom w:val="single" w:color="0E7C86" w:sz="10" w:space="6"/>
        </w:pBdr>
        <w:spacing w:after="160" w:before="360"/>
      </w:pPr>
      <w:r>
        <w:rPr>
          <w:rFonts w:ascii="Arial" w:cs="Arial" w:eastAsia="Arial" w:hAnsi="Arial"/>
          <w:b/>
          <w:bCs/>
          <w:color w:val="1B3A6B"/>
          <w:sz w:val="30"/>
          <w:szCs w:val="30"/>
        </w:rPr>
        <w:t xml:space="preserve">12.  User Acknowledgement &amp; Certification Record</w:t>
      </w:r>
    </w:p>
    <w:p>
      <w:pPr>
        <w:spacing w:after="80" w:before="60"/>
      </w:pPr>
      <w:r>
        <w:rPr>
          <w:rFonts w:ascii="Arial" w:cs="Arial" w:eastAsia="Arial" w:hAnsi="Arial"/>
          <w:color w:val="2C3E50"/>
          <w:sz w:val="22"/>
          <w:szCs w:val="22"/>
        </w:rPr>
        <w:t xml:space="preserve">By signing below, you confirm that you have:</w:t>
      </w:r>
    </w:p>
    <w:p>
      <w:pPr>
        <w:pStyle w:val="ListParagraph"/>
        <w:numPr>
          <w:ilvl w:val="0"/>
          <w:numId w:val="2"/>
        </w:numPr>
        <w:spacing w:after="40" w:before="40"/>
      </w:pPr>
      <w:r>
        <w:rPr>
          <w:rFonts w:ascii="Arial" w:cs="Arial" w:eastAsia="Arial" w:hAnsi="Arial"/>
          <w:color w:val="2C3E50"/>
          <w:sz w:val="22"/>
          <w:szCs w:val="22"/>
        </w:rPr>
        <w:t xml:space="preserve">Read and understood this guide in its entirety</w:t>
      </w:r>
    </w:p>
    <w:p>
      <w:pPr>
        <w:pStyle w:val="ListParagraph"/>
        <w:numPr>
          <w:ilvl w:val="0"/>
          <w:numId w:val="2"/>
        </w:numPr>
        <w:spacing w:after="40" w:before="40"/>
      </w:pPr>
      <w:r>
        <w:rPr>
          <w:rFonts w:ascii="Arial" w:cs="Arial" w:eastAsia="Arial" w:hAnsi="Arial"/>
          <w:color w:val="2C3E50"/>
          <w:sz w:val="22"/>
          <w:szCs w:val="22"/>
        </w:rPr>
        <w:t xml:space="preserve">Been given the opportunity to ask questions and receive clarification from the Facility Manager</w:t>
      </w:r>
    </w:p>
    <w:p>
      <w:pPr>
        <w:pStyle w:val="ListParagraph"/>
        <w:numPr>
          <w:ilvl w:val="0"/>
          <w:numId w:val="2"/>
        </w:numPr>
        <w:spacing w:after="40" w:before="40"/>
      </w:pPr>
      <w:r>
        <w:rPr>
          <w:rFonts w:ascii="Arial" w:cs="Arial" w:eastAsia="Arial" w:hAnsi="Arial"/>
          <w:color w:val="2C3E50"/>
          <w:sz w:val="22"/>
          <w:szCs w:val="22"/>
        </w:rPr>
        <w:t xml:space="preserve">Understood your obligations under the Health and Safety at Work etc. Act 1974, COSHH Regulations 2002, and PUWER 1998</w:t>
      </w:r>
    </w:p>
    <w:p>
      <w:pPr>
        <w:pStyle w:val="ListParagraph"/>
        <w:numPr>
          <w:ilvl w:val="0"/>
          <w:numId w:val="2"/>
        </w:numPr>
        <w:spacing w:after="40" w:before="40"/>
      </w:pPr>
      <w:r>
        <w:rPr>
          <w:rFonts w:ascii="Arial" w:cs="Arial" w:eastAsia="Arial" w:hAnsi="Arial"/>
          <w:color w:val="2C3E50"/>
          <w:sz w:val="22"/>
          <w:szCs w:val="22"/>
        </w:rPr>
        <w:t xml:space="preserve">Agreed to comply with all stated protocols, procedures, and restrictions</w:t>
      </w:r>
    </w:p>
    <w:p>
      <w:pPr>
        <w:pStyle w:val="ListParagraph"/>
        <w:numPr>
          <w:ilvl w:val="0"/>
          <w:numId w:val="2"/>
        </w:numPr>
        <w:spacing w:after="40" w:before="40"/>
      </w:pPr>
      <w:r>
        <w:rPr>
          <w:rFonts w:ascii="Arial" w:cs="Arial" w:eastAsia="Arial" w:hAnsi="Arial"/>
          <w:color w:val="2C3E50"/>
          <w:sz w:val="22"/>
          <w:szCs w:val="22"/>
        </w:rPr>
        <w:t xml:space="preserve">Understood the consequences of non-compliance as described in Section 11</w:t>
      </w:r>
    </w:p>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Borders>
              <w:top w:val="none" w:color="FFFFFF" w:sz="0"/>
              <w:left w:val="none" w:color="FFFFFF" w:sz="0"/>
              <w:bottom w:val="none" w:color="FFFFFF" w:sz="0"/>
              <w:right w:val="none" w:color="FFFFFF" w:sz="0"/>
            </w:tcBorders>
            <w:tcMar>
              <w:top w:type="dxa" w:w="120"/>
              <w:left w:type="dxa" w:w="0"/>
              <w:bottom w:type="dxa" w:w="120"/>
              <w:right w:type="dxa" w:w="200"/>
            </w:tcMar>
          </w:tcPr>
          <w:p>
            <w:pPr>
              <w:spacing w:after="40" w:before="0"/>
            </w:pPr>
            <w:r>
              <w:rPr>
                <w:rFonts w:ascii="Arial" w:cs="Arial" w:eastAsia="Arial" w:hAnsi="Arial"/>
                <w:color w:val="7F8C8D"/>
                <w:sz w:val="19"/>
                <w:szCs w:val="19"/>
              </w:rPr>
              <w:t xml:space="preserve">Full Name (print)</w:t>
            </w:r>
          </w:p>
          <w:p>
            <w:pPr>
              <w:pBdr>
                <w:bottom w:val="single" w:color="2C3E50" w:sz="4" w:space="4"/>
              </w:pBdr>
              <w:spacing w:after="0" w:before="180"/>
            </w:pPr>
            <w:r>
              <w:t xml:space="preserve"/>
            </w:r>
          </w:p>
        </w:tc>
        <w:tc>
          <w:tcPr>
            <w:tcW w:type="dxa" w:w="16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Mar>
              <w:top w:type="dxa" w:w="120"/>
              <w:left w:type="dxa" w:w="0"/>
              <w:bottom w:type="dxa" w:w="120"/>
              <w:right w:type="dxa" w:w="200"/>
            </w:tcMar>
          </w:tcPr>
          <w:p>
            <w:pPr>
              <w:spacing w:after="40" w:before="0"/>
            </w:pPr>
            <w:r>
              <w:rPr>
                <w:rFonts w:ascii="Arial" w:cs="Arial" w:eastAsia="Arial" w:hAnsi="Arial"/>
                <w:color w:val="7F8C8D"/>
                <w:sz w:val="19"/>
                <w:szCs w:val="19"/>
              </w:rPr>
              <w:t xml:space="preserve">University ID / Staff Number</w:t>
            </w:r>
          </w:p>
          <w:p>
            <w:pPr>
              <w:pBdr>
                <w:bottom w:val="single" w:color="2C3E50" w:sz="4" w:space="4"/>
              </w:pBdr>
              <w:spacing w:after="0" w:before="180"/>
            </w:pPr>
            <w:r>
              <w:t xml:space="preserve"/>
            </w:r>
          </w:p>
        </w:tc>
      </w:tr>
      <w:tr>
        <w:tc>
          <w:tcPr>
            <w:tcBorders>
              <w:top w:val="none" w:color="FFFFFF" w:sz="0"/>
              <w:left w:val="none" w:color="FFFFFF" w:sz="0"/>
              <w:bottom w:val="none" w:color="FFFFFF" w:sz="0"/>
              <w:right w:val="none" w:color="FFFFFF" w:sz="0"/>
            </w:tcBorders>
          </w:tcPr>
          <w:p>
            <w:pPr>
              <w:spacing w:after="0" w:before="80"/>
            </w:pPr>
            <w:r>
              <w:t xml:space="preserve"/>
            </w:r>
          </w:p>
        </w:tc>
        <w:tc>
          <w:tcPr>
            <w:tcW w:type="dxa" w:w="16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pPr>
              <w:spacing w:after="0" w:before="80"/>
            </w:pPr>
            <w:r>
              <w:t xml:space="preserve"/>
            </w:r>
          </w:p>
        </w:tc>
      </w:tr>
      <w:tr>
        <w:tc>
          <w:tcPr>
            <w:tcBorders>
              <w:top w:val="none" w:color="FFFFFF" w:sz="0"/>
              <w:left w:val="none" w:color="FFFFFF" w:sz="0"/>
              <w:bottom w:val="none" w:color="FFFFFF" w:sz="0"/>
              <w:right w:val="none" w:color="FFFFFF" w:sz="0"/>
            </w:tcBorders>
            <w:tcMar>
              <w:top w:type="dxa" w:w="120"/>
              <w:left w:type="dxa" w:w="0"/>
              <w:bottom w:type="dxa" w:w="120"/>
              <w:right w:type="dxa" w:w="200"/>
            </w:tcMar>
          </w:tcPr>
          <w:p>
            <w:pPr>
              <w:spacing w:after="40" w:before="0"/>
            </w:pPr>
            <w:r>
              <w:rPr>
                <w:rFonts w:ascii="Arial" w:cs="Arial" w:eastAsia="Arial" w:hAnsi="Arial"/>
                <w:color w:val="7F8C8D"/>
                <w:sz w:val="19"/>
                <w:szCs w:val="19"/>
              </w:rPr>
              <w:t xml:space="preserve">Principal Supervisor / PI</w:t>
            </w:r>
          </w:p>
          <w:p>
            <w:pPr>
              <w:pBdr>
                <w:bottom w:val="single" w:color="2C3E50" w:sz="4" w:space="4"/>
              </w:pBdr>
              <w:spacing w:after="0" w:before="180"/>
            </w:pPr>
            <w:r>
              <w:t xml:space="preserve"/>
            </w:r>
          </w:p>
        </w:tc>
        <w:tc>
          <w:tcPr>
            <w:tcW w:type="dxa" w:w="16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Mar>
              <w:top w:type="dxa" w:w="120"/>
              <w:left w:type="dxa" w:w="0"/>
              <w:bottom w:type="dxa" w:w="120"/>
              <w:right w:type="dxa" w:w="200"/>
            </w:tcMar>
          </w:tcPr>
          <w:p>
            <w:pPr>
              <w:spacing w:after="40" w:before="0"/>
            </w:pPr>
            <w:r>
              <w:rPr>
                <w:rFonts w:ascii="Arial" w:cs="Arial" w:eastAsia="Arial" w:hAnsi="Arial"/>
                <w:color w:val="7F8C8D"/>
                <w:sz w:val="19"/>
                <w:szCs w:val="19"/>
              </w:rPr>
              <w:t xml:space="preserve">Department / Research Group</w:t>
            </w:r>
          </w:p>
          <w:p>
            <w:pPr>
              <w:pBdr>
                <w:bottom w:val="single" w:color="2C3E50" w:sz="4" w:space="4"/>
              </w:pBdr>
              <w:spacing w:after="0" w:before="180"/>
            </w:pPr>
            <w:r>
              <w:t xml:space="preserve"/>
            </w:r>
          </w:p>
        </w:tc>
      </w:tr>
      <w:tr>
        <w:tc>
          <w:tcPr>
            <w:tcBorders>
              <w:top w:val="none" w:color="FFFFFF" w:sz="0"/>
              <w:left w:val="none" w:color="FFFFFF" w:sz="0"/>
              <w:bottom w:val="none" w:color="FFFFFF" w:sz="0"/>
              <w:right w:val="none" w:color="FFFFFF" w:sz="0"/>
            </w:tcBorders>
          </w:tcPr>
          <w:p>
            <w:pPr>
              <w:spacing w:after="0" w:before="80"/>
            </w:pPr>
            <w:r>
              <w:t xml:space="preserve"/>
            </w:r>
          </w:p>
        </w:tc>
        <w:tc>
          <w:tcPr>
            <w:tcW w:type="dxa" w:w="16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pPr>
              <w:spacing w:after="0" w:before="80"/>
            </w:pPr>
            <w:r>
              <w:t xml:space="preserve"/>
            </w:r>
          </w:p>
        </w:tc>
      </w:tr>
      <w:tr>
        <w:tc>
          <w:tcPr>
            <w:tcBorders>
              <w:top w:val="none" w:color="FFFFFF" w:sz="0"/>
              <w:left w:val="none" w:color="FFFFFF" w:sz="0"/>
              <w:bottom w:val="none" w:color="FFFFFF" w:sz="0"/>
              <w:right w:val="none" w:color="FFFFFF" w:sz="0"/>
            </w:tcBorders>
            <w:tcMar>
              <w:top w:type="dxa" w:w="120"/>
              <w:left w:type="dxa" w:w="0"/>
              <w:bottom w:type="dxa" w:w="120"/>
              <w:right w:type="dxa" w:w="200"/>
            </w:tcMar>
          </w:tcPr>
          <w:p>
            <w:pPr>
              <w:spacing w:after="40" w:before="0"/>
            </w:pPr>
            <w:r>
              <w:rPr>
                <w:rFonts w:ascii="Arial" w:cs="Arial" w:eastAsia="Arial" w:hAnsi="Arial"/>
                <w:color w:val="7F8C8D"/>
                <w:sz w:val="19"/>
                <w:szCs w:val="19"/>
              </w:rPr>
              <w:t xml:space="preserve">Signature</w:t>
            </w:r>
          </w:p>
          <w:p>
            <w:pPr>
              <w:pBdr>
                <w:bottom w:val="single" w:color="2C3E50" w:sz="4" w:space="4"/>
              </w:pBdr>
              <w:spacing w:after="0" w:before="180"/>
            </w:pPr>
            <w:r>
              <w:t xml:space="preserve"/>
            </w:r>
          </w:p>
        </w:tc>
        <w:tc>
          <w:tcPr>
            <w:tcW w:type="dxa" w:w="16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Mar>
              <w:top w:type="dxa" w:w="120"/>
              <w:left w:type="dxa" w:w="0"/>
              <w:bottom w:type="dxa" w:w="120"/>
              <w:right w:type="dxa" w:w="200"/>
            </w:tcMar>
          </w:tcPr>
          <w:p>
            <w:pPr>
              <w:spacing w:after="40" w:before="0"/>
            </w:pPr>
            <w:r>
              <w:rPr>
                <w:rFonts w:ascii="Arial" w:cs="Arial" w:eastAsia="Arial" w:hAnsi="Arial"/>
                <w:color w:val="7F8C8D"/>
                <w:sz w:val="19"/>
                <w:szCs w:val="19"/>
              </w:rPr>
              <w:t xml:space="preserve">Date (DD/MM/YYYY)</w:t>
            </w:r>
          </w:p>
          <w:p>
            <w:pPr>
              <w:pBdr>
                <w:bottom w:val="single" w:color="2C3E50" w:sz="4" w:space="4"/>
              </w:pBdr>
              <w:spacing w:after="0" w:before="180"/>
            </w:pPr>
            <w:r>
              <w:t xml:space="preserve"/>
            </w:r>
          </w:p>
        </w:tc>
      </w:tr>
    </w:tbl>
    <w:p>
      <w:pPr>
        <w:spacing w:after="0" w:before="300"/>
      </w:pPr>
      <w:r>
        <w:t xml:space="preserve"/>
      </w:r>
    </w:p>
    <w:p>
      <w:pPr>
        <w:pStyle w:val="Heading2"/>
        <w:spacing w:after="120" w:before="240"/>
      </w:pPr>
      <w:r>
        <w:rPr>
          <w:rFonts w:ascii="Arial" w:cs="Arial" w:eastAsia="Arial" w:hAnsi="Arial"/>
          <w:b/>
          <w:bCs/>
          <w:color w:val="0E7C86"/>
          <w:sz w:val="26"/>
          <w:szCs w:val="26"/>
        </w:rPr>
        <w:t xml:space="preserve">Certification Record  (completed by Facility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60"/>
        <w:gridCol w:w="18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Certification Level</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Date Completed  /  Assessed By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Expiry Date</w:t>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1 — Cleanroom Fundamentals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2 — Chemical Safety (COSHH)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3 — Tool: ___________________</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3 — Tool: ___________________</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r>
      <w:tr>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Level 4 — Hazardous Process Authorisation</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pPr>
            <w:r>
              <w:rPr>
                <w:rFonts w:ascii="Arial" w:cs="Arial" w:eastAsia="Arial" w:hAnsi="Arial"/>
                <w:color w:val="2C3E50"/>
                <w:sz w:val="21"/>
                <w:szCs w:val="21"/>
              </w:rPr>
              <w:t xml:space="preserve"/>
            </w:r>
          </w:p>
        </w:tc>
      </w:tr>
    </w:tbl>
    <w:p>
      <w:pPr>
        <w:spacing w:after="0" w:before="240"/>
      </w:pPr>
      <w:r>
        <w:t xml:space="preserve"/>
      </w:r>
    </w:p>
    <w:p>
      <w:pPr>
        <w:spacing w:after="80" w:before="0"/>
        <w:jc w:val="center"/>
      </w:pPr>
      <w:r>
        <w:rPr>
          <w:rFonts w:ascii="Arial" w:cs="Arial" w:eastAsia="Arial" w:hAnsi="Arial"/>
          <w:i/>
          <w:iCs/>
          <w:color w:val="7F8C8D"/>
          <w:sz w:val="20"/>
          <w:szCs w:val="20"/>
        </w:rPr>
        <w:t xml:space="preserve">Return signed original to the Facility Manager (Room 042B).  Retain a copy for your records.</w:t>
      </w:r>
    </w:p>
    <w:p>
      <w:pPr>
        <w:spacing w:after="0" w:before="0"/>
        <w:jc w:val="center"/>
      </w:pPr>
      <w:r>
        <w:rPr>
          <w:rFonts w:ascii="Arial" w:cs="Arial" w:eastAsia="Arial" w:hAnsi="Arial"/>
          <w:color w:val="0E7C86"/>
          <w:sz w:val="20"/>
          <w:szCs w:val="20"/>
        </w:rPr>
        <w:t xml:space="preserve">cleanroom-safety@university.ac.uk  |  Facility Manager: Room 042B  |  Emergency: 999  |  Safety Office: (01234) 567 890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tabs>
        <w:tab w:val="right" w:pos="9360"/>
      </w:tabs>
      <w:spacing w:after="0" w:before="120"/>
      <w:jc w:val="center"/>
    </w:pPr>
    <w:r>
      <w:rPr>
        <w:rFonts w:ascii="Arial" w:cs="Arial" w:eastAsia="Arial" w:hAnsi="Arial"/>
        <w:color w:val="7F8C8D"/>
        <w:sz w:val="16"/>
        <w:szCs w:val="16"/>
      </w:rPr>
      <w:t xml:space="preserve">Nanofabrication &amp; Advanced Materials Research Facility  —  Internal Use Only</w:t>
    </w:r>
    <w:r>
      <w:rPr>
        <w:rFonts w:ascii="Arial" w:cs="Arial" w:eastAsia="Arial" w:hAnsi="Arial"/>
        <w:sz w:val="16"/>
        <w:szCs w:val="16"/>
      </w:rPr>
      <w:t xml:space="preserve">	</w:t>
    </w: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4" w:space="4"/>
      </w:pBdr>
      <w:spacing w:after="120" w:before="0"/>
      <w:jc w:val="right"/>
    </w:pPr>
    <w:r>
      <w:rPr>
        <w:rFonts w:ascii="Arial" w:cs="Arial" w:eastAsia="Arial" w:hAnsi="Arial"/>
        <w:color w:val="7F8C8D"/>
        <w:sz w:val="18"/>
        <w:szCs w:val="18"/>
      </w:rPr>
      <w:t xml:space="preserve">CLEANROOM SAFETY &amp; PROTOCOL GUIDE  |  UK Edition  |  </w:t>
    </w:r>
    <w:r>
      <w:rPr>
        <w:rFonts w:ascii="Arial" w:cs="Arial" w:eastAsia="Arial" w:hAnsi="Arial"/>
        <w:b/>
        <w:bCs/>
        <w:color w:val="0E7C86"/>
        <w:sz w:val="18"/>
        <w:szCs w:val="18"/>
      </w:rPr>
      <w:t xml:space="preserve">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E7C8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2026-05-02T23:21:54.564Z</dcterms:created>
  <dcterms:modified xsi:type="dcterms:W3CDTF">2026-05-02T23:21:54.581Z</dcterms:modified>
</cp:coreProperties>
</file>

<file path=docProps/custom.xml><?xml version="1.0" encoding="utf-8"?>
<Properties xmlns="http://schemas.openxmlformats.org/officeDocument/2006/custom-properties" xmlns:vt="http://schemas.openxmlformats.org/officeDocument/2006/docPropsVTypes"/>
</file>