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line="320"/>
        <w:jc w:val="center"/>
      </w:pPr>
      <w:r>
        <w:rPr>
          <w:rFonts w:ascii="Georgia" w:cs="Georgia" w:eastAsia="Georgia" w:hAnsi="Georgia"/>
          <w:b/>
          <w:bCs/>
          <w:color w:val="1a1a2e"/>
          <w:sz w:val="32"/>
          <w:szCs w:val="32"/>
        </w:rPr>
        <w:t xml:space="preserve">Supplementary Material</w:t>
      </w:r>
    </w:p>
    <w:p>
      <w:pPr>
        <w:spacing w:after="60"/>
        <w:jc w:val="center"/>
      </w:pPr>
      <w:r>
        <w:rPr>
          <w:rFonts w:ascii="Georgia" w:cs="Georgia" w:eastAsia="Georgia" w:hAnsi="Georgia"/>
          <w:i/>
          <w:iCs/>
          <w:color w:val="1a1a1a"/>
          <w:sz w:val="22"/>
          <w:szCs w:val="22"/>
        </w:rPr>
        <w:t xml:space="preserve">Vig Removal Changes the Answer: A Pre-Specified Calibration Test of 15,351 Archived NBA Moneylines</w:t>
      </w:r>
    </w:p>
    <w:p>
      <w:pPr>
        <w:spacing w:after="200"/>
        <w:jc w:val="center"/>
      </w:pPr>
      <w:r>
        <w:rPr>
          <w:rFonts w:ascii="Georgia" w:cs="Georgia" w:eastAsia="Georgia" w:hAnsi="Georgia"/>
          <w:color w:val="6b6b6b"/>
          <w:sz w:val="20"/>
          <w:szCs w:val="20"/>
        </w:rPr>
        <w:t xml:space="preserve">Jacob Burdier · The Scholars' Academy · August 2026</w:t>
      </w:r>
    </w:p>
    <w:p>
      <w:pPr>
        <w:spacing w:after="220"/>
        <w:jc w:val="both"/>
      </w:pPr>
      <w:r>
        <w:rPr>
          <w:rFonts w:ascii="Georgia" w:cs="Georgia" w:eastAsia="Georgia" w:hAnsi="Georgia"/>
          <w:color w:val="1a1a1a"/>
          <w:sz w:val="22"/>
          <w:szCs w:val="22"/>
        </w:rPr>
        <w:t xml:space="preserve">Everything here is generated by the replication materials at https://github.com/jacobburdier05/nba-moneyline-calibration and can be regenerated with a single command. Section references are to the main paper.</w:t>
      </w:r>
    </w:p>
    <w:p>
      <w:pPr>
        <w:spacing w:after="140" w:before="320" w:line="300"/>
      </w:pPr>
      <w:r>
        <w:rPr>
          <w:rFonts w:ascii="Georgia" w:cs="Georgia" w:eastAsia="Georgia" w:hAnsi="Georgia"/>
          <w:b/>
          <w:bCs/>
          <w:color w:val="1a1a2e"/>
          <w:sz w:val="28"/>
          <w:szCs w:val="28"/>
        </w:rPr>
        <w:t xml:space="preserve">S1. Shin's normalization equals the additive rule for a two-outcome book</w:t>
      </w:r>
    </w:p>
    <w:p>
      <w:pPr>
        <w:spacing w:after="160" w:line="340"/>
        <w:jc w:val="both"/>
      </w:pPr>
      <w:r>
        <w:rPr>
          <w:rFonts w:ascii="Georgia" w:cs="Georgia" w:eastAsia="Georgia" w:hAnsi="Georgia"/>
          <w:color w:val="1a1a1a"/>
          <w:sz w:val="22"/>
          <w:szCs w:val="22"/>
        </w:rPr>
        <w:t xml:space="preserve">Section 5.4 of the main paper reports that Shin (1993) and the additive rule give identical results. Clarke, Kovalchik, and Ingram (2017) proved this for races with two competitors. Because it changes how Table 5 should be read, the derivation is written out again here, and every step is checked against the sample by src/shin_equivalence_proof.py.</w:t>
      </w:r>
    </w:p>
    <w:p>
      <w:pPr>
        <w:spacing w:after="160" w:line="340"/>
        <w:jc w:val="both"/>
      </w:pPr>
      <w:r>
        <w:rPr>
          <w:rFonts w:ascii="Georgia" w:cs="Georgia" w:eastAsia="Georgia" w:hAnsi="Georgia"/>
          <w:color w:val="1a1a1a"/>
          <w:sz w:val="22"/>
          <w:szCs w:val="22"/>
        </w:rPr>
        <w:t xml:space="preserve">Let q1 and q2 be the raw implied probabilities of the two sides and P = q1 + q2 the booksum, with P greater than one. Shin sets</w:t>
      </w:r>
    </w:p>
    <w:p>
      <w:pPr>
        <w:spacing w:after="70" w:before="70" w:line="300"/>
        <w:jc w:val="center"/>
      </w:pPr>
      <w:r>
        <w:rPr>
          <w:rFonts w:ascii="Georgia" w:cs="Georgia" w:eastAsia="Georgia" w:hAnsi="Georgia"/>
          <w:i/>
          <w:iCs/>
          <w:color w:val="1a1a1a"/>
          <w:sz w:val="22"/>
          <w:szCs w:val="22"/>
        </w:rPr>
        <w:t xml:space="preserve">pi_i = [ sqrt( z^2 + 4(1 - z) q_i^2 / P ) - z ] / ( 2(1 - z) )</w:t>
      </w:r>
    </w:p>
    <w:p>
      <w:pPr>
        <w:spacing w:after="160" w:line="340"/>
        <w:jc w:val="both"/>
      </w:pPr>
      <w:r>
        <w:rPr>
          <w:rFonts w:ascii="Georgia" w:cs="Georgia" w:eastAsia="Georgia" w:hAnsi="Georgia"/>
          <w:color w:val="1a1a1a"/>
          <w:sz w:val="22"/>
          <w:szCs w:val="22"/>
        </w:rPr>
        <w:t xml:space="preserve">with z chosen so the pair sums to one. The additive rule sets pi_i = q_i - (P - 1)/2.</w:t>
      </w:r>
    </w:p>
    <w:p>
      <w:pPr>
        <w:spacing w:after="100" w:before="240" w:line="300"/>
      </w:pPr>
      <w:r>
        <w:rPr>
          <w:rFonts w:ascii="Georgia" w:cs="Georgia" w:eastAsia="Georgia" w:hAnsi="Georgia"/>
          <w:b/>
          <w:bCs/>
          <w:color w:val="2c2c54"/>
          <w:sz w:val="24"/>
          <w:szCs w:val="24"/>
        </w:rPr>
        <w:t xml:space="preserve">S1.1 Invert for z</w:t>
      </w:r>
    </w:p>
    <w:p>
      <w:pPr>
        <w:spacing w:after="160" w:line="340"/>
        <w:jc w:val="both"/>
      </w:pPr>
      <w:r>
        <w:rPr>
          <w:rFonts w:ascii="Georgia" w:cs="Georgia" w:eastAsia="Georgia" w:hAnsi="Georgia"/>
          <w:color w:val="1a1a1a"/>
          <w:sz w:val="22"/>
          <w:szCs w:val="22"/>
        </w:rPr>
        <w:t xml:space="preserve">Rearrange to 2 pi (1 - z) + z = sqrt( z^2 + 4(1 - z) q^2 / P ) and square both sides. The z-squared terms cancel, and dividing through by 4(1 - z), nonzero for z below one, leaves</w:t>
      </w:r>
    </w:p>
    <w:p>
      <w:pPr>
        <w:spacing w:after="70" w:before="70" w:line="300"/>
        <w:jc w:val="center"/>
      </w:pPr>
      <w:r>
        <w:rPr>
          <w:rFonts w:ascii="Georgia" w:cs="Georgia" w:eastAsia="Georgia" w:hAnsi="Georgia"/>
          <w:i/>
          <w:iCs/>
          <w:color w:val="1a1a1a"/>
          <w:sz w:val="22"/>
          <w:szCs w:val="22"/>
        </w:rPr>
        <w:t xml:space="preserve">pi^2 + z pi (1 - pi) = q^2 / P,      so     z = ( q^2 / P - pi^2 ) / ( pi (1 - pi) )</w:t>
      </w:r>
    </w:p>
    <w:p>
      <w:pPr>
        <w:spacing w:after="100" w:before="240" w:line="300"/>
      </w:pPr>
      <w:r>
        <w:rPr>
          <w:rFonts w:ascii="Georgia" w:cs="Georgia" w:eastAsia="Georgia" w:hAnsi="Georgia"/>
          <w:b/>
          <w:bCs/>
          <w:color w:val="2c2c54"/>
          <w:sz w:val="24"/>
          <w:szCs w:val="24"/>
        </w:rPr>
        <w:t xml:space="preserve">S1.2 Require both sides to return the same z</w:t>
      </w:r>
    </w:p>
    <w:p>
      <w:pPr>
        <w:spacing w:after="160" w:line="340"/>
        <w:jc w:val="both"/>
      </w:pPr>
      <w:r>
        <w:rPr>
          <w:rFonts w:ascii="Georgia" w:cs="Georgia" w:eastAsia="Georgia" w:hAnsi="Georgia"/>
          <w:color w:val="1a1a1a"/>
          <w:sz w:val="22"/>
          <w:szCs w:val="22"/>
        </w:rPr>
        <w:t xml:space="preserve">Shin's z is a single property of the book, so the expression must give the same value for each side. Because the pair sums to one, 1 - pi_1 equals pi_2 and 1 - pi_2 equals pi_1, so both denominators equal pi_1 pi_2 and the requirement reduces to equal numerators:</w:t>
      </w:r>
    </w:p>
    <w:p>
      <w:pPr>
        <w:spacing w:after="70" w:before="70" w:line="300"/>
        <w:jc w:val="center"/>
      </w:pPr>
      <w:r>
        <w:rPr>
          <w:rFonts w:ascii="Georgia" w:cs="Georgia" w:eastAsia="Georgia" w:hAnsi="Georgia"/>
          <w:i/>
          <w:iCs/>
          <w:color w:val="1a1a1a"/>
          <w:sz w:val="22"/>
          <w:szCs w:val="22"/>
        </w:rPr>
        <w:t xml:space="preserve">( q1^2 - q2^2 ) / P = pi_1^2 - pi_2^2,   that is   (q1 - q2)(q1 + q2)/P = (pi_1 - pi_2)(pi_1 + pi_2)</w:t>
      </w:r>
    </w:p>
    <w:p>
      <w:pPr>
        <w:spacing w:after="160" w:line="340"/>
        <w:jc w:val="both"/>
      </w:pPr>
      <w:r>
        <w:rPr>
          <w:rFonts w:ascii="Georgia" w:cs="Georgia" w:eastAsia="Georgia" w:hAnsi="Georgia"/>
          <w:color w:val="1a1a1a"/>
          <w:sz w:val="22"/>
          <w:szCs w:val="22"/>
        </w:rPr>
        <w:t xml:space="preserve">Since q1 + q2 = P by definition and pi_1 + pi_2 = 1 by the constraint, this collapses to q1 - q2 = pi_1 - pi_2. Shin's rule preserves the difference of the raw probabilities.</w:t>
      </w:r>
    </w:p>
    <w:p>
      <w:pPr>
        <w:spacing w:after="100" w:before="240" w:line="300"/>
      </w:pPr>
      <w:r>
        <w:rPr>
          <w:rFonts w:ascii="Georgia" w:cs="Georgia" w:eastAsia="Georgia" w:hAnsi="Georgia"/>
          <w:b/>
          <w:bCs/>
          <w:color w:val="2c2c54"/>
          <w:sz w:val="24"/>
          <w:szCs w:val="24"/>
        </w:rPr>
        <w:t xml:space="preserve">S1.3 Solve</w:t>
      </w:r>
    </w:p>
    <w:p>
      <w:pPr>
        <w:spacing w:after="160" w:line="340"/>
        <w:jc w:val="both"/>
      </w:pPr>
      <w:r>
        <w:rPr>
          <w:rFonts w:ascii="Georgia" w:cs="Georgia" w:eastAsia="Georgia" w:hAnsi="Georgia"/>
          <w:color w:val="1a1a1a"/>
          <w:sz w:val="22"/>
          <w:szCs w:val="22"/>
        </w:rPr>
        <w:t xml:space="preserve">Two linear conditions now pin the pair down uniquely: the sum is one and the difference is q1 - q2. Therefore pi_1 = (1 + q1 - q2)/2. The additive rule gives q1 - (q1 + q2 - 1)/2, which is the same expression. The two rules coincide.</w:t>
      </w:r>
    </w:p>
    <w:p>
      <w:pPr>
        <w:spacing w:after="100" w:before="240" w:line="300"/>
      </w:pPr>
      <w:r>
        <w:rPr>
          <w:rFonts w:ascii="Georgia" w:cs="Georgia" w:eastAsia="Georgia" w:hAnsi="Georgia"/>
          <w:b/>
          <w:bCs/>
          <w:color w:val="2c2c54"/>
          <w:sz w:val="24"/>
          <w:szCs w:val="24"/>
        </w:rPr>
        <w:t xml:space="preserve">S1.4 Numerical verification</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6000"/>
        <w:gridCol w:w="3360"/>
      </w:tblGrid>
      <w:tr>
        <w:trPr>
          <w:tblHeader/>
        </w:trPr>
        <w:tc>
          <w:tcPr>
            <w:tcW w:type="dxa" w:w="60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Check</w:t>
            </w:r>
          </w:p>
        </w:tc>
        <w:tc>
          <w:tcPr>
            <w:tcW w:type="dxa" w:w="33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Maximum absolute error</w:t>
            </w:r>
          </w:p>
        </w:tc>
      </w:tr>
      <w:tr>
        <w:tc>
          <w:tcPr>
            <w:tcW w:type="dxa" w:w="60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S1.2, difference preserved</w:t>
            </w:r>
          </w:p>
        </w:tc>
        <w:tc>
          <w:tcPr>
            <w:tcW w:type="dxa" w:w="33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3.3e-16</w:t>
            </w:r>
          </w:p>
        </w:tc>
      </w:tr>
      <w:tr>
        <w:tc>
          <w:tcPr>
            <w:tcW w:type="dxa" w:w="60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S1.3, closed form pi_1 = (1 + q1 - q2)/2</w:t>
            </w:r>
          </w:p>
        </w:tc>
        <w:tc>
          <w:tcPr>
            <w:tcW w:type="dxa" w:w="33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2.8e-16</w:t>
            </w:r>
          </w:p>
        </w:tc>
      </w:tr>
      <w:tr>
        <w:tc>
          <w:tcPr>
            <w:tcW w:type="dxa" w:w="60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Equivalence, |Shin - additive|</w:t>
            </w:r>
          </w:p>
        </w:tc>
        <w:tc>
          <w:tcPr>
            <w:tcW w:type="dxa" w:w="33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2.8e-16</w:t>
            </w:r>
          </w:p>
        </w:tc>
      </w:tr>
      <w:tr>
        <w:tc>
          <w:tcPr>
            <w:tcW w:type="dxa" w:w="60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Sum constraint, |pi_1 + pi_2 - 1|</w:t>
            </w:r>
          </w:p>
        </w:tc>
        <w:tc>
          <w:tcPr>
            <w:tcW w:type="dxa" w:w="33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2.2e-16</w:t>
            </w:r>
          </w:p>
        </w:tc>
      </w:tr>
      <w:tr>
        <w:tc>
          <w:tcPr>
            <w:tcW w:type="dxa" w:w="60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Recovered z consistent across both sides</w:t>
            </w:r>
          </w:p>
        </w:tc>
        <w:tc>
          <w:tcPr>
            <w:tcW w:type="dxa" w:w="33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1.5e-14</w:t>
            </w:r>
          </w:p>
        </w:tc>
      </w:tr>
    </w:tbl>
    <w:p>
      <w:pPr>
        <w:spacing w:after="220" w:before="60" w:line="260"/>
        <w:jc w:val="left"/>
      </w:pPr>
      <w:r>
        <w:rPr>
          <w:rFonts w:ascii="Georgia" w:cs="Georgia" w:eastAsia="Georgia" w:hAnsi="Georgia"/>
          <w:i/>
          <w:iCs/>
          <w:color w:val="6b6b6b"/>
          <w:sz w:val="17"/>
          <w:szCs w:val="17"/>
        </w:rPr>
        <w:t xml:space="preserve">Table S1. Verified across the 15,350 games with a positive margin. All errors are at the limit of double precision.</w:t>
      </w:r>
    </w:p>
    <w:p>
      <w:pPr>
        <w:spacing w:after="160" w:line="340"/>
        <w:jc w:val="both"/>
      </w:pPr>
      <w:r>
        <w:rPr>
          <w:rFonts w:ascii="Georgia" w:cs="Georgia" w:eastAsia="Georgia" w:hAnsi="Georgia"/>
          <w:color w:val="1a1a1a"/>
          <w:sz w:val="22"/>
          <w:szCs w:val="22"/>
        </w:rPr>
        <w:t xml:space="preserve">The recovered insider share z ranges from 0.0037 to 0.0718 with a mean of 0.0384, so these are real solutions well inside the model's valid range rather than edge cases where it breaks down. One game in the archive is quoted with a booksum below one, where Shin's model has no valid solution; it is left out here and falls back to proportional in Table 5 of the main paper.</w:t>
      </w:r>
    </w:p>
    <w:p>
      <w:pPr>
        <w:spacing w:after="100" w:before="240" w:line="300"/>
      </w:pPr>
      <w:r>
        <w:rPr>
          <w:rFonts w:ascii="Georgia" w:cs="Georgia" w:eastAsia="Georgia" w:hAnsi="Georgia"/>
          <w:b/>
          <w:bCs/>
          <w:color w:val="2c2c54"/>
          <w:sz w:val="24"/>
          <w:szCs w:val="24"/>
        </w:rPr>
        <w:t xml:space="preserve">S1.5 Scope, and an implementation note</w:t>
      </w:r>
    </w:p>
    <w:p>
      <w:pPr>
        <w:spacing w:after="160" w:line="340"/>
        <w:jc w:val="both"/>
      </w:pPr>
      <w:r>
        <w:rPr>
          <w:rFonts w:ascii="Georgia" w:cs="Georgia" w:eastAsia="Georgia" w:hAnsi="Georgia"/>
          <w:color w:val="1a1a1a"/>
          <w:sz w:val="22"/>
          <w:szCs w:val="22"/>
        </w:rPr>
        <w:t xml:space="preserve">Matching answers do not mean the two rules express the same idea. Shin's comes from a model of a bookmaker pricing against insider money, and is meant to load margin onto longshots. The additive rule is a mechanical convention with no story about behavior behind it. They agree only because a two-outcome market leaves a single degree of freedom once the probabilities are required to sum to one and their difference is held fixed. With three or more outcomes they part ways.</w:t>
      </w:r>
    </w:p>
    <w:p>
      <w:pPr>
        <w:spacing w:after="160" w:line="340"/>
        <w:jc w:val="both"/>
      </w:pPr>
      <w:r>
        <w:rPr>
          <w:rFonts w:ascii="Georgia" w:cs="Georgia" w:eastAsia="Georgia" w:hAnsi="Georgia"/>
          <w:color w:val="1a1a1a"/>
          <w:sz w:val="22"/>
          <w:szCs w:val="22"/>
        </w:rPr>
        <w:t xml:space="preserve">One coding note, recorded because it produced wrong numbers before it was caught. Computed directly, the numerator sqrt(z^2 + a) - z subtracts two nearly equal quantities as z approaches one. In double precision it loses most of its accurate digits, which sends the root finder to values whose probabilities sum to roughly 0.98 rather than one. Multiplying by the conjugate gives the algebraically identical but numerically stable form pi = 2 q^2 / [ P ( sqrt(z^2 + a) + z ) ], which is what the code uses.</w:t>
      </w:r>
    </w:p>
    <w:p>
      <w:pPr>
        <w:spacing w:after="140" w:before="320" w:line="300"/>
      </w:pPr>
      <w:r>
        <w:rPr>
          <w:rFonts w:ascii="Georgia" w:cs="Georgia" w:eastAsia="Georgia" w:hAnsi="Georgia"/>
          <w:b/>
          <w:bCs/>
          <w:color w:val="1a1a2e"/>
          <w:sz w:val="28"/>
          <w:szCs w:val="28"/>
        </w:rPr>
        <w:t xml:space="preserve">S2. Exact power, and the normal approximation</w:t>
      </w:r>
    </w:p>
    <w:p>
      <w:pPr>
        <w:spacing w:after="160" w:line="340"/>
        <w:jc w:val="both"/>
      </w:pPr>
      <w:r>
        <w:rPr>
          <w:rFonts w:ascii="Georgia" w:cs="Georgia" w:eastAsia="Georgia" w:hAnsi="Georgia"/>
          <w:color w:val="1a1a1a"/>
          <w:sz w:val="22"/>
          <w:szCs w:val="22"/>
        </w:rPr>
        <w:t xml:space="preserve">The minimum detectable effect quoted in the main paper is the standard two-sided normal approximation. It is not an exact inversion of the Poisson-binomial power function. Because the two are not guaranteed to agree, src/power_curve.py computes the exact version. It builds the exact Poisson-binomial distribution by taking the discrete Fourier transform of its characteristic function. Conjugate symmetry means only half the frequencies have to be evaluated. It then finds the exact two-sided rejection region under the null and inverts exact power at 80 percent.</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5400"/>
        <w:gridCol w:w="3960"/>
      </w:tblGrid>
      <w:tr>
        <w:trPr>
          <w:tblHeader/>
        </w:trPr>
        <w:tc>
          <w:tcPr>
            <w:tcW w:type="dxa" w:w="54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Quantity</w:t>
            </w:r>
          </w:p>
        </w:tc>
        <w:tc>
          <w:tcPr>
            <w:tcW w:type="dxa" w:w="39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Value</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Exact rejection region</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wins &lt;= 5,425 or &gt;= 5,554</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Exact size (discreteness, not .05)</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.0484</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MDE, normal approximation</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1.3281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MDE, exact Poisson-binomial</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1.3242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Difference</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0.0039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Exact null mean vs analytic sum(p)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5489.4484 vs 5489.4484</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Exact null SD vs sqrt(sum p(1-p))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32.4259 vs 32.4259</w:t>
            </w:r>
          </w:p>
        </w:tc>
      </w:tr>
    </w:tbl>
    <w:p>
      <w:pPr>
        <w:spacing w:after="220" w:before="60" w:line="260"/>
        <w:jc w:val="left"/>
      </w:pPr>
      <w:r>
        <w:rPr>
          <w:rFonts w:ascii="Georgia" w:cs="Georgia" w:eastAsia="Georgia" w:hAnsi="Georgia"/>
          <w:i/>
          <w:iCs/>
          <w:color w:val="6b6b6b"/>
          <w:sz w:val="17"/>
          <w:szCs w:val="17"/>
        </w:rPr>
        <w:t xml:space="preserve">Table S2. The exact null mean and standard deviation match their analytic counterparts to four decimal places, which is an independent check on the primary test's variance.</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3120"/>
        <w:gridCol w:w="3120"/>
        <w:gridCol w:w="3120"/>
      </w:tblGrid>
      <w:tr>
        <w:trPr>
          <w:tblHeader/>
        </w:trPr>
        <w:tc>
          <w:tcPr>
            <w:tcW w:type="dxa" w:w="312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True gap (pp)</w:t>
            </w:r>
          </w:p>
        </w:tc>
        <w:tc>
          <w:tcPr>
            <w:tcW w:type="dxa" w:w="312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Exact power</w:t>
            </w:r>
          </w:p>
        </w:tc>
        <w:tc>
          <w:tcPr>
            <w:tcW w:type="dxa" w:w="312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Normal approximation</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0.50</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17.75%</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18.39%</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1.00</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55.56%</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55.94%</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1.33 (MDE)</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80.35%</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80.11%</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1.50</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88.97%</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88.57%</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2.00</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99.00%</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98.81%</w:t>
            </w:r>
          </w:p>
        </w:tc>
      </w:tr>
      <w:tr>
        <w:tc>
          <w:tcPr>
            <w:tcW w:type="dxa" w:w="312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3.01 (break-even)</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&gt;99.99%</w:t>
            </w:r>
          </w:p>
        </w:tc>
        <w:tc>
          <w:tcPr>
            <w:tcW w:type="dxa" w:w="312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&gt;99.99%</w:t>
            </w:r>
          </w:p>
        </w:tc>
      </w:tr>
    </w:tbl>
    <w:p>
      <w:pPr>
        <w:spacing w:after="220" w:before="60" w:line="260"/>
        <w:jc w:val="left"/>
      </w:pPr>
      <w:r>
        <w:rPr>
          <w:rFonts w:ascii="Georgia" w:cs="Georgia" w:eastAsia="Georgia" w:hAnsi="Georgia"/>
          <w:i/>
          <w:iCs/>
          <w:color w:val="6b6b6b"/>
          <w:sz w:val="17"/>
          <w:szCs w:val="17"/>
        </w:rPr>
        <w:t xml:space="preserve">Table S3. Exact against approximate power. The largest disagreement anywhere in the range is 0.64 percentage points of power.</w:t>
      </w:r>
    </w:p>
    <w:p>
      <w:pPr>
        <w:spacing w:after="160" w:line="340"/>
        <w:jc w:val="both"/>
      </w:pPr>
      <w:r>
        <w:rPr>
          <w:rFonts w:ascii="Georgia" w:cs="Georgia" w:eastAsia="Georgia" w:hAnsi="Georgia"/>
          <w:color w:val="1a1a1a"/>
          <w:sz w:val="22"/>
          <w:szCs w:val="22"/>
        </w:rPr>
        <w:t xml:space="preserve">Compare the narrow bucket used as an illustration in section 1: 74 games at an assumed win probability of .85. It has 11.2 percent power against the same 3.01-point break-even margin.</w:t>
      </w:r>
    </w:p>
    <w:p>
      <w:pPr>
        <w:spacing w:after="140" w:before="320" w:line="300"/>
      </w:pPr>
      <w:r>
        <w:rPr>
          <w:rFonts w:ascii="Georgia" w:cs="Georgia" w:eastAsia="Georgia" w:hAnsi="Georgia"/>
          <w:b/>
          <w:bCs/>
          <w:color w:val="1a1a2e"/>
          <w:sz w:val="28"/>
          <w:szCs w:val="28"/>
        </w:rPr>
        <w:t xml:space="preserve">S3. The withdrawn literature range</w:t>
      </w:r>
    </w:p>
    <w:p>
      <w:pPr>
        <w:spacing w:after="160" w:line="340"/>
        <w:jc w:val="both"/>
      </w:pPr>
      <w:r>
        <w:rPr>
          <w:rFonts w:ascii="Georgia" w:cs="Georgia" w:eastAsia="Georgia" w:hAnsi="Georgia"/>
          <w:color w:val="1a1a1a"/>
          <w:sz w:val="22"/>
          <w:szCs w:val="22"/>
        </w:rPr>
        <w:t xml:space="preserve">An earlier draft claimed prior work had reported favorite bias of roughly 1.7 to 5.1 percentage points. Figure 3 marked those two values as the smallest and largest effects in the cited literature. Neither number could be traced to any source in that citation set. Both were figures with no citation behind them. This section records what the search for a source turned up, because what it found matters in its own right and is not just a bookkeeping fix.</w:t>
      </w:r>
    </w:p>
    <w:p>
      <w:pPr>
        <w:spacing w:after="160" w:line="340"/>
        <w:jc w:val="both"/>
      </w:pPr>
      <w:r>
        <w:rPr>
          <w:rFonts w:ascii="Georgia" w:cs="Georgia" w:eastAsia="Georgia" w:hAnsi="Georgia"/>
          <w:color w:val="1a1a1a"/>
          <w:sz w:val="22"/>
          <w:szCs w:val="22"/>
        </w:rPr>
        <w:t xml:space="preserve">Six of the eight cited papers report rates of return or point-spread cover rates, not win-probability calibration gaps. The two quantities cannot be swapped for each other without attaching the odds. A return R on a favorite priced at raw probability q corresponds to a calibration gap of the vig share plus q times R. At this sample's prices a -5.5 percent return corresponds to roughly -1.6 points, and a -23 percent return to roughly -16. Converted honestly, the classic return literature spans a far wider range than 1.7 to 5.1 and points the opposite way. That is because it concerns parimutuel horse racing rather than a two-outcome book.</w:t>
      </w:r>
    </w:p>
    <w:p>
      <w:pPr>
        <w:spacing w:after="160" w:line="340"/>
        <w:jc w:val="both"/>
      </w:pPr>
      <w:r>
        <w:rPr>
          <w:rFonts w:ascii="Georgia" w:cs="Georgia" w:eastAsia="Georgia" w:hAnsi="Georgia"/>
          <w:color w:val="1a1a1a"/>
          <w:sz w:val="22"/>
          <w:szCs w:val="22"/>
        </w:rPr>
        <w:t xml:space="preserve">Newall and Cortis (2021), the one literature review in the citation set and the obvious place such a range would live, reports only directions and never effect sizes. Levitt (2004) and Paul and Weinbach (2008) report point-spread cover rates against a 52.38 percent break-even, not moneyline calibration. Moskowitz (2021) explicitly excludes favorite-longshot bias from its scope. Angelini and De Angelis (2019) study three-outcome football markets. Griffith (1949) and Thaler and Ziemba (1988) concern parimutuel horse racing.</w:t>
      </w:r>
    </w:p>
    <w:p>
      <w:pPr>
        <w:spacing w:after="160" w:line="340"/>
        <w:jc w:val="both"/>
      </w:pPr>
      <w:r>
        <w:rPr>
          <w:rFonts w:ascii="Georgia" w:cs="Georgia" w:eastAsia="Georgia" w:hAnsi="Georgia"/>
          <w:color w:val="1a1a1a"/>
          <w:sz w:val="22"/>
          <w:szCs w:val="22"/>
        </w:rPr>
        <w:t xml:space="preserve">The moneyline branch rests largely on Woodland and Woodland (2001). Berkowitz, Depken and Gandar (2018) questioned their conversion method, arguing it overstates the bookmaker's cut and understates the underdog's chance of winning. Those authors reported in 2011 that the effect holds for the first three seasons but disappears over the following seven, as the market becomes more efficient.</w:t>
      </w:r>
    </w:p>
    <w:p>
      <w:pPr>
        <w:spacing w:after="160" w:line="340"/>
        <w:jc w:val="both"/>
      </w:pPr>
      <w:r>
        <w:rPr>
          <w:rFonts w:ascii="Georgia" w:cs="Georgia" w:eastAsia="Georgia" w:hAnsi="Georgia"/>
          <w:color w:val="1a1a1a"/>
          <w:sz w:val="22"/>
          <w:szCs w:val="22"/>
        </w:rPr>
        <w:t xml:space="preserve">The marks were therefore removed rather than replaced with sourced ones, since no replacement in those units could be defended, and the power argument in the main paper is made against this sample's own break-even threshold instead. One coincidence is worth recording: 1.7 is numerically almost identical to this paper's own largest bucket deviation, +1.73 points in the .75 to .80 bucket.</w:t>
      </w:r>
    </w:p>
    <w:p>
      <w:pPr>
        <w:spacing w:after="140" w:before="320" w:line="300"/>
      </w:pPr>
      <w:r>
        <w:rPr>
          <w:rFonts w:ascii="Georgia" w:cs="Georgia" w:eastAsia="Georgia" w:hAnsi="Georgia"/>
          <w:b/>
          <w:bCs/>
          <w:color w:val="1a1a2e"/>
          <w:sz w:val="28"/>
          <w:szCs w:val="28"/>
        </w:rPr>
        <w:t xml:space="preserve">S4. The flat-stake return intervals, checked against a simulated null</w:t>
      </w:r>
    </w:p>
    <w:p>
      <w:pPr>
        <w:spacing w:after="160" w:line="340"/>
        <w:jc w:val="both"/>
      </w:pPr>
      <w:r>
        <w:rPr>
          <w:rFonts w:ascii="Georgia" w:cs="Georgia" w:eastAsia="Georgia" w:hAnsi="Georgia"/>
          <w:color w:val="1a1a1a"/>
          <w:sz w:val="22"/>
          <w:szCs w:val="22"/>
        </w:rPr>
        <w:t xml:space="preserve">Losak and Kalamvokis (2025) make three claims about this literature. Tests of betting profitability are usually run as a t-test or z-test on mean profit per unit staked. Per-bet profit is skewed, because a winning longshot pays several units while a loss always costs one. And under skew, the true rejection rate of such a test exceeds its nominal level. Their proposed fix is to simulate the null and read the interval off the empirical distribution.</w:t>
      </w:r>
    </w:p>
    <w:p>
      <w:pPr>
        <w:spacing w:after="160" w:line="340"/>
        <w:jc w:val="both"/>
      </w:pPr>
      <w:r>
        <w:rPr>
          <w:rFonts w:ascii="Georgia" w:cs="Georgia" w:eastAsia="Georgia" w:hAnsi="Georgia"/>
          <w:color w:val="1a1a1a"/>
          <w:sz w:val="22"/>
          <w:szCs w:val="22"/>
        </w:rPr>
        <w:t xml:space="preserve">The argument applies to section 5.5 of the main paper and not to section 5.1. The primary calibration test compares a win indicator with a probability, which is bounded. It is already evaluated against the exact Poisson-binomial distribution, not a normal approximation. S2 reports its true size as .0484. The return analysis is the payout-weighted quantity their critique targets, and it does use the mean plus or minus 1.96 standard errors. It was therefore checked. Everything below is produced by src/return_simulation.py.</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2100"/>
        <w:gridCol w:w="900"/>
        <w:gridCol w:w="900"/>
        <w:gridCol w:w="1800"/>
        <w:gridCol w:w="1800"/>
        <w:gridCol w:w="1000"/>
        <w:gridCol w:w="860"/>
      </w:tblGrid>
      <w:tr>
        <w:trPr>
          <w:tblHeader/>
        </w:trPr>
        <w:tc>
          <w:tcPr>
            <w:tcW w:type="dxa" w:w="21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Bet group</w:t>
            </w:r>
          </w:p>
        </w:tc>
        <w:tc>
          <w:tcPr>
            <w:tcW w:type="dxa" w:w="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Return</w:t>
            </w:r>
          </w:p>
        </w:tc>
        <w:tc>
          <w:tcPr>
            <w:tcW w:type="dxa" w:w="1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Normal 95% CI</w:t>
            </w:r>
          </w:p>
        </w:tc>
        <w:tc>
          <w:tcPr>
            <w:tcW w:type="dxa" w:w="1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Simulated 95% CI</w:t>
            </w:r>
          </w:p>
        </w:tc>
        <w:tc>
          <w:tcPr>
            <w:tcW w:type="dxa" w:w="10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Per-bet skew</w:t>
            </w:r>
          </w:p>
        </w:tc>
        <w:tc>
          <w:tcPr>
            <w:tcW w:type="dxa" w:w="8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True size</w:t>
            </w:r>
          </w:p>
        </w:tc>
      </w:tr>
      <w:tr>
        <w:tc>
          <w:tcPr>
            <w:tcW w:type="dxa" w:w="21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favorites</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15,351</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-4.06%</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-5.13 to -3.00</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-5.12 to -3.00</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-0.55</w:t>
            </w:r>
          </w:p>
        </w:tc>
        <w:tc>
          <w:tcPr>
            <w:tcW w:type="dxa" w:w="8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5.0%</w:t>
            </w:r>
          </w:p>
        </w:tc>
      </w:tr>
      <w:tr>
        <w:tc>
          <w:tcPr>
            <w:tcW w:type="dxa" w:w="21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underdogs</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15,351</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-3.91%</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-6.57 to -1.25</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-6.66 to -1.21</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+2.51</w:t>
            </w:r>
          </w:p>
        </w:tc>
        <w:tc>
          <w:tcPr>
            <w:tcW w:type="dxa" w:w="8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4.9%</w:t>
            </w:r>
          </w:p>
        </w:tc>
      </w:tr>
      <w:tr>
        <w:tc>
          <w:tcPr>
            <w:tcW w:type="dxa" w:w="21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Favorites above .70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-2.90%</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-4.04 to -1.75</w:t>
            </w:r>
          </w:p>
        </w:tc>
        <w:tc>
          <w:tcPr>
            <w:tcW w:type="dxa" w:w="1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-4.04 to -1.73</w:t>
            </w:r>
          </w:p>
        </w:tc>
        <w:tc>
          <w:tcPr>
            <w:tcW w:type="dxa" w:w="10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-1.43</w:t>
            </w:r>
          </w:p>
        </w:tc>
        <w:tc>
          <w:tcPr>
            <w:tcW w:type="dxa" w:w="8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4.9%</w:t>
            </w:r>
          </w:p>
        </w:tc>
      </w:tr>
    </w:tbl>
    <w:p>
      <w:pPr>
        <w:spacing w:after="220" w:before="60" w:line="260"/>
        <w:jc w:val="left"/>
      </w:pPr>
      <w:r>
        <w:rPr>
          <w:rFonts w:ascii="Georgia" w:cs="Georgia" w:eastAsia="Georgia" w:hAnsi="Georgia"/>
          <w:i/>
          <w:iCs/>
          <w:color w:val="6b6b6b"/>
          <w:sz w:val="17"/>
          <w:szCs w:val="17"/>
        </w:rPr>
        <w:t xml:space="preserve">Table S4. Simulated null against the normal approximation, 100,000 draws for the intervals and 40,000 for the size estimate, seed 20260818. No bound moves by more than 0.09 percentage points and the test holds its nominal .05 size, so the intervals reported in section 5.5 stand.</w:t>
      </w:r>
    </w:p>
    <w:p>
      <w:pPr>
        <w:spacing w:after="160" w:line="340"/>
        <w:jc w:val="both"/>
      </w:pPr>
      <w:r>
        <w:rPr>
          <w:rFonts w:ascii="Georgia" w:cs="Georgia" w:eastAsia="Georgia" w:hAnsi="Georgia"/>
          <w:color w:val="1a1a1a"/>
          <w:sz w:val="22"/>
          <w:szCs w:val="22"/>
        </w:rPr>
        <w:t xml:space="preserve">The intervals survive, but the mechanism they describe is real and it is present in these prices. Repeating the size calculation on subsamples, at the sample sizes this literature actually works with, reproduces their result. The test rejects too often, longshots are worse than favorites, and the problem fades as n grows.</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2400"/>
        <w:gridCol w:w="1100"/>
        <w:gridCol w:w="1700"/>
        <w:gridCol w:w="2200"/>
        <w:gridCol w:w="1960"/>
      </w:tblGrid>
      <w:tr>
        <w:trPr>
          <w:tblHeader/>
        </w:trPr>
        <w:tc>
          <w:tcPr>
            <w:tcW w:type="dxa" w:w="24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Bet group</w:t>
            </w:r>
          </w:p>
        </w:tc>
        <w:tc>
          <w:tcPr>
            <w:tcW w:type="dxa" w:w="11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17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Per-bet SD</w:t>
            </w:r>
          </w:p>
        </w:tc>
        <w:tc>
          <w:tcPr>
            <w:tcW w:type="dxa" w:w="22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Skew of the mean</w:t>
            </w:r>
          </w:p>
        </w:tc>
        <w:tc>
          <w:tcPr>
            <w:tcW w:type="dxa" w:w="19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True size of the t-test</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favorites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66.4%</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-0.03</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5.4%</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favorites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67.6%</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-0.01</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5.0%</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underdogs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178.4%</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+0.28</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6.5%</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underdogs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250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169.3%</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+0.16</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5.7%</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underdogs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171.1%</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+0.08</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5.2%</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All underdogs</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5,000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171.6%</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+0.05</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5.0%</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Favorites above .70</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46.7%</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-0.17</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5.7%</w:t>
            </w:r>
          </w:p>
        </w:tc>
      </w:tr>
      <w:tr>
        <w:tc>
          <w:tcPr>
            <w:tcW w:type="dxa" w:w="2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Favorites above .70</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1,000</w:t>
            </w:r>
          </w:p>
        </w:tc>
        <w:tc>
          <w:tcPr>
            <w:tcW w:type="dxa" w:w="17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48.5%</w:t>
            </w:r>
          </w:p>
        </w:tc>
        <w:tc>
          <w:tcPr>
            <w:tcW w:type="dxa" w:w="2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-0.05</w:t>
            </w:r>
          </w:p>
        </w:tc>
        <w:tc>
          <w:tcPr>
            <w:tcW w:type="dxa" w:w="1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5.2%</w:t>
            </w:r>
          </w:p>
        </w:tc>
      </w:tr>
    </w:tbl>
    <w:p>
      <w:pPr>
        <w:spacing w:after="220" w:before="60" w:line="260"/>
        <w:jc w:val="left"/>
      </w:pPr>
      <w:r>
        <w:rPr>
          <w:rFonts w:ascii="Georgia" w:cs="Georgia" w:eastAsia="Georgia" w:hAnsi="Georgia"/>
          <w:i/>
          <w:iCs/>
          <w:color w:val="6b6b6b"/>
          <w:sz w:val="17"/>
          <w:szCs w:val="17"/>
        </w:rPr>
        <w:t xml:space="preserve">Table S5. The same two-sided test at nominal .05, run on subsamples of these prices. The simulated interval holds its size at 5.0 percent in every row. Reported whether or not it favors this paper: at n = 100 an underdog return test rejects a true null 6.5 percent of the time.</w:t>
      </w:r>
    </w:p>
    <w:p>
      <w:pPr>
        <w:spacing w:after="160" w:line="340"/>
        <w:jc w:val="both"/>
      </w:pPr>
      <w:r>
        <w:rPr>
          <w:rFonts w:ascii="Georgia" w:cs="Georgia" w:eastAsia="Georgia" w:hAnsi="Georgia"/>
          <w:color w:val="1a1a1a"/>
          <w:sz w:val="22"/>
          <w:szCs w:val="22"/>
        </w:rPr>
        <w:t xml:space="preserve">Two things follow. The return intervals in section 5.5 are safe at this sample size, and the reason is n rather than any property of the estimator. And consider a study of this kind run on one season of one bet type, which is common in the published record. It would be reading a test whose true size is closer to .065 than to .05, while reporting it as .05.</w:t>
      </w:r>
    </w:p>
    <w:p>
      <w:pPr>
        <w:spacing w:after="140" w:before="320" w:line="300"/>
      </w:pPr>
      <w:r>
        <w:rPr>
          <w:rFonts w:ascii="Georgia" w:cs="Georgia" w:eastAsia="Georgia" w:hAnsi="Georgia"/>
          <w:b/>
          <w:bCs/>
          <w:color w:val="1a1a2e"/>
          <w:sz w:val="28"/>
          <w:szCs w:val="28"/>
        </w:rPr>
        <w:t xml:space="preserve">S5. Equivalence, and every rule on the same games</w:t>
      </w:r>
    </w:p>
    <w:p>
      <w:pPr>
        <w:spacing w:after="160" w:line="340"/>
        <w:jc w:val="both"/>
      </w:pPr>
      <w:r>
        <w:rPr>
          <w:rFonts w:ascii="Georgia" w:cs="Georgia" w:eastAsia="Georgia" w:hAnsi="Georgia"/>
          <w:color w:val="1a1a1a"/>
          <w:sz w:val="22"/>
          <w:szCs w:val="22"/>
        </w:rPr>
        <w:t xml:space="preserve">Two questions this paper's design invites, answered here rather than asserted. Both are produced by src/equivalence_and_fixed_sample.py.</w:t>
      </w:r>
    </w:p>
    <w:p>
      <w:pPr>
        <w:spacing w:after="100" w:before="240" w:line="300"/>
      </w:pPr>
      <w:r>
        <w:rPr>
          <w:rFonts w:ascii="Georgia" w:cs="Georgia" w:eastAsia="Georgia" w:hAnsi="Georgia"/>
          <w:b/>
          <w:bCs/>
          <w:color w:val="2c2c54"/>
          <w:sz w:val="24"/>
          <w:szCs w:val="24"/>
        </w:rPr>
        <w:t xml:space="preserve">S5.1 The break-even margin, derived</w:t>
      </w:r>
    </w:p>
    <w:p>
      <w:pPr>
        <w:spacing w:after="160" w:line="340"/>
        <w:jc w:val="both"/>
      </w:pPr>
      <w:r>
        <w:rPr>
          <w:rFonts w:ascii="Georgia" w:cs="Georgia" w:eastAsia="Georgia" w:hAnsi="Georgia"/>
          <w:color w:val="1a1a1a"/>
          <w:sz w:val="22"/>
          <w:szCs w:val="22"/>
        </w:rPr>
        <w:t xml:space="preserve">The main paper compares an average calibration gap against an average margin share. That is a shortcut, and it is worth showing how good a shortcut it is. Expected return on a one-unit stake on favorite i is p_i / r_i - 1, where p_i is the true win probability and r_i is the raw implied probability. The portfolio therefore breaks even on a gap weighted by 1 / r_i, not on an equally weighted gap.</w:t>
      </w:r>
    </w:p>
    <w:p>
      <w:pPr>
        <w:spacing w:after="160" w:line="340"/>
        <w:jc w:val="both"/>
      </w:pPr>
      <w:r>
        <w:rPr>
          <w:rFonts w:ascii="Georgia" w:cs="Georgia" w:eastAsia="Georgia" w:hAnsi="Georgia"/>
          <w:color w:val="1a1a1a"/>
          <w:sz w:val="22"/>
          <w:szCs w:val="22"/>
        </w:rPr>
        <w:t xml:space="preserve">Solving for the uniform shift that sets expected return to zero gives 2.9941 percentage points. The equally weighted average that the main paper quotes is 3.0126. The shortcut is off by 0.0185 points, which is far smaller than anything the design can resolve, so the two are interchangeable here. That will not be true in a market with a wider spread of prices.</w:t>
      </w:r>
    </w:p>
    <w:p>
      <w:pPr>
        <w:spacing w:after="160" w:line="340"/>
        <w:jc w:val="both"/>
      </w:pPr>
      <w:r>
        <w:rPr>
          <w:rFonts w:ascii="Georgia" w:cs="Georgia" w:eastAsia="Georgia" w:hAnsi="Georgia"/>
          <w:color w:val="1a1a1a"/>
          <w:sz w:val="22"/>
          <w:szCs w:val="22"/>
        </w:rPr>
        <w:t xml:space="preserve">A related question is what happens if the error is not spread evenly across games. If the entire portfolio-level bias sat in one decile of prices, that decile would need a gap of 26.6 points at the longest prices or 34.7 points at the shortest. Deviations of that size are far outside anything in this sample, so a concentrated error is not a plausible route to profitability here.</w:t>
      </w:r>
    </w:p>
    <w:p>
      <w:pPr>
        <w:spacing w:after="100" w:before="240" w:line="300"/>
      </w:pPr>
      <w:r>
        <w:rPr>
          <w:rFonts w:ascii="Georgia" w:cs="Georgia" w:eastAsia="Georgia" w:hAnsi="Georgia"/>
          <w:b/>
          <w:bCs/>
          <w:color w:val="2c2c54"/>
          <w:sz w:val="24"/>
          <w:szCs w:val="24"/>
        </w:rPr>
        <w:t xml:space="preserve">S5.2 An equivalence test, which is what the conclusion needs</w:t>
      </w:r>
    </w:p>
    <w:p>
      <w:pPr>
        <w:spacing w:after="160" w:line="340"/>
        <w:jc w:val="both"/>
      </w:pPr>
      <w:r>
        <w:rPr>
          <w:rFonts w:ascii="Georgia" w:cs="Georgia" w:eastAsia="Georgia" w:hAnsi="Georgia"/>
          <w:color w:val="1a1a1a"/>
          <w:sz w:val="22"/>
          <w:szCs w:val="22"/>
        </w:rPr>
        <w:t xml:space="preserve">The primary test asks whether the calibration gap is exactly zero. Most of the paper's conclusion is about something else: whether the gap is smaller than an amount a bettor could use. Those are different hypotheses, and a minimum detectable effect does not answer the second one. An 80 percent MDE of 1.33 points does not mean every effect below 1.33 has been ruled out.</w:t>
      </w:r>
    </w:p>
    <w:p>
      <w:pPr>
        <w:spacing w:after="160" w:line="340"/>
        <w:jc w:val="both"/>
      </w:pPr>
      <w:r>
        <w:rPr>
          <w:rFonts w:ascii="Georgia" w:cs="Georgia" w:eastAsia="Georgia" w:hAnsi="Georgia"/>
          <w:color w:val="1a1a1a"/>
          <w:sz w:val="22"/>
          <w:szCs w:val="22"/>
        </w:rPr>
        <w:t xml:space="preserve">The matching test is two one-sided tests against the break-even margin, run exactly on the Poisson-binomial rather than by normal approximation. Both are rejected.</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5400"/>
        <w:gridCol w:w="3960"/>
      </w:tblGrid>
      <w:tr>
        <w:trPr>
          <w:tblHeader/>
        </w:trPr>
        <w:tc>
          <w:tcPr>
            <w:tcW w:type="dxa" w:w="54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Quantity</w:t>
            </w:r>
          </w:p>
        </w:tc>
        <w:tc>
          <w:tcPr>
            <w:tcW w:type="dxa" w:w="39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Value</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Equivalence margin</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+/- 2.99 pp</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Observed gap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+0.58 pp (5,529 favorite wins)</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 true gap is below +2.99</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4.7e-08</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 true gap is above -2.99</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2.4e-13</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TOST 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4.7e-08</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Equivalence established at .05</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yes</w:t>
            </w:r>
          </w:p>
        </w:tc>
      </w:tr>
      <w:tr>
        <w:tc>
          <w:tcPr>
            <w:tcW w:type="dxa" w:w="54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95 percent interval on the gap</w:t>
            </w:r>
          </w:p>
        </w:tc>
        <w:tc>
          <w:tcPr>
            <w:tcW w:type="dxa" w:w="39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-0.35 to +1.51 pp</w:t>
            </w:r>
          </w:p>
        </w:tc>
      </w:tr>
    </w:tbl>
    <w:p>
      <w:pPr>
        <w:spacing w:after="220" w:before="60" w:line="260"/>
        <w:jc w:val="left"/>
      </w:pPr>
      <w:r>
        <w:rPr>
          <w:rFonts w:ascii="Georgia" w:cs="Georgia" w:eastAsia="Georgia" w:hAnsi="Georgia"/>
          <w:i/>
          <w:iCs/>
          <w:color w:val="6b6b6b"/>
          <w:sz w:val="17"/>
          <w:szCs w:val="17"/>
        </w:rPr>
        <w:t xml:space="preserve">Table S6. Two one-sided tests against the derived break-even margin. Rejecting both means the gap is smaller in absolute value than the amount a bettor would need, at the stated level. This is the hypothesis the main paper's conclusion relies on, and it is stated here rather than inferred from the minimum detectable effect.</w:t>
      </w:r>
    </w:p>
    <w:p>
      <w:pPr>
        <w:spacing w:after="160" w:line="340"/>
        <w:jc w:val="both"/>
      </w:pPr>
      <w:r>
        <w:rPr>
          <w:rFonts w:ascii="Georgia" w:cs="Georgia" w:eastAsia="Georgia" w:hAnsi="Georgia"/>
          <w:color w:val="1a1a1a"/>
          <w:sz w:val="22"/>
          <w:szCs w:val="22"/>
        </w:rPr>
        <w:t xml:space="preserve">The same conclusion follows from the intervals without any new test. The upper bound of the primary 95 percent interval is +1.51 points, and the wider team-blocked bootstrap gives +1.57. Both sit well below 2.99.</w:t>
      </w:r>
    </w:p>
    <w:p>
      <w:pPr>
        <w:spacing w:after="100" w:before="240" w:line="300"/>
      </w:pPr>
      <w:r>
        <w:rPr>
          <w:rFonts w:ascii="Georgia" w:cs="Georgia" w:eastAsia="Georgia" w:hAnsi="Georgia"/>
          <w:b/>
          <w:bCs/>
          <w:color w:val="2c2c54"/>
          <w:sz w:val="24"/>
          <w:szCs w:val="24"/>
        </w:rPr>
        <w:t xml:space="preserve">S5.3 Every vig-removal rule on the same 6,840 games</w:t>
      </w:r>
    </w:p>
    <w:p>
      <w:pPr>
        <w:spacing w:after="160" w:line="340"/>
        <w:jc w:val="both"/>
      </w:pPr>
      <w:r>
        <w:rPr>
          <w:rFonts w:ascii="Georgia" w:cs="Georgia" w:eastAsia="Georgia" w:hAnsi="Georgia"/>
          <w:color w:val="1a1a1a"/>
          <w:sz w:val="22"/>
          <w:szCs w:val="22"/>
        </w:rPr>
        <w:t xml:space="preserve">Table 5 of the main paper changes two things at once. Each rule produces its own probabilities, so each rule picks a different set of games above the .70 threshold. Proportional keeps 6,840; power keeps 7,211. Differences across those rows mix the rule's effect with a change in which games are included. Holding the sample fixed at the 6,840 games the pre-specified proportional rule selects separates the two.</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2500"/>
        <w:gridCol w:w="900"/>
        <w:gridCol w:w="1050"/>
        <w:gridCol w:w="800"/>
        <w:gridCol w:w="800"/>
        <w:gridCol w:w="1650"/>
        <w:gridCol w:w="1660"/>
      </w:tblGrid>
      <w:tr>
        <w:trPr>
          <w:tblHeader/>
        </w:trPr>
        <w:tc>
          <w:tcPr>
            <w:tcW w:type="dxa" w:w="25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Vig-removal rule</w:t>
            </w:r>
          </w:p>
        </w:tc>
        <w:tc>
          <w:tcPr>
            <w:tcW w:type="dxa" w:w="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10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Gap (pp)</w:t>
            </w:r>
          </w:p>
        </w:tc>
        <w:tc>
          <w:tcPr>
            <w:tcW w:type="dxa" w:w="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z</w:t>
            </w:r>
          </w:p>
        </w:tc>
        <w:tc>
          <w:tcPr>
            <w:tcW w:type="dxa" w:w="8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w:t>
            </w:r>
          </w:p>
        </w:tc>
        <w:tc>
          <w:tcPr>
            <w:tcW w:type="dxa" w:w="165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Break-even (pp)</w:t>
            </w:r>
          </w:p>
        </w:tc>
        <w:tc>
          <w:tcPr>
            <w:tcW w:type="dxa" w:w="16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Verdict</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None, raw probabilities</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-2.43</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-5.49</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&lt;.001</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margin artifact</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Proportional (primary)</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+0.58</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1.22</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.223</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3.01</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Additive, equal margin</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-0.55</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.231</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1.88</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Shin (1993)</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-0.55</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-1.20</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.231</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1.88</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Constant odds ratio</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-0.65</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-1.41</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.157</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1.78</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r>
        <w:tc>
          <w:tcPr>
            <w:tcW w:type="dxa" w:w="25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Power</w:t>
            </w:r>
          </w:p>
        </w:tc>
        <w:tc>
          <w:tcPr>
            <w:tcW w:type="dxa" w:w="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6,840</w:t>
            </w:r>
          </w:p>
        </w:tc>
        <w:tc>
          <w:tcPr>
            <w:tcW w:type="dxa" w:w="10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-1.21</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-2.67</w:t>
            </w:r>
          </w:p>
        </w:tc>
        <w:tc>
          <w:tcPr>
            <w:tcW w:type="dxa" w:w="8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.008</w:t>
            </w:r>
          </w:p>
        </w:tc>
        <w:tc>
          <w:tcPr>
            <w:tcW w:type="dxa" w:w="165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1.22</w:t>
            </w:r>
          </w:p>
        </w:tc>
        <w:tc>
          <w:tcPr>
            <w:tcW w:type="dxa" w:w="16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below</w:t>
            </w:r>
          </w:p>
        </w:tc>
      </w:tr>
    </w:tbl>
    <w:p>
      <w:pPr>
        <w:spacing w:after="220" w:before="60" w:line="260"/>
        <w:jc w:val="left"/>
      </w:pPr>
      <w:r>
        <w:rPr>
          <w:rFonts w:ascii="Georgia" w:cs="Georgia" w:eastAsia="Georgia" w:hAnsi="Georgia"/>
          <w:i/>
          <w:iCs/>
          <w:color w:val="6b6b6b"/>
          <w:sz w:val="17"/>
          <w:szCs w:val="17"/>
        </w:rPr>
        <w:t xml:space="preserve">Table S7. The same test as Table 5 of the main paper, with the sample held fixed at the games the pre-specified rule selects. Only the vig-removal rule changes across rows.</w:t>
      </w:r>
    </w:p>
    <w:p>
      <w:pPr>
        <w:spacing w:after="160" w:line="340"/>
        <w:jc w:val="both"/>
      </w:pPr>
      <w:r>
        <w:rPr>
          <w:rFonts w:ascii="Georgia" w:cs="Georgia" w:eastAsia="Georgia" w:hAnsi="Georgia"/>
          <w:color w:val="1a1a1a"/>
          <w:sz w:val="22"/>
          <w:szCs w:val="22"/>
        </w:rPr>
        <w:t xml:space="preserve">Two things change once the sample is held fixed, and one does not. The spread across rules narrows a little, from -1.31 to +0.58 in Table 5 down to -1.21 to +0.58 here, and the sign still flips. Power normalization is still significant, at p = .008. But it no longer exceeds its own break-even margin: -1.21 against 1.22, short by a hundredth of a point rather than clear by seven hundredths.</w:t>
      </w:r>
    </w:p>
    <w:p>
      <w:pPr>
        <w:spacing w:after="160" w:line="340"/>
        <w:jc w:val="both"/>
      </w:pPr>
      <w:r>
        <w:rPr>
          <w:rFonts w:ascii="Georgia" w:cs="Georgia" w:eastAsia="Georgia" w:hAnsi="Georgia"/>
          <w:color w:val="1a1a1a"/>
          <w:sz w:val="22"/>
          <w:szCs w:val="22"/>
        </w:rPr>
        <w:t xml:space="preserve">The honest reading is that the two numbers are indistinguishable. Power normalization puts the gap essentially exactly at the amount a bettor would need, and which side of that line it lands on turns out to depend partly on which games the rule admits. The main paper's substantive claim is unchanged: the sign and significance of estimated favorite bias move with the vig-removal rule. The claim that has to be withdrawn is the narrower one, that any rule in this set produced a gap a bettor could have used.</w:t>
      </w:r>
    </w:p>
    <w:p>
      <w:pPr>
        <w:spacing w:after="140" w:before="320" w:line="300"/>
      </w:pPr>
      <w:r>
        <w:rPr>
          <w:rFonts w:ascii="Georgia" w:cs="Georgia" w:eastAsia="Georgia" w:hAnsi="Georgia"/>
          <w:b/>
          <w:bCs/>
          <w:color w:val="1a1a2e"/>
          <w:sz w:val="28"/>
          <w:szCs w:val="28"/>
        </w:rPr>
        <w:t xml:space="preserve">S6. Season-by-season results</w:t>
      </w:r>
    </w:p>
    <w:p>
      <w:pPr>
        <w:spacing w:after="160" w:line="340"/>
        <w:jc w:val="both"/>
      </w:pPr>
      <w:r>
        <w:rPr>
          <w:rFonts w:ascii="Georgia" w:cs="Georgia" w:eastAsia="Georgia" w:hAnsi="Georgia"/>
          <w:color w:val="1a1a1a"/>
          <w:sz w:val="22"/>
          <w:szCs w:val="22"/>
        </w:rPr>
        <w:t xml:space="preserve">Favorites above .70 vig-free implied probability, by season. No season rejects; the smallest p is .107. The Cochran Q heterogeneity statistic over these thirteen strata is 8.37 on twelve degrees of freedom, p = .756, with I-squared at 0 percent.</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1560"/>
        <w:gridCol w:w="1100"/>
        <w:gridCol w:w="1400"/>
        <w:gridCol w:w="1400"/>
        <w:gridCol w:w="1400"/>
        <w:gridCol w:w="1200"/>
        <w:gridCol w:w="1300"/>
      </w:tblGrid>
      <w:tr>
        <w:trPr>
          <w:tblHeader/>
        </w:trPr>
        <w:tc>
          <w:tcPr>
            <w:tcW w:type="dxa" w:w="156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Season</w:t>
            </w:r>
          </w:p>
        </w:tc>
        <w:tc>
          <w:tcPr>
            <w:tcW w:type="dxa" w:w="11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n</w:t>
            </w:r>
          </w:p>
        </w:tc>
        <w:tc>
          <w:tcPr>
            <w:tcW w:type="dxa" w:w="14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Observed</w:t>
            </w:r>
          </w:p>
        </w:tc>
        <w:tc>
          <w:tcPr>
            <w:tcW w:type="dxa" w:w="14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Implied</w:t>
            </w:r>
          </w:p>
        </w:tc>
        <w:tc>
          <w:tcPr>
            <w:tcW w:type="dxa" w:w="14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Gap (pp)</w:t>
            </w:r>
          </w:p>
        </w:tc>
        <w:tc>
          <w:tcPr>
            <w:tcW w:type="dxa" w:w="12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z</w:t>
            </w:r>
          </w:p>
        </w:tc>
        <w:tc>
          <w:tcPr>
            <w:tcW w:type="dxa" w:w="13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2007-08</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601</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81.70%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81.00%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+0.70</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0.44</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.658</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2008-09</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565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82.48%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80.31%</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+2.17</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1.32</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.188</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2009-10</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529</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81.66%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80.28%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+1.38</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0.81</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.417</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2010-11</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536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82.46%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79.94%</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+2.52</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1.48</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.140</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2011-12</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442</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81.90%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80.00%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+1.90</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1.01</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.311</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2012-13</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525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80.76%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79.77%</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+0.99</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0.57</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.567</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2013-14</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530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80.75%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80.43%</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+0.33</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0.19</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.846</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2014-15</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585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80.68%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80.42%</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+0.27</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0.16</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.869</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2015-16</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546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82.05%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81.51%</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+0.54</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0.33</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.741</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2016-17</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490</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77.96%</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80.78%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-2.82</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-1.61</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.107</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2017-18</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513</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78.75%</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79.38%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-0.62</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-0.35</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.723</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2018-19</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539</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81.08%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80.07%</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+1.00</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0.59</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.555</w:t>
            </w:r>
          </w:p>
        </w:tc>
      </w:tr>
      <w:tr>
        <w:tc>
          <w:tcPr>
            <w:tcW w:type="dxa" w:w="156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2019-20</w:t>
            </w:r>
          </w:p>
        </w:tc>
        <w:tc>
          <w:tcPr>
            <w:tcW w:type="dxa" w:w="11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439</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77.68%</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79.02%</w:t>
            </w:r>
          </w:p>
        </w:tc>
        <w:tc>
          <w:tcPr>
            <w:tcW w:type="dxa" w:w="14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-1.34</w:t>
            </w:r>
          </w:p>
        </w:tc>
        <w:tc>
          <w:tcPr>
            <w:tcW w:type="dxa" w:w="12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-0.70</w:t>
            </w:r>
          </w:p>
        </w:tc>
        <w:tc>
          <w:tcPr>
            <w:tcW w:type="dxa" w:w="13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.484</w:t>
            </w:r>
          </w:p>
        </w:tc>
      </w:tr>
    </w:tbl>
    <w:p>
      <w:pPr>
        <w:spacing w:after="220" w:before="60" w:line="260"/>
        <w:jc w:val="left"/>
      </w:pPr>
      <w:r>
        <w:rPr>
          <w:rFonts w:ascii="Georgia" w:cs="Georgia" w:eastAsia="Georgia" w:hAnsi="Georgia"/>
          <w:i/>
          <w:iCs/>
          <w:color w:val="6b6b6b"/>
          <w:sz w:val="17"/>
          <w:szCs w:val="17"/>
        </w:rPr>
        <w:t xml:space="preserve">Table S8. Exploratory, not pre-specified, and not corrected for multiplicity.</w:t>
      </w:r>
    </w:p>
    <w:p>
      <w:pPr>
        <w:spacing w:after="140" w:before="320" w:line="300"/>
      </w:pPr>
      <w:r>
        <w:rPr>
          <w:rFonts w:ascii="Georgia" w:cs="Georgia" w:eastAsia="Georgia" w:hAnsi="Georgia"/>
          <w:b/>
          <w:bCs/>
          <w:color w:val="1a1a2e"/>
          <w:sz w:val="28"/>
          <w:szCs w:val="28"/>
        </w:rPr>
        <w:t xml:space="preserve">S7. Reproducing every number</w:t>
      </w:r>
    </w:p>
    <w:p>
      <w:pPr>
        <w:spacing w:after="160" w:line="340"/>
        <w:jc w:val="both"/>
      </w:pPr>
      <w:r>
        <w:rPr>
          <w:rFonts w:ascii="Georgia" w:cs="Georgia" w:eastAsia="Georgia" w:hAnsi="Georgia"/>
          <w:color w:val="1a1a1a"/>
          <w:sz w:val="22"/>
          <w:szCs w:val="22"/>
        </w:rPr>
        <w:t xml:space="preserve">Clone the repository, install the requirements, and run bash run_all.sh. The pipeline runs in ten steps and takes about five minutes. Data verification runs first and halts the pipeline on failure.</w:t>
      </w:r>
    </w:p>
    <w:p>
      <w:pPr>
        <w:spacing w:after="30"/>
      </w:pPr>
    </w:p>
    <w:tbl>
      <w:tblPr>
        <w:tblW w:type="dxa" w:w="9360"/>
        <w:tblBorders>
          <w:top w:val="single" w:color="9aa4b0" w:sz="6"/>
          <w:left w:val="none"/>
          <w:bottom w:val="single" w:color="9aa4b0" w:sz="6"/>
          <w:right w:val="none"/>
          <w:insideH w:val="single" w:color="dde2e8" w:sz="2"/>
          <w:insideV w:val="none"/>
        </w:tblBorders>
      </w:tblPr>
      <w:tblGrid>
        <w:gridCol w:w="700"/>
        <w:gridCol w:w="2900"/>
        <w:gridCol w:w="5760"/>
      </w:tblGrid>
      <w:tr>
        <w:trPr>
          <w:tblHeader/>
        </w:trPr>
        <w:tc>
          <w:tcPr>
            <w:tcW w:type="dxa" w:w="700"/>
            <w:shd w:fill="eef1f5" w:val="clear"/>
            <w:tcMar>
              <w:top w:type="dxa" w:w="60"/>
              <w:left w:type="dxa" w:w="90"/>
              <w:bottom w:type="dxa" w:w="60"/>
              <w:right w:type="dxa" w:w="90"/>
            </w:tcMar>
          </w:tcPr>
          <w:p>
            <w:pPr>
              <w:spacing w:after="0" w:line="240"/>
              <w:jc w:val="left"/>
            </w:pPr>
            <w:r>
              <w:rPr>
                <w:rFonts w:ascii="Georgia" w:cs="Georgia" w:eastAsia="Georgia" w:hAnsi="Georgia"/>
                <w:b/>
                <w:bCs/>
                <w:color w:val="1a1a1a"/>
                <w:sz w:val="17"/>
                <w:szCs w:val="17"/>
              </w:rPr>
              <w:t xml:space="preserve">Step</w:t>
            </w:r>
          </w:p>
        </w:tc>
        <w:tc>
          <w:tcPr>
            <w:tcW w:type="dxa" w:w="290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Script</w:t>
            </w:r>
          </w:p>
        </w:tc>
        <w:tc>
          <w:tcPr>
            <w:tcW w:type="dxa" w:w="5760"/>
            <w:shd w:fill="eef1f5" w:val="clear"/>
            <w:tcMar>
              <w:top w:type="dxa" w:w="60"/>
              <w:left w:type="dxa" w:w="90"/>
              <w:bottom w:type="dxa" w:w="60"/>
              <w:right w:type="dxa" w:w="90"/>
            </w:tcMar>
          </w:tcPr>
          <w:p>
            <w:pPr>
              <w:spacing w:after="0" w:line="240"/>
              <w:jc w:val="right"/>
            </w:pPr>
            <w:r>
              <w:rPr>
                <w:rFonts w:ascii="Georgia" w:cs="Georgia" w:eastAsia="Georgia" w:hAnsi="Georgia"/>
                <w:b/>
                <w:bCs/>
                <w:color w:val="1a1a1a"/>
                <w:sz w:val="17"/>
                <w:szCs w:val="17"/>
              </w:rPr>
              <w:t xml:space="preserve">Produces</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1</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verify_data.py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full-sample cross-validation, schedule and outcome checks</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2</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build_dataset.py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exclusions, probabilities, favorite side, break-even</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3</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primary_analysis.py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primary test, calibration regression, buckets, returns</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4</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robustness.py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seasons, Cochran Q, extreme tail, season bootstrap</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5</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figures.py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Figures 1 and 2</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6</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normalization_robustness.py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five vig-removal rules (Table 5)</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6</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dependence_robustness.py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cluster-robust variance, team bootstrap (Table 4)</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7</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power_curve.py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Figure 3, Table 1, exact power (Tables S2 and S3)</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8</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shin_equivalence_proof.py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S1 verification (Table S1)</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9</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return_simulation.py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simulated null for the return intervals (Tables S4 and S5)</w:t>
            </w:r>
          </w:p>
        </w:tc>
      </w:tr>
      <w:tr>
        <w:tc>
          <w:tcPr>
            <w:tcW w:type="dxa" w:w="700"/>
            <w:tcMar>
              <w:top w:type="dxa" w:w="60"/>
              <w:left w:type="dxa" w:w="90"/>
              <w:bottom w:type="dxa" w:w="60"/>
              <w:right w:type="dxa" w:w="90"/>
            </w:tcMar>
          </w:tcPr>
          <w:p>
            <w:pPr>
              <w:spacing w:after="0" w:line="240"/>
              <w:jc w:val="left"/>
            </w:pPr>
            <w:r>
              <w:rPr>
                <w:rFonts w:ascii="Georgia" w:cs="Georgia" w:eastAsia="Georgia" w:hAnsi="Georgia"/>
                <w:b w:val="false"/>
                <w:bCs w:val="false"/>
                <w:color w:val="1a1a1a"/>
                <w:sz w:val="17"/>
                <w:szCs w:val="17"/>
              </w:rPr>
              <w:t xml:space="preserve">10</w:t>
            </w:r>
          </w:p>
        </w:tc>
        <w:tc>
          <w:tcPr>
            <w:tcW w:type="dxa" w:w="290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equivalence_and_fixed_sample.py</w:t>
            </w:r>
          </w:p>
        </w:tc>
        <w:tc>
          <w:tcPr>
            <w:tcW w:type="dxa" w:w="5760"/>
            <w:tcMar>
              <w:top w:type="dxa" w:w="60"/>
              <w:left w:type="dxa" w:w="90"/>
              <w:bottom w:type="dxa" w:w="60"/>
              <w:right w:type="dxa" w:w="90"/>
            </w:tcMar>
          </w:tcPr>
          <w:p>
            <w:pPr>
              <w:spacing w:after="0" w:line="240"/>
              <w:jc w:val="right"/>
            </w:pPr>
            <w:r>
              <w:rPr>
                <w:rFonts w:ascii="Georgia" w:cs="Georgia" w:eastAsia="Georgia" w:hAnsi="Georgia"/>
                <w:b w:val="false"/>
                <w:bCs w:val="false"/>
                <w:color w:val="1a1a1a"/>
                <w:sz w:val="17"/>
                <w:szCs w:val="17"/>
              </w:rPr>
              <w:t xml:space="preserve">equivalence test and fixed-sample rules (Tables S6 and S7)</w:t>
            </w:r>
          </w:p>
        </w:tc>
      </w:tr>
    </w:tbl>
    <w:p>
      <w:pPr>
        <w:spacing w:after="220" w:before="60" w:line="260"/>
        <w:jc w:val="left"/>
      </w:pPr>
      <w:r>
        <w:rPr>
          <w:rFonts w:ascii="Georgia" w:cs="Georgia" w:eastAsia="Georgia" w:hAnsi="Georgia"/>
          <w:i/>
          <w:iCs/>
          <w:color w:val="6b6b6b"/>
          <w:sz w:val="17"/>
          <w:szCs w:val="17"/>
        </w:rPr>
        <w:t xml:space="preserve">Table S9. Every statistic in the main paper is printed to the console and written to results/ as JSON or CSV.</w:t>
      </w:r>
    </w:p>
    <w:p>
      <w:pPr>
        <w:spacing w:after="160" w:line="340"/>
        <w:jc w:val="both"/>
      </w:pPr>
      <w:r>
        <w:rPr>
          <w:rFonts w:ascii="Georgia" w:cs="Georgia" w:eastAsia="Georgia" w:hAnsi="Georgia"/>
          <w:color w:val="1a1a1a"/>
          <w:sz w:val="22"/>
          <w:szCs w:val="22"/>
        </w:rPr>
        <w:t xml:space="preserve">A separate script, src/fetch_source_data.py, re-downloads the complete original files and prints their SHA-256 hashes. It then confirms that every column kept in the local subsets matches the original, row for row. The frozen analysis plan is at preregistration/analysis_plan.md. A note on its history states when it was typed into the repository, and what evidence does and does not exist for the freeze date. A running record of every correction made to this paper, including the two documented in S2 and S3, is at docs/errata.md.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Georgia" w:cs="Georgia" w:eastAsia="Georgia" w:hAnsi="Georgia"/>
        <w:color w:val="6b6b6b"/>
        <w:sz w:val="16"/>
        <w:szCs w:val="16"/>
      </w:rPr>
      <w:t xml:space="preserve">Burdier | Supplementary Material | S</w:t>
    </w:r>
    <w:r>
      <w:rPr>
        <w:rFonts w:ascii="Georgia" w:cs="Georgia" w:eastAsia="Georgia" w:hAnsi="Georgi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NBA Moneyline Calibration</dc:title>
  <dc:creator>Jacob Burdier</dc:creator>
  <cp:lastModifiedBy>Un-named</cp:lastModifiedBy>
  <cp:revision>1</cp:revision>
  <dcterms:created xsi:type="dcterms:W3CDTF">2026-08-20T19:50:16.748Z</dcterms:created>
  <dcterms:modified xsi:type="dcterms:W3CDTF">2026-08-20T19:50:16.748Z</dcterms:modified>
</cp:coreProperties>
</file>

<file path=docProps/custom.xml><?xml version="1.0" encoding="utf-8"?>
<Properties xmlns="http://schemas.openxmlformats.org/officeDocument/2006/custom-properties" xmlns:vt="http://schemas.openxmlformats.org/officeDocument/2006/docPropsVTypes"/>
</file>