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39" w:rsidRPr="00427408" w:rsidRDefault="004E3738" w:rsidP="004E3738">
      <w:pPr>
        <w:jc w:val="center"/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>METHODOLOGY</w:t>
      </w:r>
    </w:p>
    <w:p w:rsidR="004E3738" w:rsidRDefault="004E3738" w:rsidP="004E3738">
      <w:pPr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>The first step…</w:t>
      </w:r>
    </w:p>
    <w:p w:rsidR="00970288" w:rsidRPr="00427408" w:rsidRDefault="00970288" w:rsidP="004E3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RiverWare Model</w:t>
      </w:r>
    </w:p>
    <w:p w:rsidR="00970288" w:rsidRDefault="00DD30B8">
      <w:pPr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 xml:space="preserve">The RiverWare model </w:t>
      </w:r>
      <w:r w:rsidR="00970288">
        <w:rPr>
          <w:rFonts w:ascii="Times New Roman" w:hAnsi="Times New Roman" w:cs="Times New Roman"/>
        </w:rPr>
        <w:t xml:space="preserve">used in this study </w:t>
      </w:r>
      <w:r w:rsidRPr="00427408">
        <w:rPr>
          <w:rFonts w:ascii="Times New Roman" w:hAnsi="Times New Roman" w:cs="Times New Roman"/>
        </w:rPr>
        <w:t>of the Weber Basin Conservancy District</w:t>
      </w:r>
      <w:r w:rsidR="00970288">
        <w:rPr>
          <w:rFonts w:ascii="Times New Roman" w:hAnsi="Times New Roman" w:cs="Times New Roman"/>
        </w:rPr>
        <w:t xml:space="preserve"> water system</w:t>
      </w:r>
      <w:r w:rsidRPr="00427408">
        <w:rPr>
          <w:rFonts w:ascii="Times New Roman" w:hAnsi="Times New Roman" w:cs="Times New Roman"/>
        </w:rPr>
        <w:t xml:space="preserve"> </w:t>
      </w:r>
      <w:r w:rsidR="00970288">
        <w:rPr>
          <w:rFonts w:ascii="Times New Roman" w:hAnsi="Times New Roman" w:cs="Times New Roman"/>
        </w:rPr>
        <w:t xml:space="preserve">is based on the Utah Division of Water Resources Weber River Model. Originally designed from the </w:t>
      </w:r>
      <w:r w:rsidR="00BF3119">
        <w:rPr>
          <w:rFonts w:ascii="Times New Roman" w:hAnsi="Times New Roman" w:cs="Times New Roman"/>
        </w:rPr>
        <w:t xml:space="preserve">Utah Division of Water Resources </w:t>
      </w:r>
      <w:r w:rsidR="00970288">
        <w:rPr>
          <w:rFonts w:ascii="Times New Roman" w:hAnsi="Times New Roman" w:cs="Times New Roman"/>
        </w:rPr>
        <w:t>FORTRAN Model</w:t>
      </w:r>
      <w:r w:rsidR="00BF3119">
        <w:rPr>
          <w:rFonts w:ascii="Times New Roman" w:hAnsi="Times New Roman" w:cs="Times New Roman"/>
        </w:rPr>
        <w:t>.  “As mentioned, the Weber River Model has been updated, within the last several years to the RiverWare platform. This update has more easily allowed the opportunity to explore alternative</w:t>
      </w:r>
      <w:r w:rsidR="006F7F64">
        <w:rPr>
          <w:rFonts w:ascii="Times New Roman" w:hAnsi="Times New Roman" w:cs="Times New Roman"/>
        </w:rPr>
        <w:t xml:space="preserve"> scenarios with the model. </w:t>
      </w:r>
      <w:proofErr w:type="gramStart"/>
      <w:r w:rsidR="006F7F64">
        <w:rPr>
          <w:rFonts w:ascii="Times New Roman" w:hAnsi="Times New Roman" w:cs="Times New Roman"/>
        </w:rPr>
        <w:t>Making adjustments to</w:t>
      </w:r>
      <w:proofErr w:type="gramEnd"/>
      <w:r w:rsidR="006F7F64">
        <w:rPr>
          <w:rFonts w:ascii="Times New Roman" w:hAnsi="Times New Roman" w:cs="Times New Roman"/>
        </w:rPr>
        <w:t xml:space="preserve"> rules, reservoirs, inflows, demands, etc.” </w:t>
      </w:r>
    </w:p>
    <w:p w:rsidR="006F7F64" w:rsidRDefault="0097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</w:t>
      </w:r>
      <w:r w:rsidR="006F7F64">
        <w:rPr>
          <w:rFonts w:ascii="Times New Roman" w:hAnsi="Times New Roman" w:cs="Times New Roman"/>
        </w:rPr>
        <w:t xml:space="preserve"> Computations</w:t>
      </w:r>
    </w:p>
    <w:p w:rsidR="006F7F64" w:rsidRDefault="00AF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Demand is input into the RiverWare Model using an Annual Demand Values for 20 different service areas defined in the original Fortran Model. </w:t>
      </w:r>
      <w:r>
        <w:rPr>
          <w:rFonts w:ascii="Times New Roman" w:hAnsi="Times New Roman" w:cs="Times New Roman"/>
          <w:b/>
          <w:bCs/>
          <w:i/>
          <w:iCs/>
        </w:rPr>
        <w:t xml:space="preserve">Input Table-5 from the UDWR RiverWare Model Description. </w:t>
      </w:r>
      <w:r>
        <w:rPr>
          <w:rFonts w:ascii="Times New Roman" w:hAnsi="Times New Roman" w:cs="Times New Roman"/>
        </w:rPr>
        <w:t xml:space="preserve">(McGettigan and Melcher, 2018).  </w:t>
      </w:r>
    </w:p>
    <w:p w:rsidR="00AF030F" w:rsidRDefault="00AF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compute different scenarios of demands, several subfactors where implemented. These subfactors </w:t>
      </w:r>
      <w:proofErr w:type="gramStart"/>
      <w:r w:rsidR="000B4595"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</w:t>
      </w:r>
      <w:r w:rsidR="000B4595">
        <w:rPr>
          <w:rFonts w:ascii="Times New Roman" w:hAnsi="Times New Roman" w:cs="Times New Roman"/>
        </w:rPr>
        <w:t xml:space="preserve">population changes, per-capita indoor water usage, per-capita outdoor water usage, evapotranspiration and agricultural conversion.  </w:t>
      </w:r>
    </w:p>
    <w:p w:rsidR="000B4595" w:rsidRDefault="000B4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Population changes include values for each county, a base case of the 2015 population and the projected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2070 population and 2150 population. The total scenario populations for the District for each year are shown in Table #. </w:t>
      </w:r>
    </w:p>
    <w:p w:rsidR="000B4595" w:rsidRPr="000B4595" w:rsidRDefault="000B45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Table #.0 – Total District Population Values Used</w:t>
      </w:r>
      <w:r>
        <w:rPr>
          <w:rFonts w:ascii="Times New Roman" w:hAnsi="Times New Roman" w:cs="Times New Roman"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4595" w:rsidTr="00423482">
        <w:tc>
          <w:tcPr>
            <w:tcW w:w="3116" w:type="dxa"/>
            <w:tcBorders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:rsidR="000B4595" w:rsidRPr="00423482" w:rsidRDefault="000B4595" w:rsidP="004234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Denotation for Change</w:t>
            </w:r>
          </w:p>
        </w:tc>
        <w:tc>
          <w:tcPr>
            <w:tcW w:w="3117" w:type="dxa"/>
            <w:tcBorders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:rsidR="000B4595" w:rsidRPr="00423482" w:rsidRDefault="000B4595" w:rsidP="004234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Population (Persons)</w:t>
            </w:r>
          </w:p>
        </w:tc>
        <w:tc>
          <w:tcPr>
            <w:tcW w:w="3117" w:type="dxa"/>
            <w:tcBorders>
              <w:left w:val="nil"/>
              <w:bottom w:val="single" w:sz="8" w:space="0" w:color="auto"/>
            </w:tcBorders>
            <w:shd w:val="clear" w:color="auto" w:fill="BFBFBF" w:themeFill="background1" w:themeFillShade="BF"/>
          </w:tcPr>
          <w:p w:rsidR="000B4595" w:rsidRPr="00423482" w:rsidRDefault="000B4595">
            <w:pPr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0B4595" w:rsidTr="00423482">
        <w:tc>
          <w:tcPr>
            <w:tcW w:w="3116" w:type="dxa"/>
            <w:tcBorders>
              <w:top w:val="single" w:sz="8" w:space="0" w:color="auto"/>
            </w:tcBorders>
          </w:tcPr>
          <w:p w:rsidR="000B4595" w:rsidRDefault="000B4595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3117" w:type="dxa"/>
            <w:tcBorders>
              <w:top w:val="single" w:sz="8" w:space="0" w:color="auto"/>
            </w:tcBorders>
          </w:tcPr>
          <w:p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623,960</w:t>
            </w:r>
          </w:p>
        </w:tc>
        <w:tc>
          <w:tcPr>
            <w:tcW w:w="3117" w:type="dxa"/>
            <w:tcBorders>
              <w:top w:val="single" w:sz="8" w:space="0" w:color="auto"/>
            </w:tcBorders>
          </w:tcPr>
          <w:p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(UDWR, 2015)</w:t>
            </w:r>
          </w:p>
        </w:tc>
      </w:tr>
      <w:tr w:rsidR="000B4595" w:rsidTr="000B4595">
        <w:tc>
          <w:tcPr>
            <w:tcW w:w="3116" w:type="dxa"/>
          </w:tcPr>
          <w:p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3117" w:type="dxa"/>
          </w:tcPr>
          <w:p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978,500</w:t>
            </w:r>
          </w:p>
        </w:tc>
        <w:tc>
          <w:tcPr>
            <w:tcW w:w="3117" w:type="dxa"/>
          </w:tcPr>
          <w:p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(WBCD, 2013)</w:t>
            </w:r>
          </w:p>
        </w:tc>
      </w:tr>
      <w:tr w:rsidR="000B4595" w:rsidTr="000B4595">
        <w:tc>
          <w:tcPr>
            <w:tcW w:w="3116" w:type="dxa"/>
          </w:tcPr>
          <w:p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Drastic Increase</w:t>
            </w:r>
          </w:p>
        </w:tc>
        <w:tc>
          <w:tcPr>
            <w:tcW w:w="3117" w:type="dxa"/>
          </w:tcPr>
          <w:p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1,263,000</w:t>
            </w:r>
          </w:p>
        </w:tc>
        <w:tc>
          <w:tcPr>
            <w:tcW w:w="3117" w:type="dxa"/>
          </w:tcPr>
          <w:p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(WBCD, 2013)</w:t>
            </w:r>
          </w:p>
        </w:tc>
      </w:tr>
    </w:tbl>
    <w:p w:rsidR="000B4595" w:rsidRDefault="000B4595">
      <w:pPr>
        <w:rPr>
          <w:rFonts w:ascii="Times New Roman" w:hAnsi="Times New Roman" w:cs="Times New Roman"/>
        </w:rPr>
      </w:pPr>
    </w:p>
    <w:p w:rsidR="00423482" w:rsidRDefault="0042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Areas and Populations per Service Area</w:t>
      </w:r>
    </w:p>
    <w:p w:rsidR="00423482" w:rsidRPr="00AF030F" w:rsidRDefault="00423482">
      <w:pPr>
        <w:rPr>
          <w:rFonts w:ascii="Times New Roman" w:hAnsi="Times New Roman" w:cs="Times New Roman"/>
        </w:rPr>
      </w:pPr>
    </w:p>
    <w:p w:rsidR="00970288" w:rsidRDefault="0042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Per-Capita Usage Changes</w:t>
      </w:r>
    </w:p>
    <w:p w:rsidR="00423482" w:rsidRPr="00427408" w:rsidRDefault="00423482">
      <w:pPr>
        <w:rPr>
          <w:rFonts w:ascii="Times New Roman" w:hAnsi="Times New Roman" w:cs="Times New Roman"/>
        </w:rPr>
      </w:pPr>
    </w:p>
    <w:sectPr w:rsidR="00423482" w:rsidRPr="0042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9"/>
    <w:rsid w:val="000B4595"/>
    <w:rsid w:val="00423482"/>
    <w:rsid w:val="00427408"/>
    <w:rsid w:val="004E3738"/>
    <w:rsid w:val="006F7F64"/>
    <w:rsid w:val="00722FC4"/>
    <w:rsid w:val="00970288"/>
    <w:rsid w:val="00AD2739"/>
    <w:rsid w:val="00AF030F"/>
    <w:rsid w:val="00BF3119"/>
    <w:rsid w:val="00D90B42"/>
    <w:rsid w:val="00D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02F4"/>
  <w15:chartTrackingRefBased/>
  <w15:docId w15:val="{84B8F0A9-436B-4514-956B-A470F04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B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Everitt</dc:creator>
  <cp:keywords/>
  <dc:description/>
  <cp:lastModifiedBy>Jacob Everitt</cp:lastModifiedBy>
  <cp:revision>3</cp:revision>
  <dcterms:created xsi:type="dcterms:W3CDTF">2019-11-22T19:12:00Z</dcterms:created>
  <dcterms:modified xsi:type="dcterms:W3CDTF">2019-11-23T20:09:00Z</dcterms:modified>
</cp:coreProperties>
</file>