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8BDF" w14:textId="77777777" w:rsidR="00AD2739" w:rsidRPr="00427408" w:rsidRDefault="004E3738" w:rsidP="004E3738">
      <w:pPr>
        <w:jc w:val="center"/>
        <w:rPr>
          <w:rFonts w:ascii="Times New Roman" w:hAnsi="Times New Roman" w:cs="Times New Roman"/>
        </w:rPr>
      </w:pPr>
      <w:r w:rsidRPr="00427408">
        <w:rPr>
          <w:rFonts w:ascii="Times New Roman" w:hAnsi="Times New Roman" w:cs="Times New Roman"/>
        </w:rPr>
        <w:t>METHODOLOGY</w:t>
      </w:r>
    </w:p>
    <w:p w14:paraId="6E76EB1C" w14:textId="77777777" w:rsidR="004E3738" w:rsidRDefault="004E3738" w:rsidP="004E3738">
      <w:pPr>
        <w:rPr>
          <w:rFonts w:ascii="Times New Roman" w:hAnsi="Times New Roman" w:cs="Times New Roman"/>
        </w:rPr>
      </w:pPr>
      <w:r w:rsidRPr="00427408">
        <w:rPr>
          <w:rFonts w:ascii="Times New Roman" w:hAnsi="Times New Roman" w:cs="Times New Roman"/>
        </w:rPr>
        <w:t>The first step…</w:t>
      </w:r>
    </w:p>
    <w:p w14:paraId="63269019" w14:textId="77777777" w:rsidR="00970288" w:rsidRPr="00427408" w:rsidRDefault="00970288" w:rsidP="004E3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RiverWare Model</w:t>
      </w:r>
    </w:p>
    <w:p w14:paraId="597303E5" w14:textId="77777777" w:rsidR="00970288" w:rsidRDefault="00DD30B8">
      <w:pPr>
        <w:rPr>
          <w:rFonts w:ascii="Times New Roman" w:hAnsi="Times New Roman" w:cs="Times New Roman"/>
        </w:rPr>
      </w:pPr>
      <w:r w:rsidRPr="00427408">
        <w:rPr>
          <w:rFonts w:ascii="Times New Roman" w:hAnsi="Times New Roman" w:cs="Times New Roman"/>
        </w:rPr>
        <w:t xml:space="preserve">The RiverWare model </w:t>
      </w:r>
      <w:r w:rsidR="00970288">
        <w:rPr>
          <w:rFonts w:ascii="Times New Roman" w:hAnsi="Times New Roman" w:cs="Times New Roman"/>
        </w:rPr>
        <w:t xml:space="preserve">used in this study </w:t>
      </w:r>
      <w:r w:rsidRPr="00427408">
        <w:rPr>
          <w:rFonts w:ascii="Times New Roman" w:hAnsi="Times New Roman" w:cs="Times New Roman"/>
        </w:rPr>
        <w:t>of the Weber Basin Conservancy District</w:t>
      </w:r>
      <w:r w:rsidR="00970288">
        <w:rPr>
          <w:rFonts w:ascii="Times New Roman" w:hAnsi="Times New Roman" w:cs="Times New Roman"/>
        </w:rPr>
        <w:t xml:space="preserve"> water system</w:t>
      </w:r>
      <w:r w:rsidRPr="00427408">
        <w:rPr>
          <w:rFonts w:ascii="Times New Roman" w:hAnsi="Times New Roman" w:cs="Times New Roman"/>
        </w:rPr>
        <w:t xml:space="preserve"> </w:t>
      </w:r>
      <w:r w:rsidR="00970288">
        <w:rPr>
          <w:rFonts w:ascii="Times New Roman" w:hAnsi="Times New Roman" w:cs="Times New Roman"/>
        </w:rPr>
        <w:t xml:space="preserve">is based on the Utah Division of Water Resources Weber River Model. Originally designed from the </w:t>
      </w:r>
      <w:r w:rsidR="00BF3119">
        <w:rPr>
          <w:rFonts w:ascii="Times New Roman" w:hAnsi="Times New Roman" w:cs="Times New Roman"/>
        </w:rPr>
        <w:t xml:space="preserve">Utah Division of Water Resources </w:t>
      </w:r>
      <w:r w:rsidR="00970288">
        <w:rPr>
          <w:rFonts w:ascii="Times New Roman" w:hAnsi="Times New Roman" w:cs="Times New Roman"/>
        </w:rPr>
        <w:t>FORTRAN Model</w:t>
      </w:r>
      <w:r w:rsidR="00BF3119">
        <w:rPr>
          <w:rFonts w:ascii="Times New Roman" w:hAnsi="Times New Roman" w:cs="Times New Roman"/>
        </w:rPr>
        <w:t>.  “As mentioned, the Weber River Model has been updated, within the last several years to the RiverWare platform. This update has more easily allowed the opportunity to explore alternative</w:t>
      </w:r>
      <w:r w:rsidR="006F7F64">
        <w:rPr>
          <w:rFonts w:ascii="Times New Roman" w:hAnsi="Times New Roman" w:cs="Times New Roman"/>
        </w:rPr>
        <w:t xml:space="preserve"> scenarios with the model. </w:t>
      </w:r>
      <w:proofErr w:type="gramStart"/>
      <w:r w:rsidR="006F7F64">
        <w:rPr>
          <w:rFonts w:ascii="Times New Roman" w:hAnsi="Times New Roman" w:cs="Times New Roman"/>
        </w:rPr>
        <w:t>Making adjustments to</w:t>
      </w:r>
      <w:proofErr w:type="gramEnd"/>
      <w:r w:rsidR="006F7F64">
        <w:rPr>
          <w:rFonts w:ascii="Times New Roman" w:hAnsi="Times New Roman" w:cs="Times New Roman"/>
        </w:rPr>
        <w:t xml:space="preserve"> rules, reservoirs, inflows, demands, etc.” </w:t>
      </w:r>
    </w:p>
    <w:p w14:paraId="2C6948DA" w14:textId="77777777" w:rsidR="006F7F64" w:rsidRDefault="00970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</w:t>
      </w:r>
      <w:r w:rsidR="006F7F64">
        <w:rPr>
          <w:rFonts w:ascii="Times New Roman" w:hAnsi="Times New Roman" w:cs="Times New Roman"/>
        </w:rPr>
        <w:t xml:space="preserve"> Computations</w:t>
      </w:r>
    </w:p>
    <w:p w14:paraId="5E1C92CF" w14:textId="77777777" w:rsidR="006F7F64" w:rsidRDefault="00AF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Demand is input into the RiverWare Model using an Annual Demand Values for 20 different service areas defined in the original Fortran Model. </w:t>
      </w:r>
      <w:r>
        <w:rPr>
          <w:rFonts w:ascii="Times New Roman" w:hAnsi="Times New Roman" w:cs="Times New Roman"/>
          <w:b/>
          <w:bCs/>
          <w:i/>
          <w:iCs/>
        </w:rPr>
        <w:t xml:space="preserve">Input Table-5 from the UDWR RiverWare Model Description. </w:t>
      </w:r>
      <w:r>
        <w:rPr>
          <w:rFonts w:ascii="Times New Roman" w:hAnsi="Times New Roman" w:cs="Times New Roman"/>
        </w:rPr>
        <w:t xml:space="preserve">(McGettigan and Melcher, 2018).  </w:t>
      </w:r>
    </w:p>
    <w:p w14:paraId="0938F136" w14:textId="77777777" w:rsidR="00AF030F" w:rsidRDefault="00AF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compute different scenarios of demands, several subfactors where implemented. These subfactors </w:t>
      </w:r>
      <w:proofErr w:type="gramStart"/>
      <w:r w:rsidR="000B4595">
        <w:rPr>
          <w:rFonts w:ascii="Times New Roman" w:hAnsi="Times New Roman" w:cs="Times New Roman"/>
        </w:rPr>
        <w:t>include:</w:t>
      </w:r>
      <w:proofErr w:type="gramEnd"/>
      <w:r>
        <w:rPr>
          <w:rFonts w:ascii="Times New Roman" w:hAnsi="Times New Roman" w:cs="Times New Roman"/>
        </w:rPr>
        <w:t xml:space="preserve"> </w:t>
      </w:r>
      <w:r w:rsidR="000B4595">
        <w:rPr>
          <w:rFonts w:ascii="Times New Roman" w:hAnsi="Times New Roman" w:cs="Times New Roman"/>
        </w:rPr>
        <w:t xml:space="preserve">population changes, per-capita indoor water usage, per-capita outdoor water usage, evapotranspiration and agricultural conversion.  </w:t>
      </w:r>
    </w:p>
    <w:p w14:paraId="688A4835" w14:textId="77777777" w:rsidR="000B4595" w:rsidRDefault="000B4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Population changes include values for each county, a base case of the 2015 population and the projected 2070 population and 2150 population. The total scenario populations for the District for each year are shown in Table #. </w:t>
      </w:r>
    </w:p>
    <w:p w14:paraId="1C00FDCF" w14:textId="77777777" w:rsidR="000B4595" w:rsidRPr="000B4595" w:rsidRDefault="000B45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Table #.0 – Total District Population Values Used</w:t>
      </w:r>
      <w:r>
        <w:rPr>
          <w:rFonts w:ascii="Times New Roman" w:hAnsi="Times New Roman" w:cs="Times New Roman"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4595" w14:paraId="41C1BB22" w14:textId="77777777" w:rsidTr="00423482">
        <w:tc>
          <w:tcPr>
            <w:tcW w:w="3116" w:type="dxa"/>
            <w:tcBorders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6D15BEE5" w14:textId="77777777" w:rsidR="000B4595" w:rsidRPr="00423482" w:rsidRDefault="000B4595" w:rsidP="004234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482">
              <w:rPr>
                <w:rFonts w:ascii="Times New Roman" w:hAnsi="Times New Roman" w:cs="Times New Roman"/>
                <w:b/>
                <w:bCs/>
              </w:rPr>
              <w:t>Denotation for Change</w:t>
            </w:r>
          </w:p>
        </w:tc>
        <w:tc>
          <w:tcPr>
            <w:tcW w:w="3117" w:type="dxa"/>
            <w:tcBorders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</w:tcPr>
          <w:p w14:paraId="76494914" w14:textId="77777777" w:rsidR="000B4595" w:rsidRPr="00423482" w:rsidRDefault="000B4595" w:rsidP="004234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482">
              <w:rPr>
                <w:rFonts w:ascii="Times New Roman" w:hAnsi="Times New Roman" w:cs="Times New Roman"/>
                <w:b/>
                <w:bCs/>
              </w:rPr>
              <w:t>Population (Persons)</w:t>
            </w:r>
          </w:p>
        </w:tc>
        <w:tc>
          <w:tcPr>
            <w:tcW w:w="3117" w:type="dxa"/>
            <w:tcBorders>
              <w:left w:val="nil"/>
              <w:bottom w:val="single" w:sz="8" w:space="0" w:color="auto"/>
            </w:tcBorders>
            <w:shd w:val="clear" w:color="auto" w:fill="BFBFBF" w:themeFill="background1" w:themeFillShade="BF"/>
          </w:tcPr>
          <w:p w14:paraId="74858810" w14:textId="77777777" w:rsidR="000B4595" w:rsidRPr="00423482" w:rsidRDefault="000B4595">
            <w:pPr>
              <w:rPr>
                <w:rFonts w:ascii="Times New Roman" w:hAnsi="Times New Roman" w:cs="Times New Roman"/>
                <w:b/>
                <w:bCs/>
              </w:rPr>
            </w:pPr>
            <w:r w:rsidRPr="00423482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0B4595" w14:paraId="68E96B2D" w14:textId="77777777" w:rsidTr="00423482">
        <w:tc>
          <w:tcPr>
            <w:tcW w:w="3116" w:type="dxa"/>
            <w:tcBorders>
              <w:top w:val="single" w:sz="8" w:space="0" w:color="auto"/>
            </w:tcBorders>
          </w:tcPr>
          <w:p w14:paraId="4034E1CA" w14:textId="77777777" w:rsidR="000B4595" w:rsidRDefault="000B4595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  <w:tc>
          <w:tcPr>
            <w:tcW w:w="3117" w:type="dxa"/>
            <w:tcBorders>
              <w:top w:val="single" w:sz="8" w:space="0" w:color="auto"/>
            </w:tcBorders>
          </w:tcPr>
          <w:p w14:paraId="47C6E570" w14:textId="77777777"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623,960</w:t>
            </w:r>
          </w:p>
        </w:tc>
        <w:tc>
          <w:tcPr>
            <w:tcW w:w="3117" w:type="dxa"/>
            <w:tcBorders>
              <w:top w:val="single" w:sz="8" w:space="0" w:color="auto"/>
            </w:tcBorders>
          </w:tcPr>
          <w:p w14:paraId="345CD879" w14:textId="77777777" w:rsidR="000B4595" w:rsidRDefault="000B4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(UDWR, 2015)</w:t>
            </w:r>
          </w:p>
        </w:tc>
      </w:tr>
      <w:tr w:rsidR="000B4595" w14:paraId="39C22CD0" w14:textId="77777777" w:rsidTr="000B4595">
        <w:tc>
          <w:tcPr>
            <w:tcW w:w="3116" w:type="dxa"/>
          </w:tcPr>
          <w:p w14:paraId="5DC199A7" w14:textId="77777777"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</w:t>
            </w:r>
          </w:p>
        </w:tc>
        <w:tc>
          <w:tcPr>
            <w:tcW w:w="3117" w:type="dxa"/>
          </w:tcPr>
          <w:p w14:paraId="6730829E" w14:textId="77777777"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978,500</w:t>
            </w:r>
          </w:p>
        </w:tc>
        <w:tc>
          <w:tcPr>
            <w:tcW w:w="3117" w:type="dxa"/>
          </w:tcPr>
          <w:p w14:paraId="4B0FD744" w14:textId="77777777" w:rsidR="000B4595" w:rsidRDefault="000B4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(WBCD, 2013)</w:t>
            </w:r>
          </w:p>
        </w:tc>
      </w:tr>
      <w:tr w:rsidR="000B4595" w14:paraId="66C17CF8" w14:textId="77777777" w:rsidTr="000B4595">
        <w:tc>
          <w:tcPr>
            <w:tcW w:w="3116" w:type="dxa"/>
          </w:tcPr>
          <w:p w14:paraId="693DEA9F" w14:textId="77777777"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Drastic Increase</w:t>
            </w:r>
          </w:p>
        </w:tc>
        <w:tc>
          <w:tcPr>
            <w:tcW w:w="3117" w:type="dxa"/>
          </w:tcPr>
          <w:p w14:paraId="075EC569" w14:textId="77777777" w:rsidR="000B4595" w:rsidRDefault="00423482" w:rsidP="00423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1,263,000</w:t>
            </w:r>
          </w:p>
        </w:tc>
        <w:tc>
          <w:tcPr>
            <w:tcW w:w="3117" w:type="dxa"/>
          </w:tcPr>
          <w:p w14:paraId="59C7F2FB" w14:textId="77777777" w:rsidR="000B4595" w:rsidRDefault="000B4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(WBCD, 2013)</w:t>
            </w:r>
          </w:p>
        </w:tc>
      </w:tr>
    </w:tbl>
    <w:p w14:paraId="27E4249D" w14:textId="77777777" w:rsidR="000B4595" w:rsidRDefault="000B4595">
      <w:pPr>
        <w:rPr>
          <w:rFonts w:ascii="Times New Roman" w:hAnsi="Times New Roman" w:cs="Times New Roman"/>
        </w:rPr>
      </w:pPr>
    </w:p>
    <w:p w14:paraId="765D71CD" w14:textId="77777777" w:rsidR="00423482" w:rsidRDefault="00423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Areas and Populations per Service Area</w:t>
      </w:r>
    </w:p>
    <w:p w14:paraId="79E3AC59" w14:textId="77777777" w:rsidR="00423482" w:rsidRPr="00AF030F" w:rsidRDefault="00423482">
      <w:pPr>
        <w:rPr>
          <w:rFonts w:ascii="Times New Roman" w:hAnsi="Times New Roman" w:cs="Times New Roman"/>
        </w:rPr>
      </w:pPr>
    </w:p>
    <w:p w14:paraId="2E57BB4F" w14:textId="77777777" w:rsidR="00970288" w:rsidRDefault="00423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Per-Capita Usage Changes</w:t>
      </w:r>
    </w:p>
    <w:p w14:paraId="7EA7A96F" w14:textId="3FFB2177" w:rsidR="00CC726D" w:rsidRDefault="00CC7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Sedimentation Scenarios</w:t>
      </w:r>
    </w:p>
    <w:p w14:paraId="1683AD9C" w14:textId="11471532" w:rsidR="0051153A" w:rsidRDefault="00511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Sedimentation is …</w:t>
      </w:r>
    </w:p>
    <w:p w14:paraId="737CA8B0" w14:textId="0024D5E1" w:rsidR="0051153A" w:rsidRDefault="00511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types of sedimentation, long-term sedimentation &amp; short-term sedimentation.  Long-term sedimentation is the accumulation of sediment through normal processes over large periods of time. For example, the filling of a reservoir with sediment taking decades in not hundreds of years.  Short-term sedimentation is the quick accumulation of sediment over a short period of time.  A typical short-term sediment time period is the movement of sediment during one or two storms. </w:t>
      </w:r>
      <w:r w:rsidR="00520924">
        <w:rPr>
          <w:rFonts w:ascii="Times New Roman" w:hAnsi="Times New Roman" w:cs="Times New Roman"/>
        </w:rPr>
        <w:t xml:space="preserve"> Short-term sedimentation is largely attributed to flashfloods, and particularly floods after wildfires.</w:t>
      </w:r>
      <w:r w:rsidR="00CA3103">
        <w:rPr>
          <w:rFonts w:ascii="Times New Roman" w:hAnsi="Times New Roman" w:cs="Times New Roman"/>
        </w:rPr>
        <w:t xml:space="preserve">  With wildfire severity becoming a larger issue in the Western United States </w:t>
      </w:r>
      <w:r w:rsidR="00742EA8">
        <w:rPr>
          <w:rFonts w:ascii="Times New Roman" w:hAnsi="Times New Roman" w:cs="Times New Roman"/>
        </w:rPr>
        <w:t xml:space="preserve">the sedimentation due to fires. The effect of these wildfires is being </w:t>
      </w:r>
      <w:proofErr w:type="gramStart"/>
      <w:r w:rsidR="00742EA8">
        <w:rPr>
          <w:rFonts w:ascii="Times New Roman" w:hAnsi="Times New Roman" w:cs="Times New Roman"/>
        </w:rPr>
        <w:t>taken into account</w:t>
      </w:r>
      <w:proofErr w:type="gramEnd"/>
      <w:r w:rsidR="00742EA8">
        <w:rPr>
          <w:rFonts w:ascii="Times New Roman" w:hAnsi="Times New Roman" w:cs="Times New Roman"/>
        </w:rPr>
        <w:t xml:space="preserve"> in this study. See Figure ## (Depicting </w:t>
      </w:r>
      <w:proofErr w:type="gramStart"/>
      <w:r w:rsidR="00742EA8">
        <w:rPr>
          <w:rFonts w:ascii="Times New Roman" w:hAnsi="Times New Roman" w:cs="Times New Roman"/>
        </w:rPr>
        <w:t>wild fire</w:t>
      </w:r>
      <w:proofErr w:type="gramEnd"/>
      <w:r w:rsidR="00742EA8">
        <w:rPr>
          <w:rFonts w:ascii="Times New Roman" w:hAnsi="Times New Roman" w:cs="Times New Roman"/>
        </w:rPr>
        <w:t xml:space="preserve"> severity)</w:t>
      </w:r>
    </w:p>
    <w:p w14:paraId="202DD6EF" w14:textId="63F3CE7C" w:rsidR="00742EA8" w:rsidRPr="00742EA8" w:rsidRDefault="00742EA8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</w:t>
      </w:r>
      <w:proofErr w:type="gramStart"/>
      <w:r>
        <w:rPr>
          <w:rFonts w:ascii="Times New Roman" w:hAnsi="Times New Roman" w:cs="Times New Roman"/>
          <w:b/>
          <w:bCs/>
        </w:rPr>
        <w:t>#.#</w:t>
      </w:r>
      <w:proofErr w:type="gramEnd"/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  <w:i/>
        </w:rPr>
        <w:t xml:space="preserve">Wildfire severity)  </w:t>
      </w:r>
      <w:r>
        <w:rPr>
          <w:rFonts w:ascii="Times New Roman" w:hAnsi="Times New Roman" w:cs="Times New Roman"/>
          <w:b/>
          <w:bCs/>
          <w:iCs/>
        </w:rPr>
        <w:t>Murphy, 2017?</w:t>
      </w:r>
      <w:bookmarkStart w:id="0" w:name="_GoBack"/>
      <w:bookmarkEnd w:id="0"/>
    </w:p>
    <w:p w14:paraId="268E150E" w14:textId="018A218A" w:rsidR="0051153A" w:rsidRDefault="0052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Sedimentation varies to the extreme and is largely dependent upon watershed characteristics and in the case of sedimentation due to fires wildfire </w:t>
      </w:r>
      <w:r>
        <w:rPr>
          <w:rFonts w:ascii="Times New Roman" w:hAnsi="Times New Roman" w:cs="Times New Roman"/>
        </w:rPr>
        <w:t>characteristics</w:t>
      </w:r>
      <w:r>
        <w:rPr>
          <w:rFonts w:ascii="Times New Roman" w:hAnsi="Times New Roman" w:cs="Times New Roman"/>
        </w:rPr>
        <w:t>. Because of t</w:t>
      </w:r>
      <w:r>
        <w:rPr>
          <w:rFonts w:ascii="Times New Roman" w:hAnsi="Times New Roman" w:cs="Times New Roman"/>
        </w:rPr>
        <w:t xml:space="preserve">he high variability </w:t>
      </w:r>
      <w:r>
        <w:rPr>
          <w:rFonts w:ascii="Times New Roman" w:hAnsi="Times New Roman" w:cs="Times New Roman"/>
        </w:rPr>
        <w:t xml:space="preserve">it can be hard simulate for </w:t>
      </w:r>
      <w:r>
        <w:rPr>
          <w:rFonts w:ascii="Times New Roman" w:hAnsi="Times New Roman" w:cs="Times New Roman"/>
        </w:rPr>
        <w:t xml:space="preserve">the entire district.  </w:t>
      </w:r>
      <w:r w:rsidR="0051153A">
        <w:rPr>
          <w:rFonts w:ascii="Times New Roman" w:hAnsi="Times New Roman" w:cs="Times New Roman"/>
        </w:rPr>
        <w:t xml:space="preserve">For this study both long-term and short-term sedimentation time periods are considered. By using a </w:t>
      </w:r>
      <w:r w:rsidR="00A33496">
        <w:rPr>
          <w:rFonts w:ascii="Times New Roman" w:hAnsi="Times New Roman" w:cs="Times New Roman"/>
        </w:rPr>
        <w:t xml:space="preserve">bottom up approach, we consider a range of values that should provide a good representation of sedimentation types. </w:t>
      </w:r>
    </w:p>
    <w:p w14:paraId="52CB8774" w14:textId="3864B643" w:rsidR="003014CE" w:rsidRDefault="00301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study of sedimentation has currently been done for the District.  </w:t>
      </w:r>
    </w:p>
    <w:p w14:paraId="45F6E7C6" w14:textId="609CA872" w:rsidR="000D6DD1" w:rsidRDefault="00CC7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district</w:t>
      </w:r>
      <w:r w:rsidR="00224D5C">
        <w:rPr>
          <w:rFonts w:ascii="Times New Roman" w:hAnsi="Times New Roman" w:cs="Times New Roman"/>
        </w:rPr>
        <w:t xml:space="preserve"> has eight</w:t>
      </w:r>
      <w:r>
        <w:rPr>
          <w:rFonts w:ascii="Times New Roman" w:hAnsi="Times New Roman" w:cs="Times New Roman"/>
        </w:rPr>
        <w:t xml:space="preserve"> reservoirs</w:t>
      </w:r>
      <w:r w:rsidR="00224D5C">
        <w:rPr>
          <w:rFonts w:ascii="Times New Roman" w:hAnsi="Times New Roman" w:cs="Times New Roman"/>
        </w:rPr>
        <w:t xml:space="preserve"> objects depicting the districts 9 reservoirs (See Table #).  According to the Patrick Belmont and Brendon Murphy sedimentation due to fires has a high impact on reservoir volume.</w:t>
      </w:r>
      <w:r w:rsidR="008D343D">
        <w:rPr>
          <w:rFonts w:ascii="Times New Roman" w:hAnsi="Times New Roman" w:cs="Times New Roman"/>
        </w:rPr>
        <w:t xml:space="preserve">  </w:t>
      </w:r>
      <w:r w:rsidR="000D6DD1">
        <w:rPr>
          <w:rFonts w:ascii="Times New Roman" w:hAnsi="Times New Roman" w:cs="Times New Roman"/>
        </w:rPr>
        <w:t xml:space="preserve">The range of values selected for sedimentations effect on the system include a 0% change to reservoir volume, 10% decrease in reservoir volume and 30% decrease in reservoir volume. </w:t>
      </w:r>
      <w:r w:rsidR="003014CE">
        <w:rPr>
          <w:rFonts w:ascii="Times New Roman" w:hAnsi="Times New Roman" w:cs="Times New Roman"/>
        </w:rPr>
        <w:t>These values of decreased reservoir volume are implemented</w:t>
      </w:r>
      <w:r w:rsidR="00520924">
        <w:rPr>
          <w:rFonts w:ascii="Times New Roman" w:hAnsi="Times New Roman" w:cs="Times New Roman"/>
        </w:rPr>
        <w:t xml:space="preserve"> in RiverWare</w:t>
      </w:r>
      <w:r w:rsidR="003014CE">
        <w:rPr>
          <w:rFonts w:ascii="Times New Roman" w:hAnsi="Times New Roman" w:cs="Times New Roman"/>
        </w:rPr>
        <w:t xml:space="preserve"> </w:t>
      </w:r>
      <w:r w:rsidR="00520924">
        <w:rPr>
          <w:rFonts w:ascii="Times New Roman" w:hAnsi="Times New Roman" w:cs="Times New Roman"/>
        </w:rPr>
        <w:t>for the whole 30 years that are simulated.</w:t>
      </w:r>
    </w:p>
    <w:p w14:paraId="2BE349BD" w14:textId="13DA8949" w:rsidR="00A33496" w:rsidRDefault="000D6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Belmont and Murphy, 2019 suggest that the s</w:t>
      </w:r>
      <w:r w:rsidR="008D343D">
        <w:rPr>
          <w:rFonts w:ascii="Times New Roman" w:hAnsi="Times New Roman" w:cs="Times New Roman"/>
        </w:rPr>
        <w:t xml:space="preserve">mall reservoirs </w:t>
      </w:r>
      <w:r>
        <w:rPr>
          <w:rFonts w:ascii="Times New Roman" w:hAnsi="Times New Roman" w:cs="Times New Roman"/>
        </w:rPr>
        <w:t xml:space="preserve">withing the district </w:t>
      </w:r>
      <w:r w:rsidR="008D343D">
        <w:rPr>
          <w:rFonts w:ascii="Times New Roman" w:hAnsi="Times New Roman" w:cs="Times New Roman"/>
        </w:rPr>
        <w:t>such as Smith &amp; Morehouse</w:t>
      </w:r>
      <w:r w:rsidR="00CC72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Casey are more severely impacted by sedimentation.  They st</w:t>
      </w:r>
      <w:r w:rsidR="00520924">
        <w:rPr>
          <w:rFonts w:ascii="Times New Roman" w:hAnsi="Times New Roman" w:cs="Times New Roman"/>
        </w:rPr>
        <w:t>ated</w:t>
      </w:r>
      <w:r>
        <w:rPr>
          <w:rFonts w:ascii="Times New Roman" w:hAnsi="Times New Roman" w:cs="Times New Roman"/>
        </w:rPr>
        <w:t xml:space="preserve"> that 100%</w:t>
      </w:r>
      <w:r w:rsidR="003014CE">
        <w:rPr>
          <w:rFonts w:ascii="Times New Roman" w:hAnsi="Times New Roman" w:cs="Times New Roman"/>
        </w:rPr>
        <w:t xml:space="preserve"> of the reservoir could be affected by a short-term sedimentation event. </w:t>
      </w:r>
      <w:r w:rsidR="00520924">
        <w:rPr>
          <w:rFonts w:ascii="Times New Roman" w:hAnsi="Times New Roman" w:cs="Times New Roman"/>
        </w:rPr>
        <w:t>Echo reservoir 10% reservoir reduction is on the upper end of how reservoirs could be affected.</w:t>
      </w:r>
    </w:p>
    <w:p w14:paraId="59C33BFC" w14:textId="492E42A7" w:rsidR="003014CE" w:rsidRPr="00427408" w:rsidRDefault="00301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selected ranges of sedimentation </w:t>
      </w:r>
      <w:r w:rsidR="00520924">
        <w:rPr>
          <w:rFonts w:ascii="Times New Roman" w:hAnsi="Times New Roman" w:cs="Times New Roman"/>
        </w:rPr>
        <w:t>are a good bottom up approach.</w:t>
      </w:r>
    </w:p>
    <w:sectPr w:rsidR="003014CE" w:rsidRPr="0042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39"/>
    <w:rsid w:val="000B4595"/>
    <w:rsid w:val="000D6DD1"/>
    <w:rsid w:val="00224D5C"/>
    <w:rsid w:val="003014CE"/>
    <w:rsid w:val="00423482"/>
    <w:rsid w:val="00427408"/>
    <w:rsid w:val="004E3738"/>
    <w:rsid w:val="0051153A"/>
    <w:rsid w:val="00520924"/>
    <w:rsid w:val="006F7F64"/>
    <w:rsid w:val="00722FC4"/>
    <w:rsid w:val="00742EA8"/>
    <w:rsid w:val="008D343D"/>
    <w:rsid w:val="00970288"/>
    <w:rsid w:val="00A33496"/>
    <w:rsid w:val="00AD2739"/>
    <w:rsid w:val="00AF030F"/>
    <w:rsid w:val="00BF3119"/>
    <w:rsid w:val="00CA3103"/>
    <w:rsid w:val="00CC726D"/>
    <w:rsid w:val="00D90B42"/>
    <w:rsid w:val="00D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AB4F"/>
  <w15:chartTrackingRefBased/>
  <w15:docId w15:val="{84B8F0A9-436B-4514-956B-A470F04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B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Everitt</dc:creator>
  <cp:keywords/>
  <dc:description/>
  <cp:lastModifiedBy>Jacob Everitt</cp:lastModifiedBy>
  <cp:revision>7</cp:revision>
  <dcterms:created xsi:type="dcterms:W3CDTF">2019-11-22T19:12:00Z</dcterms:created>
  <dcterms:modified xsi:type="dcterms:W3CDTF">2019-12-15T03:06:00Z</dcterms:modified>
</cp:coreProperties>
</file>