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1970" w14:textId="77777777" w:rsidR="00C327A8" w:rsidRPr="00C327A8" w:rsidRDefault="00C327A8" w:rsidP="00C327A8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C327A8">
        <w:rPr>
          <w:rFonts w:eastAsia="Times New Roman"/>
          <w:b/>
          <w:bCs/>
          <w:kern w:val="0"/>
          <w:sz w:val="36"/>
          <w:szCs w:val="36"/>
          <w14:ligatures w14:val="none"/>
        </w:rPr>
        <w:t>1. Numeric Summary Tables</w:t>
      </w:r>
    </w:p>
    <w:p w14:paraId="7BBBCBE7" w14:textId="77777777" w:rsidR="00C327A8" w:rsidRPr="00C327A8" w:rsidRDefault="00C327A8" w:rsidP="00C327A8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C327A8">
        <w:rPr>
          <w:rFonts w:eastAsia="Times New Roman"/>
          <w:b/>
          <w:bCs/>
          <w:kern w:val="0"/>
          <w14:ligatures w14:val="none"/>
        </w:rPr>
        <w:t>Purpose:</w:t>
      </w:r>
      <w:r w:rsidRPr="00C327A8">
        <w:rPr>
          <w:rFonts w:eastAsia="Times New Roman"/>
          <w:kern w:val="0"/>
          <w14:ligatures w14:val="none"/>
        </w:rPr>
        <w:t> Quick at-a-glance insight into community-scale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5186"/>
        <w:gridCol w:w="2132"/>
      </w:tblGrid>
      <w:tr w:rsidR="00C327A8" w:rsidRPr="00C327A8" w14:paraId="12B429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A6489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E3FD321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14:paraId="01938078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Notes / Use</w:t>
            </w:r>
          </w:p>
        </w:tc>
      </w:tr>
      <w:tr w:rsidR="00C327A8" w:rsidRPr="00C327A8" w14:paraId="13350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816E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Community-wide summary</w:t>
            </w:r>
          </w:p>
        </w:tc>
        <w:tc>
          <w:tcPr>
            <w:tcW w:w="0" w:type="auto"/>
            <w:vAlign w:val="center"/>
            <w:hideMark/>
          </w:tcPr>
          <w:p w14:paraId="7CC12A24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TOTAL_FLOOR_AREA, ENERGY_CONSUMPTION_CURRENT, 3_YR_ENERGY_COST_CURRENT, CO2_EMISS_CURR_PER_FLOOR_AREA, SPACE_HEATING_DEMAND, WATER_HEATING_DEMAND</w:t>
            </w:r>
          </w:p>
        </w:tc>
        <w:tc>
          <w:tcPr>
            <w:tcW w:w="0" w:type="auto"/>
            <w:vAlign w:val="center"/>
            <w:hideMark/>
          </w:tcPr>
          <w:p w14:paraId="197AB316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Totals, means, medians, min/max, quartiles. Useful for both internal understanding and reporting to FDT.</w:t>
            </w:r>
          </w:p>
        </w:tc>
      </w:tr>
      <w:tr w:rsidR="00C327A8" w:rsidRPr="00C327A8" w14:paraId="094E5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C23F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Improvement potential</w:t>
            </w:r>
          </w:p>
        </w:tc>
        <w:tc>
          <w:tcPr>
            <w:tcW w:w="0" w:type="auto"/>
            <w:vAlign w:val="center"/>
            <w:hideMark/>
          </w:tcPr>
          <w:p w14:paraId="78EAE2FE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ENERGY_EFFICIENCY_IMPROVEMENT, ENVIRONMENT_IMPACT_REDUCTION, ENERGY_COST_SAVINGS</w:t>
            </w:r>
          </w:p>
        </w:tc>
        <w:tc>
          <w:tcPr>
            <w:tcW w:w="0" w:type="auto"/>
            <w:vAlign w:val="center"/>
            <w:hideMark/>
          </w:tcPr>
          <w:p w14:paraId="66133111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Count of homes by high/medium/low potential; quick-win identification.</w:t>
            </w:r>
          </w:p>
        </w:tc>
      </w:tr>
      <w:tr w:rsidR="00C327A8" w:rsidRPr="00C327A8" w14:paraId="32FFB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3EEA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Cost-effectiveness summary</w:t>
            </w:r>
          </w:p>
        </w:tc>
        <w:tc>
          <w:tcPr>
            <w:tcW w:w="0" w:type="auto"/>
            <w:vAlign w:val="center"/>
            <w:hideMark/>
          </w:tcPr>
          <w:p w14:paraId="18CC5BB8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NPV, IRR, COST_PER_KWH_SAVED, COST_PER_TON_CO2_REDUCED</w:t>
            </w:r>
          </w:p>
        </w:tc>
        <w:tc>
          <w:tcPr>
            <w:tcW w:w="0" w:type="auto"/>
            <w:vAlign w:val="center"/>
            <w:hideMark/>
          </w:tcPr>
          <w:p w14:paraId="72E76AF9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Identify properties with the best return on investment.</w:t>
            </w:r>
          </w:p>
        </w:tc>
      </w:tr>
      <w:tr w:rsidR="00C327A8" w:rsidRPr="00C327A8" w14:paraId="2EA80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9EBC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Household/building characteristics</w:t>
            </w:r>
          </w:p>
        </w:tc>
        <w:tc>
          <w:tcPr>
            <w:tcW w:w="0" w:type="auto"/>
            <w:vAlign w:val="center"/>
            <w:hideMark/>
          </w:tcPr>
          <w:p w14:paraId="331960AC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NUMBER_HABITABLE_ROOMS, NUMBER_HEATED_ROOMS, GLAZED_AREA, FLOOR_LEVEL, HEATING/FUEL TYPES</w:t>
            </w:r>
          </w:p>
        </w:tc>
        <w:tc>
          <w:tcPr>
            <w:tcW w:w="0" w:type="auto"/>
            <w:vAlign w:val="center"/>
            <w:hideMark/>
          </w:tcPr>
          <w:p w14:paraId="6F9E802C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Contextualize energy demand; cross-check archetypes.</w:t>
            </w:r>
          </w:p>
        </w:tc>
      </w:tr>
    </w:tbl>
    <w:p w14:paraId="7E64C142" w14:textId="77777777" w:rsidR="00C327A8" w:rsidRPr="00C327A8" w:rsidRDefault="000E6070" w:rsidP="00C327A8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13F12FD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56F4D0" w14:textId="77777777" w:rsidR="00C327A8" w:rsidRPr="00C327A8" w:rsidRDefault="00C327A8" w:rsidP="00C327A8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C327A8">
        <w:rPr>
          <w:rFonts w:eastAsia="Times New Roman"/>
          <w:b/>
          <w:bCs/>
          <w:kern w:val="0"/>
          <w:sz w:val="36"/>
          <w:szCs w:val="36"/>
          <w14:ligatures w14:val="none"/>
        </w:rPr>
        <w:t>2. Categorical / Frequency Tables</w:t>
      </w:r>
    </w:p>
    <w:p w14:paraId="74FAC8B8" w14:textId="77777777" w:rsidR="00C327A8" w:rsidRPr="00C327A8" w:rsidRDefault="00C327A8" w:rsidP="00C327A8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C327A8">
        <w:rPr>
          <w:rFonts w:eastAsia="Times New Roman"/>
          <w:b/>
          <w:bCs/>
          <w:kern w:val="0"/>
          <w14:ligatures w14:val="none"/>
        </w:rPr>
        <w:t>Purpose:</w:t>
      </w:r>
      <w:r w:rsidRPr="00C327A8">
        <w:rPr>
          <w:rFonts w:eastAsia="Times New Roman"/>
          <w:kern w:val="0"/>
          <w14:ligatures w14:val="none"/>
        </w:rPr>
        <w:t> Understand distribution of building stock and energy efficiency.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5554"/>
        <w:gridCol w:w="2177"/>
      </w:tblGrid>
      <w:tr w:rsidR="00C327A8" w:rsidRPr="00C327A8" w14:paraId="47B36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3301B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3895FFD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14:paraId="38344121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Notes / Use</w:t>
            </w:r>
          </w:p>
        </w:tc>
      </w:tr>
      <w:tr w:rsidR="00C327A8" w:rsidRPr="00C327A8" w14:paraId="6A40D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D3D3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EPC / Environmental ratings</w:t>
            </w:r>
          </w:p>
        </w:tc>
        <w:tc>
          <w:tcPr>
            <w:tcW w:w="0" w:type="auto"/>
            <w:vAlign w:val="center"/>
            <w:hideMark/>
          </w:tcPr>
          <w:p w14:paraId="1F5D1E25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CURRENT_ENERGY_RATING, POTENTIAL_ENERGY_RATING, CURRENT_ENVIRONMENTAL_RATING, POTENTIAL_ENVIRONMENTAL_RATING</w:t>
            </w:r>
          </w:p>
        </w:tc>
        <w:tc>
          <w:tcPr>
            <w:tcW w:w="0" w:type="auto"/>
            <w:vAlign w:val="center"/>
            <w:hideMark/>
          </w:tcPr>
          <w:p w14:paraId="525A38C6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Frequency and % of homes by rating; highlight gaps between current vs potential.</w:t>
            </w:r>
          </w:p>
        </w:tc>
      </w:tr>
      <w:tr w:rsidR="00C327A8" w:rsidRPr="00C327A8" w14:paraId="0281F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A569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Construction &amp; dwelling types</w:t>
            </w:r>
          </w:p>
        </w:tc>
        <w:tc>
          <w:tcPr>
            <w:tcW w:w="0" w:type="auto"/>
            <w:vAlign w:val="center"/>
            <w:hideMark/>
          </w:tcPr>
          <w:p w14:paraId="3A7791EC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CONSTRUCTION_AGE_BAND, BUILT_FORM / PROPERTY_TYPE, TENURE</w:t>
            </w:r>
          </w:p>
        </w:tc>
        <w:tc>
          <w:tcPr>
            <w:tcW w:w="0" w:type="auto"/>
            <w:vAlign w:val="center"/>
            <w:hideMark/>
          </w:tcPr>
          <w:p w14:paraId="1825F057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Distribution by age and type; informs retrofit strategies.</w:t>
            </w:r>
          </w:p>
        </w:tc>
      </w:tr>
      <w:tr w:rsidR="00C327A8" w:rsidRPr="00C327A8" w14:paraId="25600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7C20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Heating &amp; fuel types</w:t>
            </w:r>
          </w:p>
        </w:tc>
        <w:tc>
          <w:tcPr>
            <w:tcW w:w="0" w:type="auto"/>
            <w:vAlign w:val="center"/>
            <w:hideMark/>
          </w:tcPr>
          <w:p w14:paraId="3873BA4F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MAIN_HEATING_CATEGORY, MAIN_FUEL</w:t>
            </w:r>
          </w:p>
        </w:tc>
        <w:tc>
          <w:tcPr>
            <w:tcW w:w="0" w:type="auto"/>
            <w:vAlign w:val="center"/>
            <w:hideMark/>
          </w:tcPr>
          <w:p w14:paraId="4ABF3BA5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Identify patterns and targets for low-carbon interventions.</w:t>
            </w:r>
          </w:p>
        </w:tc>
      </w:tr>
      <w:tr w:rsidR="00C327A8" w:rsidRPr="00C327A8" w14:paraId="4455D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9F48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Measures applicability</w:t>
            </w:r>
          </w:p>
        </w:tc>
        <w:tc>
          <w:tcPr>
            <w:tcW w:w="0" w:type="auto"/>
            <w:vAlign w:val="center"/>
            <w:hideMark/>
          </w:tcPr>
          <w:p w14:paraId="583685A4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IMPROVEMENTS_PARSED</w:t>
            </w:r>
          </w:p>
        </w:tc>
        <w:tc>
          <w:tcPr>
            <w:tcW w:w="0" w:type="auto"/>
            <w:vAlign w:val="center"/>
            <w:hideMark/>
          </w:tcPr>
          <w:p w14:paraId="3EB1C16A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 xml:space="preserve">Count / % of homes eligible for each measure (e.g., PV, insulation, HP). </w:t>
            </w:r>
            <w:r w:rsidRPr="00C327A8">
              <w:rPr>
                <w:rFonts w:eastAsia="Times New Roman"/>
                <w:kern w:val="0"/>
                <w14:ligatures w14:val="none"/>
              </w:rPr>
              <w:lastRenderedPageBreak/>
              <w:t>Optional cross-tab by age or archetype.</w:t>
            </w:r>
          </w:p>
        </w:tc>
      </w:tr>
    </w:tbl>
    <w:p w14:paraId="2CCD9983" w14:textId="77777777" w:rsidR="00C327A8" w:rsidRPr="00C327A8" w:rsidRDefault="000E6070" w:rsidP="00C327A8">
      <w:pPr>
        <w:rPr>
          <w:rFonts w:eastAsia="Times New Roman"/>
          <w:kern w:val="0"/>
          <w14:ligatures w14:val="none"/>
        </w:rPr>
      </w:pPr>
      <w:r w:rsidRPr="000E6070">
        <w:rPr>
          <w:rFonts w:eastAsia="Times New Roman"/>
          <w:noProof/>
          <w:kern w:val="0"/>
        </w:rPr>
        <w:lastRenderedPageBreak/>
        <w:pict w14:anchorId="13DECC0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8713CC" w14:textId="77777777" w:rsidR="00C327A8" w:rsidRPr="00C327A8" w:rsidRDefault="00C327A8" w:rsidP="00C327A8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C327A8">
        <w:rPr>
          <w:rFonts w:eastAsia="Times New Roman"/>
          <w:b/>
          <w:bCs/>
          <w:kern w:val="0"/>
          <w:sz w:val="36"/>
          <w:szCs w:val="36"/>
          <w14:ligatures w14:val="none"/>
        </w:rPr>
        <w:t>3. Spatial / Geographic Figures</w:t>
      </w:r>
    </w:p>
    <w:p w14:paraId="670F77D0" w14:textId="77777777" w:rsidR="00C327A8" w:rsidRPr="00C327A8" w:rsidRDefault="00C327A8" w:rsidP="00C327A8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C327A8">
        <w:rPr>
          <w:rFonts w:eastAsia="Times New Roman"/>
          <w:b/>
          <w:bCs/>
          <w:kern w:val="0"/>
          <w14:ligatures w14:val="none"/>
        </w:rPr>
        <w:t>Purpose:</w:t>
      </w:r>
      <w:r w:rsidRPr="00C327A8">
        <w:rPr>
          <w:rFonts w:eastAsia="Times New Roman"/>
          <w:kern w:val="0"/>
          <w14:ligatures w14:val="none"/>
        </w:rPr>
        <w:t> Visualize performance clusters, high-priority areas, and community-level impact.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2539"/>
        <w:gridCol w:w="4407"/>
      </w:tblGrid>
      <w:tr w:rsidR="00C327A8" w:rsidRPr="00C327A8" w14:paraId="4B34B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44652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14:paraId="22BA96E0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3AD61B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Notes / Use</w:t>
            </w:r>
          </w:p>
        </w:tc>
      </w:tr>
      <w:tr w:rsidR="00C327A8" w:rsidRPr="00C327A8" w14:paraId="45FBE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CA03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Data-zone or postcode averages</w:t>
            </w:r>
          </w:p>
        </w:tc>
        <w:tc>
          <w:tcPr>
            <w:tcW w:w="0" w:type="auto"/>
            <w:vAlign w:val="center"/>
            <w:hideMark/>
          </w:tcPr>
          <w:p w14:paraId="77DABDD6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Choropleth map</w:t>
            </w:r>
          </w:p>
        </w:tc>
        <w:tc>
          <w:tcPr>
            <w:tcW w:w="0" w:type="auto"/>
            <w:vAlign w:val="center"/>
            <w:hideMark/>
          </w:tcPr>
          <w:p w14:paraId="1DB1B866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Show mean energy rating, CO₂ emissions, cost savings.</w:t>
            </w:r>
          </w:p>
        </w:tc>
      </w:tr>
      <w:tr w:rsidR="00C327A8" w:rsidRPr="00C327A8" w14:paraId="4BBA9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CE78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Quick-win clusters</w:t>
            </w:r>
          </w:p>
        </w:tc>
        <w:tc>
          <w:tcPr>
            <w:tcW w:w="0" w:type="auto"/>
            <w:vAlign w:val="center"/>
            <w:hideMark/>
          </w:tcPr>
          <w:p w14:paraId="304CB553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Heatmap / dot map</w:t>
            </w:r>
          </w:p>
        </w:tc>
        <w:tc>
          <w:tcPr>
            <w:tcW w:w="0" w:type="auto"/>
            <w:vAlign w:val="center"/>
            <w:hideMark/>
          </w:tcPr>
          <w:p w14:paraId="09D50201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Highlight dwellings with high potential improvement, low cost.</w:t>
            </w:r>
          </w:p>
        </w:tc>
      </w:tr>
      <w:tr w:rsidR="00C327A8" w:rsidRPr="00C327A8" w14:paraId="725E4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116C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Energy / CO₂ hotspots</w:t>
            </w:r>
          </w:p>
        </w:tc>
        <w:tc>
          <w:tcPr>
            <w:tcW w:w="0" w:type="auto"/>
            <w:vAlign w:val="center"/>
            <w:hideMark/>
          </w:tcPr>
          <w:p w14:paraId="63814A3A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Gradient maps</w:t>
            </w:r>
          </w:p>
        </w:tc>
        <w:tc>
          <w:tcPr>
            <w:tcW w:w="0" w:type="auto"/>
            <w:vAlign w:val="center"/>
            <w:hideMark/>
          </w:tcPr>
          <w:p w14:paraId="720985C8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Identify worst-performing dwellings or streets.</w:t>
            </w:r>
          </w:p>
        </w:tc>
      </w:tr>
      <w:tr w:rsidR="00C327A8" w:rsidRPr="00C327A8" w14:paraId="5E541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6884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Uncertainty overlay</w:t>
            </w:r>
          </w:p>
        </w:tc>
        <w:tc>
          <w:tcPr>
            <w:tcW w:w="0" w:type="auto"/>
            <w:vAlign w:val="center"/>
            <w:hideMark/>
          </w:tcPr>
          <w:p w14:paraId="6475678B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Semi-transparent shading on maps</w:t>
            </w:r>
          </w:p>
        </w:tc>
        <w:tc>
          <w:tcPr>
            <w:tcW w:w="0" w:type="auto"/>
            <w:vAlign w:val="center"/>
            <w:hideMark/>
          </w:tcPr>
          <w:p w14:paraId="0712264D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Communicate where estimates are more/less certain.</w:t>
            </w:r>
          </w:p>
        </w:tc>
      </w:tr>
    </w:tbl>
    <w:p w14:paraId="5A7E7E7B" w14:textId="77777777" w:rsidR="00C327A8" w:rsidRPr="00C327A8" w:rsidRDefault="000E6070" w:rsidP="00C327A8">
      <w:pPr>
        <w:rPr>
          <w:rFonts w:eastAsia="Times New Roman"/>
          <w:kern w:val="0"/>
          <w14:ligatures w14:val="none"/>
        </w:rPr>
      </w:pPr>
      <w:r w:rsidRPr="000E6070">
        <w:rPr>
          <w:rFonts w:eastAsia="Times New Roman"/>
          <w:noProof/>
          <w:kern w:val="0"/>
        </w:rPr>
        <w:pict w14:anchorId="12BE3D3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1C71D5C" w14:textId="77777777" w:rsidR="00C327A8" w:rsidRPr="00C327A8" w:rsidRDefault="00C327A8" w:rsidP="00C327A8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C327A8">
        <w:rPr>
          <w:rFonts w:eastAsia="Times New Roman"/>
          <w:b/>
          <w:bCs/>
          <w:kern w:val="0"/>
          <w:sz w:val="36"/>
          <w:szCs w:val="36"/>
          <w14:ligatures w14:val="none"/>
        </w:rPr>
        <w:t>4. Multi-Attribute / Prioritization Figures</w:t>
      </w:r>
    </w:p>
    <w:p w14:paraId="0EBE22C0" w14:textId="77777777" w:rsidR="00C327A8" w:rsidRPr="00C327A8" w:rsidRDefault="00C327A8" w:rsidP="00C327A8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C327A8">
        <w:rPr>
          <w:rFonts w:eastAsia="Times New Roman"/>
          <w:b/>
          <w:bCs/>
          <w:kern w:val="0"/>
          <w14:ligatures w14:val="none"/>
        </w:rPr>
        <w:t>Purpose:</w:t>
      </w:r>
      <w:r w:rsidRPr="00C327A8">
        <w:rPr>
          <w:rFonts w:eastAsia="Times New Roman"/>
          <w:kern w:val="0"/>
          <w14:ligatures w14:val="none"/>
        </w:rPr>
        <w:t> Combine numeric, cost, and building characteristics into actionable insights.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1758"/>
        <w:gridCol w:w="4891"/>
      </w:tblGrid>
      <w:tr w:rsidR="00C327A8" w:rsidRPr="00C327A8" w14:paraId="557A8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7C870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14:paraId="6FE13C5D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D5A729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Notes / Use</w:t>
            </w:r>
          </w:p>
        </w:tc>
      </w:tr>
      <w:tr w:rsidR="00C327A8" w:rsidRPr="00C327A8" w14:paraId="19D2F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D1C9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Priority index histogram</w:t>
            </w:r>
          </w:p>
        </w:tc>
        <w:tc>
          <w:tcPr>
            <w:tcW w:w="0" w:type="auto"/>
            <w:vAlign w:val="center"/>
            <w:hideMark/>
          </w:tcPr>
          <w:p w14:paraId="6225E110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Bar or violin plot</w:t>
            </w:r>
          </w:p>
        </w:tc>
        <w:tc>
          <w:tcPr>
            <w:tcW w:w="0" w:type="auto"/>
            <w:vAlign w:val="center"/>
            <w:hideMark/>
          </w:tcPr>
          <w:p w14:paraId="623802DE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Distribution of retrofitting priority scores.</w:t>
            </w:r>
          </w:p>
        </w:tc>
      </w:tr>
      <w:tr w:rsidR="00C327A8" w:rsidRPr="00C327A8" w14:paraId="02653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8BEB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Priority vs cost-effectiveness</w:t>
            </w:r>
          </w:p>
        </w:tc>
        <w:tc>
          <w:tcPr>
            <w:tcW w:w="0" w:type="auto"/>
            <w:vAlign w:val="center"/>
            <w:hideMark/>
          </w:tcPr>
          <w:p w14:paraId="220AA3B2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0D3697AB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Identify sweet spots (high priority, low cost).</w:t>
            </w:r>
          </w:p>
        </w:tc>
      </w:tr>
      <w:tr w:rsidR="00C327A8" w:rsidRPr="00C327A8" w14:paraId="0C9A9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B15F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Improvement potential vs archetype</w:t>
            </w:r>
          </w:p>
        </w:tc>
        <w:tc>
          <w:tcPr>
            <w:tcW w:w="0" w:type="auto"/>
            <w:vAlign w:val="center"/>
            <w:hideMark/>
          </w:tcPr>
          <w:p w14:paraId="181480BA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Heatmap / grouped bar</w:t>
            </w:r>
          </w:p>
        </w:tc>
        <w:tc>
          <w:tcPr>
            <w:tcW w:w="0" w:type="auto"/>
            <w:vAlign w:val="center"/>
            <w:hideMark/>
          </w:tcPr>
          <w:p w14:paraId="659B29AC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Show which building types benefit most from which measures.</w:t>
            </w:r>
          </w:p>
        </w:tc>
      </w:tr>
      <w:tr w:rsidR="00C327A8" w:rsidRPr="00C327A8" w14:paraId="36B45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4847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Peak demand or load proxy</w:t>
            </w:r>
          </w:p>
        </w:tc>
        <w:tc>
          <w:tcPr>
            <w:tcW w:w="0" w:type="auto"/>
            <w:vAlign w:val="center"/>
            <w:hideMark/>
          </w:tcPr>
          <w:p w14:paraId="20009812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Line or area chart</w:t>
            </w:r>
          </w:p>
        </w:tc>
        <w:tc>
          <w:tcPr>
            <w:tcW w:w="0" w:type="auto"/>
            <w:vAlign w:val="center"/>
            <w:hideMark/>
          </w:tcPr>
          <w:p w14:paraId="51D6C0EE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Optional if using sub-hourly proxies to illustrate timing of interventions.</w:t>
            </w:r>
          </w:p>
        </w:tc>
      </w:tr>
    </w:tbl>
    <w:p w14:paraId="3F285310" w14:textId="77777777" w:rsidR="00C327A8" w:rsidRPr="00C327A8" w:rsidRDefault="000E6070" w:rsidP="00C327A8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755AC2C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907702C" w14:textId="77777777" w:rsidR="00C327A8" w:rsidRPr="00C327A8" w:rsidRDefault="00C327A8" w:rsidP="00C327A8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C327A8">
        <w:rPr>
          <w:rFonts w:eastAsia="Times New Roman"/>
          <w:b/>
          <w:bCs/>
          <w:kern w:val="0"/>
          <w:sz w:val="36"/>
          <w:szCs w:val="36"/>
          <w14:ligatures w14:val="none"/>
        </w:rPr>
        <w:t>5. Trend / Comparison Figures</w:t>
      </w:r>
    </w:p>
    <w:p w14:paraId="7D66F5E9" w14:textId="77777777" w:rsidR="00C327A8" w:rsidRPr="00C327A8" w:rsidRDefault="00C327A8" w:rsidP="00C327A8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C327A8">
        <w:rPr>
          <w:rFonts w:eastAsia="Times New Roman"/>
          <w:b/>
          <w:bCs/>
          <w:kern w:val="0"/>
          <w14:ligatures w14:val="none"/>
        </w:rPr>
        <w:t>Purpose:</w:t>
      </w:r>
      <w:r w:rsidRPr="00C327A8">
        <w:rPr>
          <w:rFonts w:eastAsia="Times New Roman"/>
          <w:kern w:val="0"/>
          <w14:ligatures w14:val="none"/>
        </w:rPr>
        <w:t> Highlight potential gains and community-level impact.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1734"/>
        <w:gridCol w:w="5115"/>
      </w:tblGrid>
      <w:tr w:rsidR="00C327A8" w:rsidRPr="00C327A8" w14:paraId="3FD8B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4F91B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14:paraId="5E057E9D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D725FA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Notes / Use</w:t>
            </w:r>
          </w:p>
        </w:tc>
      </w:tr>
      <w:tr w:rsidR="00C327A8" w:rsidRPr="00C327A8" w14:paraId="238C4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7C0F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Current vs potential energy use</w:t>
            </w:r>
          </w:p>
        </w:tc>
        <w:tc>
          <w:tcPr>
            <w:tcW w:w="0" w:type="auto"/>
            <w:vAlign w:val="center"/>
            <w:hideMark/>
          </w:tcPr>
          <w:p w14:paraId="32CC3B8B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Boxplot / violin plot</w:t>
            </w:r>
          </w:p>
        </w:tc>
        <w:tc>
          <w:tcPr>
            <w:tcW w:w="0" w:type="auto"/>
            <w:vAlign w:val="center"/>
            <w:hideMark/>
          </w:tcPr>
          <w:p w14:paraId="60151325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Visualize distribution and skewness.</w:t>
            </w:r>
          </w:p>
        </w:tc>
      </w:tr>
      <w:tr w:rsidR="00C327A8" w:rsidRPr="00C327A8" w14:paraId="2293B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D244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lastRenderedPageBreak/>
              <w:t>CO₂ reduction potential</w:t>
            </w:r>
          </w:p>
        </w:tc>
        <w:tc>
          <w:tcPr>
            <w:tcW w:w="0" w:type="auto"/>
            <w:vAlign w:val="center"/>
            <w:hideMark/>
          </w:tcPr>
          <w:p w14:paraId="2AD962B5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Stacked bar chart</w:t>
            </w:r>
          </w:p>
        </w:tc>
        <w:tc>
          <w:tcPr>
            <w:tcW w:w="0" w:type="auto"/>
            <w:vAlign w:val="center"/>
            <w:hideMark/>
          </w:tcPr>
          <w:p w14:paraId="70AC71B9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Aggregate potential reductions by dwelling type or measure.</w:t>
            </w:r>
          </w:p>
        </w:tc>
      </w:tr>
      <w:tr w:rsidR="00C327A8" w:rsidRPr="00C327A8" w14:paraId="7E461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B0A4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Cost savings distribution</w:t>
            </w:r>
          </w:p>
        </w:tc>
        <w:tc>
          <w:tcPr>
            <w:tcW w:w="0" w:type="auto"/>
            <w:vAlign w:val="center"/>
            <w:hideMark/>
          </w:tcPr>
          <w:p w14:paraId="506541EB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579EB301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Show range of savings per home and community total.</w:t>
            </w:r>
          </w:p>
        </w:tc>
      </w:tr>
      <w:tr w:rsidR="00C327A8" w:rsidRPr="00C327A8" w14:paraId="29BE0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AC46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Energy efficiency delta</w:t>
            </w:r>
          </w:p>
        </w:tc>
        <w:tc>
          <w:tcPr>
            <w:tcW w:w="0" w:type="auto"/>
            <w:vAlign w:val="center"/>
            <w:hideMark/>
          </w:tcPr>
          <w:p w14:paraId="75F6DFB4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Waterfall chart</w:t>
            </w:r>
          </w:p>
        </w:tc>
        <w:tc>
          <w:tcPr>
            <w:tcW w:w="0" w:type="auto"/>
            <w:vAlign w:val="center"/>
            <w:hideMark/>
          </w:tcPr>
          <w:p w14:paraId="1AF0FA46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Visualize contribution of different measures to overall improvement.</w:t>
            </w:r>
          </w:p>
        </w:tc>
      </w:tr>
    </w:tbl>
    <w:p w14:paraId="7A68459B" w14:textId="77777777" w:rsidR="00C327A8" w:rsidRPr="00C327A8" w:rsidRDefault="000E6070" w:rsidP="00C327A8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3D7515A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D433449" w14:textId="77777777" w:rsidR="00C327A8" w:rsidRPr="00C327A8" w:rsidRDefault="00C327A8" w:rsidP="00C327A8">
      <w:pPr>
        <w:spacing w:before="100" w:beforeAutospacing="1" w:after="100" w:afterAutospacing="1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C327A8">
        <w:rPr>
          <w:rFonts w:eastAsia="Times New Roman"/>
          <w:b/>
          <w:bCs/>
          <w:kern w:val="0"/>
          <w:sz w:val="36"/>
          <w:szCs w:val="36"/>
          <w14:ligatures w14:val="none"/>
        </w:rPr>
        <w:t>6. Missing Data / Sensitivity Reporting</w:t>
      </w:r>
    </w:p>
    <w:p w14:paraId="66399A6D" w14:textId="77777777" w:rsidR="00C327A8" w:rsidRPr="00C327A8" w:rsidRDefault="00C327A8" w:rsidP="00C327A8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C327A8">
        <w:rPr>
          <w:rFonts w:eastAsia="Times New Roman"/>
          <w:b/>
          <w:bCs/>
          <w:kern w:val="0"/>
          <w14:ligatures w14:val="none"/>
        </w:rPr>
        <w:t>Purpose:</w:t>
      </w:r>
      <w:r w:rsidRPr="00C327A8">
        <w:rPr>
          <w:rFonts w:eastAsia="Times New Roman"/>
          <w:kern w:val="0"/>
          <w14:ligatures w14:val="none"/>
        </w:rPr>
        <w:t> Transparently highlight data gaps for FDT and guide future collection.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927"/>
        <w:gridCol w:w="6669"/>
      </w:tblGrid>
      <w:tr w:rsidR="00C327A8" w:rsidRPr="00C327A8" w14:paraId="00F2E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6337E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Table/Figure</w:t>
            </w:r>
          </w:p>
        </w:tc>
        <w:tc>
          <w:tcPr>
            <w:tcW w:w="0" w:type="auto"/>
            <w:vAlign w:val="center"/>
            <w:hideMark/>
          </w:tcPr>
          <w:p w14:paraId="7C525830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0E2D75" w14:textId="77777777" w:rsidR="00C327A8" w:rsidRPr="00C327A8" w:rsidRDefault="00C327A8" w:rsidP="00C327A8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327A8">
              <w:rPr>
                <w:rFonts w:eastAsia="Times New Roman"/>
                <w:b/>
                <w:bCs/>
                <w:kern w:val="0"/>
                <w14:ligatures w14:val="none"/>
              </w:rPr>
              <w:t>Notes / Use</w:t>
            </w:r>
          </w:p>
        </w:tc>
      </w:tr>
      <w:tr w:rsidR="00C327A8" w:rsidRPr="00C327A8" w14:paraId="59E9B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6B24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Missing values table</w:t>
            </w:r>
          </w:p>
        </w:tc>
        <w:tc>
          <w:tcPr>
            <w:tcW w:w="0" w:type="auto"/>
            <w:vAlign w:val="center"/>
            <w:hideMark/>
          </w:tcPr>
          <w:p w14:paraId="075F0605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376A6CC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Count and % missing per variable.</w:t>
            </w:r>
          </w:p>
        </w:tc>
      </w:tr>
      <w:tr w:rsidR="00C327A8" w:rsidRPr="00C327A8" w14:paraId="2380D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DA66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Sensitivity heatmap</w:t>
            </w:r>
          </w:p>
        </w:tc>
        <w:tc>
          <w:tcPr>
            <w:tcW w:w="0" w:type="auto"/>
            <w:vAlign w:val="center"/>
            <w:hideMark/>
          </w:tcPr>
          <w:p w14:paraId="6C1275C9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1B3D8E17" w14:textId="77777777" w:rsidR="00C327A8" w:rsidRPr="00C327A8" w:rsidRDefault="00C327A8" w:rsidP="00C327A8">
            <w:pPr>
              <w:rPr>
                <w:rFonts w:eastAsia="Times New Roman"/>
                <w:kern w:val="0"/>
                <w14:ligatures w14:val="none"/>
              </w:rPr>
            </w:pPr>
            <w:r w:rsidRPr="00C327A8">
              <w:rPr>
                <w:rFonts w:eastAsia="Times New Roman"/>
                <w:kern w:val="0"/>
                <w14:ligatures w14:val="none"/>
              </w:rPr>
              <w:t>Highlight which variables’ missingness has the most impact on priority indices or cost-effectiveness calculations.</w:t>
            </w:r>
          </w:p>
        </w:tc>
      </w:tr>
    </w:tbl>
    <w:p w14:paraId="217B34F6" w14:textId="77777777" w:rsidR="00C327A8" w:rsidRPr="00C327A8" w:rsidRDefault="000E6070" w:rsidP="00C327A8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pict w14:anchorId="2C13119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AB7D8A" w14:textId="77777777" w:rsidR="00C327A8" w:rsidRPr="00C327A8" w:rsidRDefault="00C327A8" w:rsidP="00C327A8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C327A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C327A8">
        <w:rPr>
          <w:rFonts w:eastAsia="Times New Roman"/>
          <w:b/>
          <w:bCs/>
          <w:kern w:val="0"/>
          <w:sz w:val="27"/>
          <w:szCs w:val="27"/>
          <w14:ligatures w14:val="none"/>
        </w:rPr>
        <w:t> Summary Recommendations</w:t>
      </w:r>
    </w:p>
    <w:p w14:paraId="63FBC523" w14:textId="77777777" w:rsidR="00C327A8" w:rsidRPr="00C327A8" w:rsidRDefault="00C327A8" w:rsidP="00C327A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C327A8">
        <w:rPr>
          <w:rFonts w:eastAsia="Times New Roman"/>
          <w:b/>
          <w:bCs/>
          <w:kern w:val="0"/>
          <w14:ligatures w14:val="none"/>
        </w:rPr>
        <w:t>Internal team:</w:t>
      </w:r>
      <w:r w:rsidRPr="00C327A8">
        <w:rPr>
          <w:rFonts w:eastAsia="Times New Roman"/>
          <w:kern w:val="0"/>
          <w14:ligatures w14:val="none"/>
        </w:rPr>
        <w:t> Focus on </w:t>
      </w:r>
      <w:r w:rsidRPr="00C327A8">
        <w:rPr>
          <w:rFonts w:eastAsia="Times New Roman"/>
          <w:b/>
          <w:bCs/>
          <w:kern w:val="0"/>
          <w14:ligatures w14:val="none"/>
        </w:rPr>
        <w:t>detailed numeric tables, archetype cross-tabs, and priority index scatterplots</w:t>
      </w:r>
      <w:r w:rsidRPr="00C327A8">
        <w:rPr>
          <w:rFonts w:eastAsia="Times New Roman"/>
          <w:kern w:val="0"/>
          <w14:ligatures w14:val="none"/>
        </w:rPr>
        <w:t> to guide technical discussions.</w:t>
      </w:r>
    </w:p>
    <w:p w14:paraId="4CC6BDC9" w14:textId="77777777" w:rsidR="00C327A8" w:rsidRPr="00C327A8" w:rsidRDefault="00C327A8" w:rsidP="00C327A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C327A8">
        <w:rPr>
          <w:rFonts w:eastAsia="Times New Roman"/>
          <w:b/>
          <w:bCs/>
          <w:kern w:val="0"/>
          <w14:ligatures w14:val="none"/>
        </w:rPr>
        <w:t>Final deliverables for FDT / public-facing:</w:t>
      </w:r>
      <w:r w:rsidRPr="00C327A8">
        <w:rPr>
          <w:rFonts w:eastAsia="Times New Roman"/>
          <w:kern w:val="0"/>
          <w14:ligatures w14:val="none"/>
        </w:rPr>
        <w:t> Emphasize </w:t>
      </w:r>
      <w:r w:rsidRPr="00C327A8">
        <w:rPr>
          <w:rFonts w:eastAsia="Times New Roman"/>
          <w:b/>
          <w:bCs/>
          <w:kern w:val="0"/>
          <w14:ligatures w14:val="none"/>
        </w:rPr>
        <w:t>community-level aggregates, choropleth maps, improvement potential visualizations, and cost-effectiveness scatterplots</w:t>
      </w:r>
      <w:r w:rsidRPr="00C327A8">
        <w:rPr>
          <w:rFonts w:eastAsia="Times New Roman"/>
          <w:kern w:val="0"/>
          <w14:ligatures w14:val="none"/>
        </w:rPr>
        <w:t>. Keep tables concise, with figures doing the “storytelling.”</w:t>
      </w:r>
    </w:p>
    <w:p w14:paraId="7F6B9B56" w14:textId="77777777" w:rsidR="00C327A8" w:rsidRPr="00C327A8" w:rsidRDefault="00C327A8" w:rsidP="00C327A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C327A8">
        <w:rPr>
          <w:rFonts w:eastAsia="Times New Roman"/>
          <w:b/>
          <w:bCs/>
          <w:kern w:val="0"/>
          <w14:ligatures w14:val="none"/>
        </w:rPr>
        <w:t>Optional advanced visualization:</w:t>
      </w:r>
      <w:r w:rsidRPr="00C327A8">
        <w:rPr>
          <w:rFonts w:eastAsia="Times New Roman"/>
          <w:kern w:val="0"/>
          <w14:ligatures w14:val="none"/>
        </w:rPr>
        <w:t> If time allows, add </w:t>
      </w:r>
      <w:r w:rsidRPr="00C327A8">
        <w:rPr>
          <w:rFonts w:eastAsia="Times New Roman"/>
          <w:b/>
          <w:bCs/>
          <w:kern w:val="0"/>
          <w14:ligatures w14:val="none"/>
        </w:rPr>
        <w:t>uncertainty overlays, peak-load proxies, and stacked waterfall charts</w:t>
      </w:r>
      <w:r w:rsidRPr="00C327A8">
        <w:rPr>
          <w:rFonts w:eastAsia="Times New Roman"/>
          <w:kern w:val="0"/>
          <w14:ligatures w14:val="none"/>
        </w:rPr>
        <w:t> for maximum transparency and insight.</w:t>
      </w:r>
    </w:p>
    <w:p w14:paraId="578631F4" w14:textId="6C703018" w:rsidR="003A26A1" w:rsidRPr="00C327A8" w:rsidRDefault="003A26A1" w:rsidP="003A26A1"/>
    <w:sectPr w:rsidR="003A26A1" w:rsidRPr="00C32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C7676" w14:textId="77777777" w:rsidR="000E6070" w:rsidRDefault="000E6070" w:rsidP="003A26A1">
      <w:r>
        <w:separator/>
      </w:r>
    </w:p>
  </w:endnote>
  <w:endnote w:type="continuationSeparator" w:id="0">
    <w:p w14:paraId="10F99197" w14:textId="77777777" w:rsidR="000E6070" w:rsidRDefault="000E6070" w:rsidP="003A2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133A0" w14:textId="77777777" w:rsidR="000E6070" w:rsidRDefault="000E6070" w:rsidP="003A26A1">
      <w:r>
        <w:separator/>
      </w:r>
    </w:p>
  </w:footnote>
  <w:footnote w:type="continuationSeparator" w:id="0">
    <w:p w14:paraId="295276E8" w14:textId="77777777" w:rsidR="000E6070" w:rsidRDefault="000E6070" w:rsidP="003A26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33FFF"/>
    <w:multiLevelType w:val="multilevel"/>
    <w:tmpl w:val="9958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57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A8"/>
    <w:rsid w:val="000277B2"/>
    <w:rsid w:val="0004011E"/>
    <w:rsid w:val="000E6070"/>
    <w:rsid w:val="002445D0"/>
    <w:rsid w:val="003A26A1"/>
    <w:rsid w:val="0045034F"/>
    <w:rsid w:val="0061515F"/>
    <w:rsid w:val="0065448E"/>
    <w:rsid w:val="006820B8"/>
    <w:rsid w:val="0080585F"/>
    <w:rsid w:val="009039AB"/>
    <w:rsid w:val="00B615A6"/>
    <w:rsid w:val="00B84A43"/>
    <w:rsid w:val="00C327A8"/>
    <w:rsid w:val="00E6362F"/>
    <w:rsid w:val="00EA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D423"/>
  <w15:chartTrackingRefBased/>
  <w15:docId w15:val="{8CFBDA72-5D33-7042-95E2-EF9469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6A1"/>
    <w:pPr>
      <w:spacing w:after="0" w:line="240" w:lineRule="auto"/>
    </w:pPr>
    <w:rPr>
      <w:rFonts w:ascii="Times New Roman" w:hAnsi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6A1"/>
    <w:pPr>
      <w:keepNext/>
      <w:keepLines/>
      <w:outlineLvl w:val="0"/>
    </w:pPr>
    <w:rPr>
      <w:rFonts w:eastAsiaTheme="majorEastAsia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6A1"/>
    <w:pPr>
      <w:keepNext/>
      <w:keepLines/>
      <w:outlineLvl w:val="1"/>
    </w:pPr>
    <w:rPr>
      <w:rFonts w:eastAsiaTheme="majorEastAsia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6A1"/>
    <w:pPr>
      <w:keepNext/>
      <w:keepLines/>
      <w:outlineLvl w:val="2"/>
    </w:pPr>
    <w:rPr>
      <w:rFonts w:eastAsiaTheme="majorEastAsia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6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6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6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6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6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6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A26A1"/>
    <w:pPr>
      <w:spacing w:after="0" w:line="240" w:lineRule="auto"/>
    </w:pPr>
    <w:rPr>
      <w:rFonts w:ascii="Times New Roman" w:hAnsi="Times New Roman" w:cs="Times New Roman"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3A26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26A1"/>
    <w:rPr>
      <w:rFonts w:ascii="Times New Roman" w:hAnsi="Times New Roman" w:cs="Times New Roman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3A26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26A1"/>
    <w:rPr>
      <w:rFonts w:ascii="Times New Roman" w:hAnsi="Times New Roman" w:cs="Times New Roman"/>
      <w:color w:val="000000" w:themeColor="text1"/>
    </w:rPr>
  </w:style>
  <w:style w:type="paragraph" w:styleId="NormalWeb">
    <w:name w:val="Normal (Web)"/>
    <w:basedOn w:val="Normal"/>
    <w:uiPriority w:val="99"/>
    <w:unhideWhenUsed/>
    <w:rsid w:val="00C327A8"/>
    <w:pPr>
      <w:spacing w:before="100" w:beforeAutospacing="1" w:after="100" w:afterAutospacing="1"/>
    </w:pPr>
    <w:rPr>
      <w:rFonts w:eastAsia="Times New Roman"/>
      <w:color w:val="auto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327A8"/>
  </w:style>
  <w:style w:type="character" w:styleId="Strong">
    <w:name w:val="Strong"/>
    <w:basedOn w:val="DefaultParagraphFont"/>
    <w:uiPriority w:val="22"/>
    <w:qFormat/>
    <w:rsid w:val="00C327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617</Words>
  <Characters>3606</Characters>
  <Application>Microsoft Office Word</Application>
  <DocSecurity>0</DocSecurity>
  <Lines>144</Lines>
  <Paragraphs>145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Gehrung</dc:creator>
  <cp:keywords/>
  <dc:description/>
  <cp:lastModifiedBy>Jake Gehrung</cp:lastModifiedBy>
  <cp:revision>2</cp:revision>
  <dcterms:created xsi:type="dcterms:W3CDTF">2026-03-05T11:47:00Z</dcterms:created>
  <dcterms:modified xsi:type="dcterms:W3CDTF">2026-03-09T08:12:00Z</dcterms:modified>
</cp:coreProperties>
</file>