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F81A0" w14:textId="77777777" w:rsidR="00FA7A25" w:rsidRPr="00FA7A25" w:rsidRDefault="00DF6B0B" w:rsidP="00FA7A25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4A78E31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20CB6F6" w14:textId="77777777" w:rsidR="00FA7A25" w:rsidRPr="00FA7A25" w:rsidRDefault="00FA7A25" w:rsidP="00FA7A25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A7A25">
        <w:rPr>
          <w:rFonts w:eastAsia="Times New Roman"/>
          <w:b/>
          <w:bCs/>
          <w:kern w:val="0"/>
          <w:sz w:val="36"/>
          <w:szCs w:val="36"/>
          <w14:ligatures w14:val="none"/>
        </w:rPr>
        <w:t>1. Different lifetimes by measure type — </w:t>
      </w:r>
      <w:r w:rsidRPr="00FA7A25">
        <w:rPr>
          <w:rFonts w:eastAsia="Times New Roman"/>
          <w:b/>
          <w:bCs/>
          <w:i/>
          <w:iCs/>
          <w:kern w:val="0"/>
          <w:sz w:val="36"/>
          <w:szCs w:val="36"/>
          <w14:ligatures w14:val="none"/>
        </w:rPr>
        <w:t>strongly recommended</w:t>
      </w:r>
    </w:p>
    <w:p w14:paraId="0CD3BB0F" w14:textId="77777777" w:rsidR="00FA7A25" w:rsidRPr="00FA7A25" w:rsidRDefault="00FA7A25" w:rsidP="00FA7A25">
      <w:pPr>
        <w:spacing w:before="100" w:beforeAutospacing="1" w:after="100" w:afterAutospacing="1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A7A25">
        <w:rPr>
          <w:rFonts w:eastAsia="Times New Roman"/>
          <w:b/>
          <w:bCs/>
          <w:kern w:val="0"/>
          <w:sz w:val="27"/>
          <w:szCs w:val="27"/>
          <w14:ligatures w14:val="none"/>
        </w:rPr>
        <w:t>Why this is a good idea</w:t>
      </w:r>
    </w:p>
    <w:p w14:paraId="31BBF110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Right now, using a single 20-year lifetime implicitly assumes:</w:t>
      </w:r>
    </w:p>
    <w:p w14:paraId="121BB8A6" w14:textId="77777777" w:rsidR="00FA7A25" w:rsidRPr="00FA7A25" w:rsidRDefault="00FA7A25" w:rsidP="00FA7A25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Fabric upgrades ≈ PV ≈ heat pumps ≈ controls ≈ doors</w:t>
      </w:r>
      <w:r w:rsidRPr="00FA7A25">
        <w:rPr>
          <w:rFonts w:eastAsia="Times New Roman"/>
          <w:kern w:val="0"/>
          <w14:ligatures w14:val="none"/>
        </w:rPr>
        <w:br/>
        <w:t>which is </w:t>
      </w:r>
      <w:r w:rsidRPr="00FA7A25">
        <w:rPr>
          <w:rFonts w:eastAsia="Times New Roman"/>
          <w:b/>
          <w:bCs/>
          <w:kern w:val="0"/>
          <w14:ligatures w14:val="none"/>
        </w:rPr>
        <w:t>not realistic</w:t>
      </w:r>
      <w:r w:rsidRPr="00FA7A25">
        <w:rPr>
          <w:rFonts w:eastAsia="Times New Roman"/>
          <w:kern w:val="0"/>
          <w14:ligatures w14:val="none"/>
        </w:rPr>
        <w:t> and weakens financial interpretation.</w:t>
      </w:r>
    </w:p>
    <w:p w14:paraId="4C8776DF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In reality:</w:t>
      </w:r>
    </w:p>
    <w:p w14:paraId="03E81631" w14:textId="77777777" w:rsidR="00FA7A25" w:rsidRPr="00FA7A25" w:rsidRDefault="00FA7A25" w:rsidP="00FA7A2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Fabric often lasts </w:t>
      </w:r>
      <w:r w:rsidRPr="00FA7A25">
        <w:rPr>
          <w:rFonts w:eastAsia="Times New Roman"/>
          <w:b/>
          <w:bCs/>
          <w:kern w:val="0"/>
          <w14:ligatures w14:val="none"/>
        </w:rPr>
        <w:t>40–60 years</w:t>
      </w:r>
    </w:p>
    <w:p w14:paraId="79A80CB8" w14:textId="77777777" w:rsidR="00FA7A25" w:rsidRPr="00FA7A25" w:rsidRDefault="00FA7A25" w:rsidP="00FA7A2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Heat pumps ≈ </w:t>
      </w:r>
      <w:r w:rsidRPr="00FA7A25">
        <w:rPr>
          <w:rFonts w:eastAsia="Times New Roman"/>
          <w:b/>
          <w:bCs/>
          <w:kern w:val="0"/>
          <w14:ligatures w14:val="none"/>
        </w:rPr>
        <w:t>15–20 years</w:t>
      </w:r>
    </w:p>
    <w:p w14:paraId="3EFCF484" w14:textId="77777777" w:rsidR="00FA7A25" w:rsidRPr="00FA7A25" w:rsidRDefault="00FA7A25" w:rsidP="00FA7A2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PV ≈ </w:t>
      </w:r>
      <w:r w:rsidRPr="00FA7A25">
        <w:rPr>
          <w:rFonts w:eastAsia="Times New Roman"/>
          <w:b/>
          <w:bCs/>
          <w:kern w:val="0"/>
          <w14:ligatures w14:val="none"/>
        </w:rPr>
        <w:t>25–30 years</w:t>
      </w:r>
    </w:p>
    <w:p w14:paraId="093D4798" w14:textId="77777777" w:rsidR="00FA7A25" w:rsidRPr="00FA7A25" w:rsidRDefault="00FA7A25" w:rsidP="00FA7A2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Controls ≈ </w:t>
      </w:r>
      <w:r w:rsidRPr="00FA7A25">
        <w:rPr>
          <w:rFonts w:eastAsia="Times New Roman"/>
          <w:b/>
          <w:bCs/>
          <w:kern w:val="0"/>
          <w14:ligatures w14:val="none"/>
        </w:rPr>
        <w:t>10–15 years</w:t>
      </w:r>
    </w:p>
    <w:p w14:paraId="0EF04B51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Using a single lifetime:</w:t>
      </w:r>
    </w:p>
    <w:p w14:paraId="338625A3" w14:textId="77777777" w:rsidR="00FA7A25" w:rsidRPr="00FA7A25" w:rsidRDefault="00FA7A25" w:rsidP="00FA7A25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Penalises fabric unfairly in NPV/IRR</w:t>
      </w:r>
    </w:p>
    <w:p w14:paraId="3C5EB56F" w14:textId="77777777" w:rsidR="00FA7A25" w:rsidRPr="00FA7A25" w:rsidRDefault="00FA7A25" w:rsidP="00FA7A25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Makes PV and HP look artificially similar</w:t>
      </w:r>
    </w:p>
    <w:p w14:paraId="18632749" w14:textId="77777777" w:rsidR="00FA7A25" w:rsidRPr="00FA7A25" w:rsidRDefault="00FA7A25" w:rsidP="00FA7A25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Undermines the credibility of IRR comparisons</w:t>
      </w:r>
    </w:p>
    <w:p w14:paraId="2EE6EBB2" w14:textId="77777777" w:rsidR="00FA7A25" w:rsidRPr="00FA7A25" w:rsidRDefault="00FA7A25" w:rsidP="00FA7A25">
      <w:pPr>
        <w:spacing w:before="100" w:beforeAutospacing="1" w:after="100" w:afterAutospacing="1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A7A25">
        <w:rPr>
          <w:rFonts w:eastAsia="Times New Roman"/>
          <w:b/>
          <w:bCs/>
          <w:kern w:val="0"/>
          <w:sz w:val="27"/>
          <w:szCs w:val="27"/>
          <w14:ligatures w14:val="none"/>
        </w:rPr>
        <w:t>Your proposed approach (separate CSV) is excellent</w:t>
      </w:r>
    </w:p>
    <w:p w14:paraId="6BECCCC6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A structure like this is </w:t>
      </w:r>
      <w:r w:rsidRPr="00FA7A25">
        <w:rPr>
          <w:rFonts w:eastAsia="Times New Roman"/>
          <w:i/>
          <w:iCs/>
          <w:kern w:val="0"/>
          <w14:ligatures w14:val="none"/>
        </w:rPr>
        <w:t>exactly right</w:t>
      </w:r>
      <w:r w:rsidRPr="00FA7A25">
        <w:rPr>
          <w:rFonts w:eastAsia="Times New Roman"/>
          <w:kern w:val="0"/>
          <w14:ligatures w14:val="none"/>
        </w:rPr>
        <w:t>:</w:t>
      </w:r>
    </w:p>
    <w:p w14:paraId="7678C236" w14:textId="77777777" w:rsidR="00FA7A25" w:rsidRPr="00FA7A25" w:rsidRDefault="00FA7A25" w:rsidP="00FA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measure_type, lifetime_years</w:t>
      </w:r>
    </w:p>
    <w:p w14:paraId="11BF7C3E" w14:textId="77777777" w:rsidR="00FA7A25" w:rsidRPr="00FA7A25" w:rsidRDefault="00FA7A25" w:rsidP="00FA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cavity_wall_insulation, 40</w:t>
      </w:r>
    </w:p>
    <w:p w14:paraId="7A0E1C47" w14:textId="77777777" w:rsidR="00FA7A25" w:rsidRPr="00FA7A25" w:rsidRDefault="00FA7A25" w:rsidP="00FA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loft_insulation, 40</w:t>
      </w:r>
    </w:p>
    <w:p w14:paraId="0A5FD41F" w14:textId="77777777" w:rsidR="00FA7A25" w:rsidRPr="00FA7A25" w:rsidRDefault="00FA7A25" w:rsidP="00FA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external_doors, 30</w:t>
      </w:r>
    </w:p>
    <w:p w14:paraId="19595433" w14:textId="77777777" w:rsidR="00FA7A25" w:rsidRPr="00FA7A25" w:rsidRDefault="00FA7A25" w:rsidP="00FA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solar_pv, 25</w:t>
      </w:r>
    </w:p>
    <w:p w14:paraId="12FFDF14" w14:textId="77777777" w:rsidR="00FA7A25" w:rsidRPr="00FA7A25" w:rsidRDefault="00FA7A25" w:rsidP="00FA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solar_thermal, 20</w:t>
      </w:r>
    </w:p>
    <w:p w14:paraId="7D1DBEBB" w14:textId="77777777" w:rsidR="00FA7A25" w:rsidRPr="00FA7A25" w:rsidRDefault="00FA7A25" w:rsidP="00FA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heat_pump, 18</w:t>
      </w:r>
    </w:p>
    <w:p w14:paraId="792AFC2C" w14:textId="77777777" w:rsidR="00FA7A25" w:rsidRPr="00FA7A25" w:rsidRDefault="00FA7A25" w:rsidP="00FA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controls, 12</w:t>
      </w:r>
    </w:p>
    <w:p w14:paraId="011927F0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Then:</w:t>
      </w:r>
    </w:p>
    <w:p w14:paraId="3D1DD0B8" w14:textId="77777777" w:rsidR="00FA7A25" w:rsidRPr="00FA7A25" w:rsidRDefault="00FA7A25" w:rsidP="00FA7A25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EPC measures → mapped to measure types</w:t>
      </w:r>
    </w:p>
    <w:p w14:paraId="3BDCF4F8" w14:textId="77777777" w:rsidR="00FA7A25" w:rsidRPr="00FA7A25" w:rsidRDefault="00FA7A25" w:rsidP="00FA7A25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Lifetime pulled dynamically per dwelling</w:t>
      </w:r>
    </w:p>
    <w:p w14:paraId="26AE9008" w14:textId="77777777" w:rsidR="00FA7A25" w:rsidRPr="00FA7A25" w:rsidRDefault="00FA7A25" w:rsidP="00FA7A25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Bundles can use:</w:t>
      </w:r>
    </w:p>
    <w:p w14:paraId="11D856C1" w14:textId="77777777" w:rsidR="00FA7A25" w:rsidRPr="00FA7A25" w:rsidRDefault="00FA7A25" w:rsidP="00FA7A25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weighted lifetime</w:t>
      </w:r>
    </w:p>
    <w:p w14:paraId="3384E768" w14:textId="77777777" w:rsidR="00FA7A25" w:rsidRPr="00FA7A25" w:rsidRDefault="00FA7A25" w:rsidP="00FA7A25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or conservative minimum lifetime</w:t>
      </w:r>
    </w:p>
    <w:p w14:paraId="0CAE4A97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lastRenderedPageBreak/>
        <w:t>This aligns perfectly with:</w:t>
      </w:r>
    </w:p>
    <w:p w14:paraId="1570331D" w14:textId="77777777" w:rsidR="00FA7A25" w:rsidRPr="00FA7A25" w:rsidRDefault="00FA7A25" w:rsidP="00FA7A2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PAS2035 thinking</w:t>
      </w:r>
    </w:p>
    <w:p w14:paraId="0C65921D" w14:textId="77777777" w:rsidR="00FA7A25" w:rsidRPr="00FA7A25" w:rsidRDefault="00FA7A25" w:rsidP="00FA7A2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Screening-level economics</w:t>
      </w:r>
    </w:p>
    <w:p w14:paraId="2FA32D51" w14:textId="77777777" w:rsidR="00FA7A25" w:rsidRPr="00FA7A25" w:rsidRDefault="00FA7A25" w:rsidP="00FA7A2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“data-light but principled” framing</w:t>
      </w:r>
    </w:p>
    <w:p w14:paraId="220E3A8B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A7A25">
        <w:rPr>
          <w:rFonts w:eastAsia="Times New Roman"/>
          <w:kern w:val="0"/>
          <w14:ligatures w14:val="none"/>
        </w:rPr>
        <w:t> </w:t>
      </w:r>
      <w:r w:rsidRPr="00FA7A25">
        <w:rPr>
          <w:rFonts w:eastAsia="Times New Roman"/>
          <w:b/>
          <w:bCs/>
          <w:kern w:val="0"/>
          <w14:ligatures w14:val="none"/>
        </w:rPr>
        <w:t>Verdict: absolutely do this</w:t>
      </w:r>
    </w:p>
    <w:p w14:paraId="16E8B03A" w14:textId="77777777" w:rsidR="00FA7A25" w:rsidRPr="00FA7A25" w:rsidRDefault="00DF6B0B" w:rsidP="00FA7A25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4D88252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7BD70B7" w14:textId="77777777" w:rsidR="00FA7A25" w:rsidRPr="00FA7A25" w:rsidRDefault="00FA7A25" w:rsidP="00FA7A25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A7A25">
        <w:rPr>
          <w:rFonts w:eastAsia="Times New Roman"/>
          <w:b/>
          <w:bCs/>
          <w:kern w:val="0"/>
          <w:sz w:val="36"/>
          <w:szCs w:val="36"/>
          <w14:ligatures w14:val="none"/>
        </w:rPr>
        <w:t>2. Cost position slider (0–100%) — </w:t>
      </w:r>
      <w:r w:rsidRPr="00FA7A25">
        <w:rPr>
          <w:rFonts w:eastAsia="Times New Roman"/>
          <w:b/>
          <w:bCs/>
          <w:i/>
          <w:iCs/>
          <w:kern w:val="0"/>
          <w:sz w:val="36"/>
          <w:szCs w:val="36"/>
          <w14:ligatures w14:val="none"/>
        </w:rPr>
        <w:t>excellent design for sensitivity</w:t>
      </w:r>
    </w:p>
    <w:p w14:paraId="399A1FE8" w14:textId="77777777" w:rsidR="00FA7A25" w:rsidRPr="00FA7A25" w:rsidRDefault="00FA7A25" w:rsidP="00FA7A25">
      <w:pPr>
        <w:spacing w:before="100" w:beforeAutospacing="1" w:after="100" w:afterAutospacing="1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A7A25">
        <w:rPr>
          <w:rFonts w:eastAsia="Times New Roman"/>
          <w:b/>
          <w:bCs/>
          <w:kern w:val="0"/>
          <w:sz w:val="27"/>
          <w:szCs w:val="27"/>
          <w14:ligatures w14:val="none"/>
        </w:rPr>
        <w:t>Why this is powerful</w:t>
      </w:r>
    </w:p>
    <w:p w14:paraId="68C6D1AF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Right now, using the midpoint (</w:t>
      </w:r>
      <w:r w:rsidRPr="00FA7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CAPEX_MID</w:t>
      </w:r>
      <w:r w:rsidRPr="00FA7A25">
        <w:rPr>
          <w:rFonts w:eastAsia="Times New Roman"/>
          <w:kern w:val="0"/>
          <w14:ligatures w14:val="none"/>
        </w:rPr>
        <w:t>) hides uncertainty.</w:t>
      </w:r>
    </w:p>
    <w:p w14:paraId="2E670E93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Your proposal:</w:t>
      </w:r>
    </w:p>
    <w:p w14:paraId="42A6FBBD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0% = min cost</w:t>
      </w:r>
      <w:r w:rsidRPr="00FA7A25">
        <w:rPr>
          <w:rFonts w:eastAsia="Times New Roman"/>
          <w:kern w:val="0"/>
          <w14:ligatures w14:val="none"/>
        </w:rPr>
        <w:br/>
        <w:t>100% = max cost</w:t>
      </w:r>
    </w:p>
    <w:p w14:paraId="1B144F70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is a </w:t>
      </w:r>
      <w:r w:rsidRPr="00FA7A25">
        <w:rPr>
          <w:rFonts w:eastAsia="Times New Roman"/>
          <w:b/>
          <w:bCs/>
          <w:kern w:val="0"/>
          <w14:ligatures w14:val="none"/>
        </w:rPr>
        <w:t>simple, elegant uncertainty parameter</w:t>
      </w:r>
      <w:r w:rsidRPr="00FA7A25">
        <w:rPr>
          <w:rFonts w:eastAsia="Times New Roman"/>
          <w:kern w:val="0"/>
          <w14:ligatures w14:val="none"/>
        </w:rPr>
        <w:t> that gives you:</w:t>
      </w:r>
    </w:p>
    <w:p w14:paraId="753843FE" w14:textId="77777777" w:rsidR="00FA7A25" w:rsidRPr="00FA7A25" w:rsidRDefault="00FA7A25" w:rsidP="00FA7A2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Deterministic base case (e.g. 50%)</w:t>
      </w:r>
    </w:p>
    <w:p w14:paraId="0A954BFB" w14:textId="77777777" w:rsidR="00FA7A25" w:rsidRPr="00FA7A25" w:rsidRDefault="00FA7A25" w:rsidP="00FA7A2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Instant pessimistic / optimistic scenarios</w:t>
      </w:r>
    </w:p>
    <w:p w14:paraId="1C909475" w14:textId="77777777" w:rsidR="00FA7A25" w:rsidRPr="00FA7A25" w:rsidRDefault="00FA7A25" w:rsidP="00FA7A2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A clean hook for later sensitivity plots</w:t>
      </w:r>
    </w:p>
    <w:p w14:paraId="719C0FC9" w14:textId="77777777" w:rsidR="00FA7A25" w:rsidRPr="00FA7A25" w:rsidRDefault="00FA7A25" w:rsidP="00FA7A25">
      <w:pPr>
        <w:spacing w:before="100" w:beforeAutospacing="1" w:after="100" w:afterAutospacing="1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A7A25">
        <w:rPr>
          <w:rFonts w:eastAsia="Times New Roman"/>
          <w:b/>
          <w:bCs/>
          <w:kern w:val="0"/>
          <w:sz w:val="27"/>
          <w:szCs w:val="27"/>
          <w14:ligatures w14:val="none"/>
        </w:rPr>
        <w:t>Conceptually clean implementation</w:t>
      </w:r>
    </w:p>
    <w:p w14:paraId="0B169692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Instead of hard-coding </w:t>
      </w:r>
      <w:r w:rsidRPr="00FA7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CAPEX_MID</w:t>
      </w:r>
      <w:r w:rsidRPr="00FA7A25">
        <w:rPr>
          <w:rFonts w:eastAsia="Times New Roman"/>
          <w:kern w:val="0"/>
          <w14:ligatures w14:val="none"/>
        </w:rPr>
        <w:t>, you’d compute:</w:t>
      </w:r>
    </w:p>
    <w:p w14:paraId="7C9B1EF3" w14:textId="77777777" w:rsidR="00FA7A25" w:rsidRPr="00FA7A25" w:rsidRDefault="00FA7A25" w:rsidP="00FA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CAPEX = cost_min + α * (cost_max − cost_min)</w:t>
      </w:r>
    </w:p>
    <w:p w14:paraId="65FF4E28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Where:</w:t>
      </w:r>
    </w:p>
    <w:p w14:paraId="0E66345E" w14:textId="77777777" w:rsidR="00FA7A25" w:rsidRPr="00FA7A25" w:rsidRDefault="00FA7A25" w:rsidP="00FA7A2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 xml:space="preserve">α </w:t>
      </w:r>
      <w:r w:rsidRPr="00FA7A25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FA7A25">
        <w:rPr>
          <w:rFonts w:eastAsia="Times New Roman"/>
          <w:kern w:val="0"/>
          <w14:ligatures w14:val="none"/>
        </w:rPr>
        <w:t xml:space="preserve"> [0,1]</w:t>
      </w:r>
    </w:p>
    <w:p w14:paraId="01F3B9D7" w14:textId="77777777" w:rsidR="00FA7A25" w:rsidRPr="00FA7A25" w:rsidRDefault="00FA7A25" w:rsidP="00FA7A2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α = 0.5 → midpoint</w:t>
      </w:r>
    </w:p>
    <w:p w14:paraId="7E2D2FB7" w14:textId="77777777" w:rsidR="00FA7A25" w:rsidRPr="00FA7A25" w:rsidRDefault="00FA7A25" w:rsidP="00FA7A2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α = 0.8 → conservative</w:t>
      </w:r>
    </w:p>
    <w:p w14:paraId="268C6BAE" w14:textId="77777777" w:rsidR="00FA7A25" w:rsidRPr="00FA7A25" w:rsidRDefault="00FA7A25" w:rsidP="00FA7A2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α = 0.2 → optimistic</w:t>
      </w:r>
    </w:p>
    <w:p w14:paraId="740BC7B4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This:</w:t>
      </w:r>
    </w:p>
    <w:p w14:paraId="02F927E6" w14:textId="77777777" w:rsidR="00FA7A25" w:rsidRPr="00FA7A25" w:rsidRDefault="00FA7A25" w:rsidP="00FA7A2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Avoids Monte Carlo complexity</w:t>
      </w:r>
    </w:p>
    <w:p w14:paraId="2B7C5E6D" w14:textId="77777777" w:rsidR="00FA7A25" w:rsidRPr="00FA7A25" w:rsidRDefault="00FA7A25" w:rsidP="00FA7A2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Is transparent to non-technical stakeholders</w:t>
      </w:r>
    </w:p>
    <w:p w14:paraId="5D3F3418" w14:textId="77777777" w:rsidR="00FA7A25" w:rsidRPr="00FA7A25" w:rsidRDefault="00FA7A25" w:rsidP="00FA7A2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lastRenderedPageBreak/>
        <w:t>Makes later “robustness checks” trivial</w:t>
      </w:r>
    </w:p>
    <w:p w14:paraId="5CBE6BE9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A7A25">
        <w:rPr>
          <w:rFonts w:eastAsia="Times New Roman"/>
          <w:kern w:val="0"/>
          <w14:ligatures w14:val="none"/>
        </w:rPr>
        <w:t> </w:t>
      </w:r>
      <w:r w:rsidRPr="00FA7A25">
        <w:rPr>
          <w:rFonts w:eastAsia="Times New Roman"/>
          <w:b/>
          <w:bCs/>
          <w:kern w:val="0"/>
          <w14:ligatures w14:val="none"/>
        </w:rPr>
        <w:t>Verdict: very strong idea</w:t>
      </w:r>
    </w:p>
    <w:p w14:paraId="103EB8C4" w14:textId="77777777" w:rsidR="00FA7A25" w:rsidRPr="00FA7A25" w:rsidRDefault="00DF6B0B" w:rsidP="00FA7A25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58D2E11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142F8FD" w14:textId="77777777" w:rsidR="00FA7A25" w:rsidRPr="00FA7A25" w:rsidRDefault="00FA7A25" w:rsidP="00FA7A25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A7A25">
        <w:rPr>
          <w:rFonts w:eastAsia="Times New Roman"/>
          <w:b/>
          <w:bCs/>
          <w:kern w:val="0"/>
          <w:sz w:val="36"/>
          <w:szCs w:val="36"/>
          <w14:ligatures w14:val="none"/>
        </w:rPr>
        <w:t>3. Additional ideas in the </w:t>
      </w:r>
      <w:r w:rsidRPr="00FA7A25">
        <w:rPr>
          <w:rFonts w:eastAsia="Times New Roman"/>
          <w:b/>
          <w:bCs/>
          <w:i/>
          <w:iCs/>
          <w:kern w:val="0"/>
          <w:sz w:val="36"/>
          <w:szCs w:val="36"/>
          <w14:ligatures w14:val="none"/>
        </w:rPr>
        <w:t>same robustness family</w:t>
      </w:r>
    </w:p>
    <w:p w14:paraId="1156EE2F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Here are </w:t>
      </w:r>
      <w:r w:rsidRPr="00FA7A25">
        <w:rPr>
          <w:rFonts w:eastAsia="Times New Roman"/>
          <w:b/>
          <w:bCs/>
          <w:kern w:val="0"/>
          <w14:ligatures w14:val="none"/>
        </w:rPr>
        <w:t>other improvements that follow the same design philosophy</w:t>
      </w:r>
      <w:r w:rsidRPr="00FA7A25">
        <w:rPr>
          <w:rFonts w:eastAsia="Times New Roman"/>
          <w:kern w:val="0"/>
          <w14:ligatures w14:val="none"/>
        </w:rPr>
        <w:t> — lightweight, explicit, and defensible.</w:t>
      </w:r>
    </w:p>
    <w:p w14:paraId="4EFC469B" w14:textId="77777777" w:rsidR="00FA7A25" w:rsidRPr="00FA7A25" w:rsidRDefault="00DF6B0B" w:rsidP="00FA7A25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1A7D529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F2D97BA" w14:textId="77777777" w:rsidR="00FA7A25" w:rsidRPr="00FA7A25" w:rsidRDefault="00FA7A25" w:rsidP="00FA7A25">
      <w:pPr>
        <w:spacing w:before="100" w:beforeAutospacing="1" w:after="100" w:afterAutospacing="1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A7A25">
        <w:rPr>
          <w:rFonts w:eastAsia="Times New Roman"/>
          <w:b/>
          <w:bCs/>
          <w:kern w:val="0"/>
          <w:sz w:val="27"/>
          <w:szCs w:val="27"/>
          <w14:ligatures w14:val="none"/>
        </w:rPr>
        <w:t>A. Degradation / performance decay (optional but elegant)</w:t>
      </w:r>
    </w:p>
    <w:p w14:paraId="5322983B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Especially relevant for:</w:t>
      </w:r>
    </w:p>
    <w:p w14:paraId="7136EB38" w14:textId="77777777" w:rsidR="00FA7A25" w:rsidRPr="00FA7A25" w:rsidRDefault="00FA7A25" w:rsidP="00FA7A25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PV</w:t>
      </w:r>
    </w:p>
    <w:p w14:paraId="62EAB0BD" w14:textId="77777777" w:rsidR="00FA7A25" w:rsidRPr="00FA7A25" w:rsidRDefault="00FA7A25" w:rsidP="00FA7A25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solar thermal</w:t>
      </w:r>
    </w:p>
    <w:p w14:paraId="608B23FE" w14:textId="77777777" w:rsidR="00FA7A25" w:rsidRPr="00FA7A25" w:rsidRDefault="00FA7A25" w:rsidP="00FA7A25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heat pumps</w:t>
      </w:r>
    </w:p>
    <w:p w14:paraId="54F09F3D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Instead of flat annual savings:</w:t>
      </w:r>
    </w:p>
    <w:p w14:paraId="2E19CA71" w14:textId="77777777" w:rsidR="00FA7A25" w:rsidRPr="00FA7A25" w:rsidRDefault="00FA7A25" w:rsidP="00FA7A25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Introduce a small annual degradation factor (e.g. 0.5%/yr)</w:t>
      </w:r>
    </w:p>
    <w:p w14:paraId="2E781E61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This is optional, but even </w:t>
      </w:r>
      <w:r w:rsidRPr="00FA7A25">
        <w:rPr>
          <w:rFonts w:eastAsia="Times New Roman"/>
          <w:i/>
          <w:iCs/>
          <w:kern w:val="0"/>
          <w14:ligatures w14:val="none"/>
        </w:rPr>
        <w:t>mentioning</w:t>
      </w:r>
      <w:r w:rsidRPr="00FA7A25">
        <w:rPr>
          <w:rFonts w:eastAsia="Times New Roman"/>
          <w:kern w:val="0"/>
          <w14:ligatures w14:val="none"/>
        </w:rPr>
        <w:t> that it could be applied:</w:t>
      </w:r>
    </w:p>
    <w:p w14:paraId="51323419" w14:textId="77777777" w:rsidR="00FA7A25" w:rsidRPr="00FA7A25" w:rsidRDefault="00FA7A25" w:rsidP="00FA7A25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Signals maturity</w:t>
      </w:r>
    </w:p>
    <w:p w14:paraId="0E057A27" w14:textId="77777777" w:rsidR="00FA7A25" w:rsidRPr="00FA7A25" w:rsidRDefault="00FA7A25" w:rsidP="00FA7A25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Deflects criticism about over-optimism</w:t>
      </w:r>
    </w:p>
    <w:p w14:paraId="032BE032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You don’t need to implement this immediately — just architect for it.</w:t>
      </w:r>
    </w:p>
    <w:p w14:paraId="45449037" w14:textId="77777777" w:rsidR="00FA7A25" w:rsidRPr="00FA7A25" w:rsidRDefault="00DF6B0B" w:rsidP="00FA7A25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039885F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25D74B5" w14:textId="77777777" w:rsidR="00FA7A25" w:rsidRPr="00FA7A25" w:rsidRDefault="00FA7A25" w:rsidP="00FA7A25">
      <w:pPr>
        <w:spacing w:before="100" w:beforeAutospacing="1" w:after="100" w:afterAutospacing="1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A7A25">
        <w:rPr>
          <w:rFonts w:eastAsia="Times New Roman"/>
          <w:b/>
          <w:bCs/>
          <w:kern w:val="0"/>
          <w:sz w:val="27"/>
          <w:szCs w:val="27"/>
          <w14:ligatures w14:val="none"/>
        </w:rPr>
        <w:t>B. Savings confidence factor (very aligned with EPC uncertainty)</w:t>
      </w:r>
    </w:p>
    <w:p w14:paraId="065335B9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EPC “typical savings” are known to be optimistic.</w:t>
      </w:r>
    </w:p>
    <w:p w14:paraId="4140B853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A simple scalar:</w:t>
      </w:r>
    </w:p>
    <w:p w14:paraId="6AEC11E1" w14:textId="77777777" w:rsidR="00FA7A25" w:rsidRPr="00FA7A25" w:rsidRDefault="00FA7A25" w:rsidP="00FA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REALISATION_FACTOR </w:t>
      </w:r>
      <w:r w:rsidRPr="00FA7A2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FA7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[0.6 – 1.0]</w:t>
      </w:r>
    </w:p>
    <w:p w14:paraId="7D76DABF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Examples:</w:t>
      </w:r>
    </w:p>
    <w:p w14:paraId="53B2D4E3" w14:textId="77777777" w:rsidR="00FA7A25" w:rsidRPr="00FA7A25" w:rsidRDefault="00FA7A25" w:rsidP="00FA7A25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1.0 → EPC savings fully realised</w:t>
      </w:r>
    </w:p>
    <w:p w14:paraId="0E9DD9EA" w14:textId="77777777" w:rsidR="00FA7A25" w:rsidRPr="00FA7A25" w:rsidRDefault="00FA7A25" w:rsidP="00FA7A25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lastRenderedPageBreak/>
        <w:t>0.75 → partial behavioural / performance uptake</w:t>
      </w:r>
    </w:p>
    <w:p w14:paraId="58BDAA7E" w14:textId="77777777" w:rsidR="00FA7A25" w:rsidRPr="00FA7A25" w:rsidRDefault="00FA7A25" w:rsidP="00FA7A25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0.6 → conservative screening</w:t>
      </w:r>
    </w:p>
    <w:p w14:paraId="7F427E5C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This is </w:t>
      </w:r>
      <w:r w:rsidRPr="00FA7A25">
        <w:rPr>
          <w:rFonts w:eastAsia="Times New Roman"/>
          <w:b/>
          <w:bCs/>
          <w:kern w:val="0"/>
          <w14:ligatures w14:val="none"/>
        </w:rPr>
        <w:t>extremely defensible</w:t>
      </w:r>
      <w:r w:rsidRPr="00FA7A25">
        <w:rPr>
          <w:rFonts w:eastAsia="Times New Roman"/>
          <w:kern w:val="0"/>
          <w14:ligatures w14:val="none"/>
        </w:rPr>
        <w:t>, and dovetails perfectly with your:</w:t>
      </w:r>
    </w:p>
    <w:p w14:paraId="34F6806A" w14:textId="77777777" w:rsidR="00FA7A25" w:rsidRPr="00FA7A25" w:rsidRDefault="00FA7A25" w:rsidP="00FA7A25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“what EPCs can and cannot tell us” section</w:t>
      </w:r>
    </w:p>
    <w:p w14:paraId="6FA9390C" w14:textId="77777777" w:rsidR="00FA7A25" w:rsidRPr="00FA7A25" w:rsidRDefault="00FA7A25" w:rsidP="00FA7A25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uncertainty framing in Week 9</w:t>
      </w:r>
    </w:p>
    <w:p w14:paraId="49FE79B2" w14:textId="77777777" w:rsidR="00FA7A25" w:rsidRPr="00FA7A25" w:rsidRDefault="00DF6B0B" w:rsidP="00FA7A25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0D90267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28F7090" w14:textId="77777777" w:rsidR="00FA7A25" w:rsidRPr="00FA7A25" w:rsidRDefault="00FA7A25" w:rsidP="00FA7A25">
      <w:pPr>
        <w:spacing w:before="100" w:beforeAutospacing="1" w:after="100" w:afterAutospacing="1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A7A25">
        <w:rPr>
          <w:rFonts w:eastAsia="Times New Roman"/>
          <w:b/>
          <w:bCs/>
          <w:kern w:val="0"/>
          <w:sz w:val="27"/>
          <w:szCs w:val="27"/>
          <w14:ligatures w14:val="none"/>
        </w:rPr>
        <w:t>C. Discount rate as a scenario variable (not a constant)</w:t>
      </w:r>
    </w:p>
    <w:p w14:paraId="13DE286B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Rather than hard-coding:</w:t>
      </w:r>
    </w:p>
    <w:p w14:paraId="4CC15E1F" w14:textId="77777777" w:rsidR="00FA7A25" w:rsidRPr="00FA7A25" w:rsidRDefault="00FA7A25" w:rsidP="00FA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DISCOUNT_RATE = 3.5%</w:t>
      </w:r>
    </w:p>
    <w:p w14:paraId="3144AF84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You could later expose:</w:t>
      </w:r>
    </w:p>
    <w:p w14:paraId="330E3624" w14:textId="77777777" w:rsidR="00FA7A25" w:rsidRPr="00FA7A25" w:rsidRDefault="00FA7A25" w:rsidP="00FA7A25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1.5% (social / fuel poverty lens)</w:t>
      </w:r>
    </w:p>
    <w:p w14:paraId="433FDF17" w14:textId="77777777" w:rsidR="00FA7A25" w:rsidRPr="00FA7A25" w:rsidRDefault="00FA7A25" w:rsidP="00FA7A25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3.5% (UK public sector)</w:t>
      </w:r>
    </w:p>
    <w:p w14:paraId="045E514C" w14:textId="77777777" w:rsidR="00FA7A25" w:rsidRPr="00FA7A25" w:rsidRDefault="00FA7A25" w:rsidP="00FA7A25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6–8% (private household lens)</w:t>
      </w:r>
    </w:p>
    <w:p w14:paraId="31617F37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Even if you only </w:t>
      </w:r>
      <w:r w:rsidRPr="00FA7A25">
        <w:rPr>
          <w:rFonts w:eastAsia="Times New Roman"/>
          <w:i/>
          <w:iCs/>
          <w:kern w:val="0"/>
          <w14:ligatures w14:val="none"/>
        </w:rPr>
        <w:t>use one</w:t>
      </w:r>
      <w:r w:rsidRPr="00FA7A25">
        <w:rPr>
          <w:rFonts w:eastAsia="Times New Roman"/>
          <w:kern w:val="0"/>
          <w14:ligatures w14:val="none"/>
        </w:rPr>
        <w:t> in results:</w:t>
      </w:r>
    </w:p>
    <w:p w14:paraId="045A3A13" w14:textId="77777777" w:rsidR="00FA7A25" w:rsidRPr="00FA7A25" w:rsidRDefault="00FA7A25" w:rsidP="00FA7A25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Structuring for this matters</w:t>
      </w:r>
    </w:p>
    <w:p w14:paraId="14729D42" w14:textId="77777777" w:rsidR="00FA7A25" w:rsidRPr="00FA7A25" w:rsidRDefault="00DF6B0B" w:rsidP="00FA7A25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67D71D7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C07A2DA" w14:textId="77777777" w:rsidR="00FA7A25" w:rsidRPr="00FA7A25" w:rsidRDefault="00FA7A25" w:rsidP="00FA7A25">
      <w:pPr>
        <w:spacing w:before="100" w:beforeAutospacing="1" w:after="100" w:afterAutospacing="1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A7A25">
        <w:rPr>
          <w:rFonts w:eastAsia="Times New Roman"/>
          <w:b/>
          <w:bCs/>
          <w:kern w:val="0"/>
          <w:sz w:val="27"/>
          <w:szCs w:val="27"/>
          <w14:ligatures w14:val="none"/>
        </w:rPr>
        <w:t>D. Bundle logic vs single-measure logic</w:t>
      </w:r>
    </w:p>
    <w:p w14:paraId="1BFF4FAD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Right now:</w:t>
      </w:r>
    </w:p>
    <w:p w14:paraId="2CA06874" w14:textId="77777777" w:rsidR="00FA7A25" w:rsidRPr="00FA7A25" w:rsidRDefault="00FA7A25" w:rsidP="00FA7A25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EPC improvements are implicitly summed</w:t>
      </w:r>
    </w:p>
    <w:p w14:paraId="20D4045B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In reality:</w:t>
      </w:r>
    </w:p>
    <w:p w14:paraId="00B7E537" w14:textId="77777777" w:rsidR="00FA7A25" w:rsidRPr="00FA7A25" w:rsidRDefault="00FA7A25" w:rsidP="00FA7A25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Some measures interact (fabric before HP)</w:t>
      </w:r>
    </w:p>
    <w:p w14:paraId="29E10D67" w14:textId="77777777" w:rsidR="00FA7A25" w:rsidRPr="00FA7A25" w:rsidRDefault="00FA7A25" w:rsidP="00FA7A25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Some savings are mutually exclusive</w:t>
      </w:r>
    </w:p>
    <w:p w14:paraId="39CBF885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You don’t need to model interactions yet, but you </w:t>
      </w:r>
      <w:r w:rsidRPr="00FA7A25">
        <w:rPr>
          <w:rFonts w:eastAsia="Times New Roman"/>
          <w:i/>
          <w:iCs/>
          <w:kern w:val="0"/>
          <w14:ligatures w14:val="none"/>
        </w:rPr>
        <w:t>can</w:t>
      </w:r>
      <w:r w:rsidRPr="00FA7A25">
        <w:rPr>
          <w:rFonts w:eastAsia="Times New Roman"/>
          <w:kern w:val="0"/>
          <w14:ligatures w14:val="none"/>
        </w:rPr>
        <w:t>:</w:t>
      </w:r>
    </w:p>
    <w:p w14:paraId="6109CBF6" w14:textId="77777777" w:rsidR="00FA7A25" w:rsidRPr="00FA7A25" w:rsidRDefault="00FA7A25" w:rsidP="00FA7A25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Flag dwellings with multiple measure types</w:t>
      </w:r>
    </w:p>
    <w:p w14:paraId="4FE28318" w14:textId="77777777" w:rsidR="00FA7A25" w:rsidRPr="00FA7A25" w:rsidRDefault="00FA7A25" w:rsidP="00FA7A25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Later define:</w:t>
      </w:r>
    </w:p>
    <w:p w14:paraId="3FCC0AAF" w14:textId="77777777" w:rsidR="00FA7A25" w:rsidRPr="00FA7A25" w:rsidRDefault="00FA7A25" w:rsidP="00FA7A25">
      <w:pPr>
        <w:numPr>
          <w:ilvl w:val="1"/>
          <w:numId w:val="19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“fabric-first bundle”</w:t>
      </w:r>
    </w:p>
    <w:p w14:paraId="11C2A2AF" w14:textId="77777777" w:rsidR="00FA7A25" w:rsidRPr="00FA7A25" w:rsidRDefault="00FA7A25" w:rsidP="00FA7A25">
      <w:pPr>
        <w:numPr>
          <w:ilvl w:val="1"/>
          <w:numId w:val="19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“services-only bundle”</w:t>
      </w:r>
    </w:p>
    <w:p w14:paraId="72E7D582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lastRenderedPageBreak/>
        <w:t>This keeps you aligned with PAS2035 staging.</w:t>
      </w:r>
    </w:p>
    <w:p w14:paraId="42F6D66F" w14:textId="77777777" w:rsidR="00FA7A25" w:rsidRPr="00FA7A25" w:rsidRDefault="00DF6B0B" w:rsidP="00FA7A25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3F7C910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28D440F" w14:textId="77777777" w:rsidR="00FA7A25" w:rsidRPr="00FA7A25" w:rsidRDefault="00FA7A25" w:rsidP="00FA7A25">
      <w:pPr>
        <w:spacing w:before="100" w:beforeAutospacing="1" w:after="100" w:afterAutospacing="1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A7A25">
        <w:rPr>
          <w:rFonts w:eastAsia="Times New Roman"/>
          <w:b/>
          <w:bCs/>
          <w:kern w:val="0"/>
          <w:sz w:val="27"/>
          <w:szCs w:val="27"/>
          <w14:ligatures w14:val="none"/>
        </w:rPr>
        <w:t>E. Minimum economic thresholds</w:t>
      </w:r>
    </w:p>
    <w:p w14:paraId="50789DDC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Introduce soft screening flags like:</w:t>
      </w:r>
    </w:p>
    <w:p w14:paraId="3E4CD36B" w14:textId="77777777" w:rsidR="00FA7A25" w:rsidRPr="00FA7A25" w:rsidRDefault="00FA7A25" w:rsidP="00FA7A25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Payback &gt; 30 years</w:t>
      </w:r>
    </w:p>
    <w:p w14:paraId="24578930" w14:textId="77777777" w:rsidR="00FA7A25" w:rsidRPr="00FA7A25" w:rsidRDefault="00FA7A25" w:rsidP="00FA7A25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IRR &lt; discount rate</w:t>
      </w:r>
    </w:p>
    <w:p w14:paraId="4D36BDB2" w14:textId="77777777" w:rsidR="00FA7A25" w:rsidRPr="00FA7A25" w:rsidRDefault="00FA7A25" w:rsidP="00FA7A25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Cost per tCO₂ &gt; benchmark</w:t>
      </w:r>
    </w:p>
    <w:p w14:paraId="4818258A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This prevents the framework from recommending:</w:t>
      </w:r>
    </w:p>
    <w:p w14:paraId="6164EABC" w14:textId="77777777" w:rsidR="00FA7A25" w:rsidRPr="00FA7A25" w:rsidRDefault="00FA7A25" w:rsidP="00FA7A25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Technically valid but economically absurd options</w:t>
      </w:r>
    </w:p>
    <w:p w14:paraId="778E12B3" w14:textId="77777777" w:rsidR="00FA7A25" w:rsidRPr="00FA7A25" w:rsidRDefault="00DF6B0B" w:rsidP="00FA7A25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1849094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0704627" w14:textId="77777777" w:rsidR="00FA7A25" w:rsidRPr="00FA7A25" w:rsidRDefault="00FA7A25" w:rsidP="00FA7A25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A7A25">
        <w:rPr>
          <w:rFonts w:eastAsia="Times New Roman"/>
          <w:b/>
          <w:bCs/>
          <w:kern w:val="0"/>
          <w:sz w:val="36"/>
          <w:szCs w:val="36"/>
          <w14:ligatures w14:val="none"/>
        </w:rPr>
        <w:t>4. Architectural Pattern I Recommend (Very Important)</w:t>
      </w:r>
    </w:p>
    <w:p w14:paraId="0E401A04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To keep this clean:</w:t>
      </w:r>
    </w:p>
    <w:p w14:paraId="4C32C8BE" w14:textId="77777777" w:rsidR="00FA7A25" w:rsidRPr="00FA7A25" w:rsidRDefault="00FA7A25" w:rsidP="00FA7A25">
      <w:pPr>
        <w:spacing w:before="100" w:beforeAutospacing="1" w:after="100" w:afterAutospacing="1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A7A25">
        <w:rPr>
          <w:rFonts w:eastAsia="Times New Roman"/>
          <w:b/>
          <w:bCs/>
          <w:kern w:val="0"/>
          <w:sz w:val="27"/>
          <w:szCs w:val="27"/>
          <w14:ligatures w14:val="none"/>
        </w:rPr>
        <w:t>Separate assumptions from logic</w:t>
      </w:r>
    </w:p>
    <w:p w14:paraId="534C1131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You should aim for:</w:t>
      </w:r>
    </w:p>
    <w:p w14:paraId="283C5B6B" w14:textId="77777777" w:rsidR="00FA7A25" w:rsidRPr="00FA7A25" w:rsidRDefault="00FA7A25" w:rsidP="00FA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notebooks/</w:t>
      </w:r>
    </w:p>
    <w:p w14:paraId="2E8BF0D0" w14:textId="77777777" w:rsidR="00FA7A25" w:rsidRPr="00FA7A25" w:rsidRDefault="00FA7A25" w:rsidP="00FA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step2_financials.ipynb</w:t>
      </w:r>
    </w:p>
    <w:p w14:paraId="49A22657" w14:textId="77777777" w:rsidR="00FA7A25" w:rsidRPr="00FA7A25" w:rsidRDefault="00FA7A25" w:rsidP="00FA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A5BC15" w14:textId="77777777" w:rsidR="00FA7A25" w:rsidRPr="00FA7A25" w:rsidRDefault="00FA7A25" w:rsidP="00FA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</w:p>
    <w:p w14:paraId="2D2D61B9" w14:textId="77777777" w:rsidR="00FA7A25" w:rsidRPr="00FA7A25" w:rsidRDefault="00FA7A25" w:rsidP="00FA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assumptions/</w:t>
      </w:r>
    </w:p>
    <w:p w14:paraId="410AC5DB" w14:textId="77777777" w:rsidR="00FA7A25" w:rsidRPr="00FA7A25" w:rsidRDefault="00FA7A25" w:rsidP="00FA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measure_lifetimes.csv</w:t>
      </w:r>
    </w:p>
    <w:p w14:paraId="55553F9E" w14:textId="77777777" w:rsidR="00FA7A25" w:rsidRPr="00FA7A25" w:rsidRDefault="00FA7A25" w:rsidP="00FA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discount_rates.csv</w:t>
      </w:r>
    </w:p>
    <w:p w14:paraId="4276812A" w14:textId="77777777" w:rsidR="00FA7A25" w:rsidRPr="00FA7A25" w:rsidRDefault="00FA7A25" w:rsidP="00FA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7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cost_assumptions.csv</w:t>
      </w:r>
    </w:p>
    <w:p w14:paraId="57461042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Then your notebook:</w:t>
      </w:r>
    </w:p>
    <w:p w14:paraId="35EA9250" w14:textId="77777777" w:rsidR="00FA7A25" w:rsidRPr="00FA7A25" w:rsidRDefault="00FA7A25" w:rsidP="00FA7A25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Reads assumptions</w:t>
      </w:r>
    </w:p>
    <w:p w14:paraId="02FBD4D8" w14:textId="77777777" w:rsidR="00FA7A25" w:rsidRPr="00FA7A25" w:rsidRDefault="00FA7A25" w:rsidP="00FA7A25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Applies them deterministically</w:t>
      </w:r>
    </w:p>
    <w:p w14:paraId="1221046A" w14:textId="77777777" w:rsidR="00FA7A25" w:rsidRPr="00FA7A25" w:rsidRDefault="00FA7A25" w:rsidP="00FA7A25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Documents assumptions clearly</w:t>
      </w:r>
    </w:p>
    <w:p w14:paraId="17B314DA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This is </w:t>
      </w:r>
      <w:r w:rsidRPr="00FA7A25">
        <w:rPr>
          <w:rFonts w:eastAsia="Times New Roman"/>
          <w:b/>
          <w:bCs/>
          <w:kern w:val="0"/>
          <w14:ligatures w14:val="none"/>
        </w:rPr>
        <w:t>exactly how real decision-support tools are built</w:t>
      </w:r>
      <w:r w:rsidRPr="00FA7A25">
        <w:rPr>
          <w:rFonts w:eastAsia="Times New Roman"/>
          <w:kern w:val="0"/>
          <w14:ligatures w14:val="none"/>
        </w:rPr>
        <w:t>, and it:</w:t>
      </w:r>
    </w:p>
    <w:p w14:paraId="4C33BE78" w14:textId="77777777" w:rsidR="00FA7A25" w:rsidRPr="00FA7A25" w:rsidRDefault="00FA7A25" w:rsidP="00FA7A25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Makes your work defensible</w:t>
      </w:r>
    </w:p>
    <w:p w14:paraId="781EE22C" w14:textId="77777777" w:rsidR="00FA7A25" w:rsidRPr="00FA7A25" w:rsidRDefault="00FA7A25" w:rsidP="00FA7A25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Makes it auditable</w:t>
      </w:r>
    </w:p>
    <w:p w14:paraId="53D7B75B" w14:textId="77777777" w:rsidR="00FA7A25" w:rsidRPr="00FA7A25" w:rsidRDefault="00FA7A25" w:rsidP="00FA7A25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Makes it reusable by FDT</w:t>
      </w:r>
    </w:p>
    <w:p w14:paraId="15A20430" w14:textId="77777777" w:rsidR="00FA7A25" w:rsidRPr="00FA7A25" w:rsidRDefault="00DF6B0B" w:rsidP="00FA7A25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lastRenderedPageBreak/>
        <w:pict w14:anchorId="41519B8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3876F05" w14:textId="77777777" w:rsidR="00FA7A25" w:rsidRPr="00FA7A25" w:rsidRDefault="00FA7A25" w:rsidP="00FA7A25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A7A25">
        <w:rPr>
          <w:rFonts w:eastAsia="Times New Roman"/>
          <w:b/>
          <w:bCs/>
          <w:kern w:val="0"/>
          <w:sz w:val="36"/>
          <w:szCs w:val="36"/>
          <w14:ligatures w14:val="none"/>
        </w:rPr>
        <w:t>5. Big-Picture Assessment</w:t>
      </w:r>
    </w:p>
    <w:p w14:paraId="7DBAD486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You are doing something </w:t>
      </w:r>
      <w:r w:rsidRPr="00FA7A25">
        <w:rPr>
          <w:rFonts w:eastAsia="Times New Roman"/>
          <w:i/>
          <w:iCs/>
          <w:kern w:val="0"/>
          <w14:ligatures w14:val="none"/>
        </w:rPr>
        <w:t>very right</w:t>
      </w:r>
      <w:r w:rsidRPr="00FA7A25">
        <w:rPr>
          <w:rFonts w:eastAsia="Times New Roman"/>
          <w:kern w:val="0"/>
          <w14:ligatures w14:val="none"/>
        </w:rPr>
        <w:t> here:</w:t>
      </w:r>
    </w:p>
    <w:p w14:paraId="0378245A" w14:textId="77777777" w:rsidR="00FA7A25" w:rsidRPr="00FA7A25" w:rsidRDefault="00FA7A25" w:rsidP="00FA7A25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You’re not trying to over-model</w:t>
      </w:r>
    </w:p>
    <w:p w14:paraId="331733FD" w14:textId="77777777" w:rsidR="00FA7A25" w:rsidRPr="00FA7A25" w:rsidRDefault="00FA7A25" w:rsidP="00FA7A25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You’re not hiding uncertainty</w:t>
      </w:r>
    </w:p>
    <w:p w14:paraId="1C323998" w14:textId="77777777" w:rsidR="00FA7A25" w:rsidRPr="00FA7A25" w:rsidRDefault="00FA7A25" w:rsidP="00FA7A25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You’re designing for </w:t>
      </w:r>
      <w:r w:rsidRPr="00FA7A25">
        <w:rPr>
          <w:rFonts w:eastAsia="Times New Roman"/>
          <w:b/>
          <w:bCs/>
          <w:kern w:val="0"/>
          <w14:ligatures w14:val="none"/>
        </w:rPr>
        <w:t>robust screening</w:t>
      </w:r>
      <w:r w:rsidRPr="00FA7A25">
        <w:rPr>
          <w:rFonts w:eastAsia="Times New Roman"/>
          <w:kern w:val="0"/>
          <w14:ligatures w14:val="none"/>
        </w:rPr>
        <w:t>, not false precision</w:t>
      </w:r>
    </w:p>
    <w:p w14:paraId="4DD83709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If this were a PhD-level tool, you’d do Monte Carlo.</w:t>
      </w:r>
      <w:r w:rsidRPr="00FA7A25">
        <w:rPr>
          <w:rFonts w:eastAsia="Times New Roman"/>
          <w:kern w:val="0"/>
          <w14:ligatures w14:val="none"/>
        </w:rPr>
        <w:br/>
        <w:t>For this project, </w:t>
      </w:r>
      <w:r w:rsidRPr="00FA7A25">
        <w:rPr>
          <w:rFonts w:eastAsia="Times New Roman"/>
          <w:b/>
          <w:bCs/>
          <w:kern w:val="0"/>
          <w14:ligatures w14:val="none"/>
        </w:rPr>
        <w:t>parametric transparency beats probabilistic complexity</w:t>
      </w:r>
      <w:r w:rsidRPr="00FA7A25">
        <w:rPr>
          <w:rFonts w:eastAsia="Times New Roman"/>
          <w:kern w:val="0"/>
          <w14:ligatures w14:val="none"/>
        </w:rPr>
        <w:t>.</w:t>
      </w:r>
    </w:p>
    <w:p w14:paraId="7AC444A9" w14:textId="77777777" w:rsidR="00FA7A25" w:rsidRPr="00FA7A25" w:rsidRDefault="00DF6B0B" w:rsidP="00FA7A25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589FF73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68AF2EA" w14:textId="77777777" w:rsidR="00FA7A25" w:rsidRPr="00FA7A25" w:rsidRDefault="00FA7A25" w:rsidP="00FA7A25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A7A25">
        <w:rPr>
          <w:rFonts w:eastAsia="Times New Roman"/>
          <w:b/>
          <w:bCs/>
          <w:kern w:val="0"/>
          <w:sz w:val="36"/>
          <w:szCs w:val="36"/>
          <w14:ligatures w14:val="none"/>
        </w:rPr>
        <w:t>Recommended Next Move</w:t>
      </w:r>
    </w:p>
    <w:p w14:paraId="2B95EE06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I suggest the next step be:</w:t>
      </w:r>
    </w:p>
    <w:p w14:paraId="31D92F0D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b/>
          <w:bCs/>
          <w:kern w:val="0"/>
          <w14:ligatures w14:val="none"/>
        </w:rPr>
        <w:t>Step 2a — Define financial assumptions schema (no calculations yet)</w:t>
      </w:r>
    </w:p>
    <w:p w14:paraId="73EEDB83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That would include:</w:t>
      </w:r>
    </w:p>
    <w:p w14:paraId="2D682FF8" w14:textId="77777777" w:rsidR="00FA7A25" w:rsidRPr="00FA7A25" w:rsidRDefault="00FA7A25" w:rsidP="00FA7A25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measure lifetimes table</w:t>
      </w:r>
    </w:p>
    <w:p w14:paraId="11050ED8" w14:textId="77777777" w:rsidR="00FA7A25" w:rsidRPr="00FA7A25" w:rsidRDefault="00FA7A25" w:rsidP="00FA7A25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cost position parameter</w:t>
      </w:r>
    </w:p>
    <w:p w14:paraId="0A172E78" w14:textId="77777777" w:rsidR="00FA7A25" w:rsidRPr="00FA7A25" w:rsidRDefault="00FA7A25" w:rsidP="00FA7A25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savings realisation factor</w:t>
      </w:r>
    </w:p>
    <w:p w14:paraId="365E5556" w14:textId="77777777" w:rsidR="00FA7A25" w:rsidRPr="00FA7A25" w:rsidRDefault="00FA7A25" w:rsidP="00FA7A25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discount rate selection</w:t>
      </w:r>
    </w:p>
    <w:p w14:paraId="5BFC905E" w14:textId="77777777" w:rsidR="00FA7A25" w:rsidRPr="00FA7A25" w:rsidRDefault="00FA7A25" w:rsidP="00FA7A25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Then we wire those cleanly into:</w:t>
      </w:r>
    </w:p>
    <w:p w14:paraId="033B54F9" w14:textId="77777777" w:rsidR="00FA7A25" w:rsidRPr="00FA7A25" w:rsidRDefault="00FA7A25" w:rsidP="00FA7A25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NPV</w:t>
      </w:r>
    </w:p>
    <w:p w14:paraId="16377A60" w14:textId="77777777" w:rsidR="00FA7A25" w:rsidRPr="00FA7A25" w:rsidRDefault="00FA7A25" w:rsidP="00FA7A25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IRR</w:t>
      </w:r>
    </w:p>
    <w:p w14:paraId="695E64E7" w14:textId="77777777" w:rsidR="00FA7A25" w:rsidRPr="00FA7A25" w:rsidRDefault="00FA7A25" w:rsidP="00FA7A25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FA7A25">
        <w:rPr>
          <w:rFonts w:eastAsia="Times New Roman"/>
          <w:kern w:val="0"/>
          <w14:ligatures w14:val="none"/>
        </w:rPr>
        <w:t>payback</w:t>
      </w:r>
    </w:p>
    <w:p w14:paraId="028B4A90" w14:textId="77777777" w:rsidR="003A26A1" w:rsidRPr="00FA7A25" w:rsidRDefault="003A26A1" w:rsidP="003A26A1"/>
    <w:sectPr w:rsidR="003A26A1" w:rsidRPr="00FA7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27D3D" w14:textId="77777777" w:rsidR="00DF6B0B" w:rsidRDefault="00DF6B0B" w:rsidP="003A26A1">
      <w:r>
        <w:separator/>
      </w:r>
    </w:p>
  </w:endnote>
  <w:endnote w:type="continuationSeparator" w:id="0">
    <w:p w14:paraId="423163FD" w14:textId="77777777" w:rsidR="00DF6B0B" w:rsidRDefault="00DF6B0B" w:rsidP="003A2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24D0B" w14:textId="77777777" w:rsidR="00DF6B0B" w:rsidRDefault="00DF6B0B" w:rsidP="003A26A1">
      <w:r>
        <w:separator/>
      </w:r>
    </w:p>
  </w:footnote>
  <w:footnote w:type="continuationSeparator" w:id="0">
    <w:p w14:paraId="3E6D0224" w14:textId="77777777" w:rsidR="00DF6B0B" w:rsidRDefault="00DF6B0B" w:rsidP="003A26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50F"/>
    <w:multiLevelType w:val="multilevel"/>
    <w:tmpl w:val="8866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24F73"/>
    <w:multiLevelType w:val="multilevel"/>
    <w:tmpl w:val="5520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E77E8"/>
    <w:multiLevelType w:val="multilevel"/>
    <w:tmpl w:val="C44A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E4E15"/>
    <w:multiLevelType w:val="multilevel"/>
    <w:tmpl w:val="6AACC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46D9D"/>
    <w:multiLevelType w:val="multilevel"/>
    <w:tmpl w:val="FA10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8731A"/>
    <w:multiLevelType w:val="multilevel"/>
    <w:tmpl w:val="1FA2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E622D"/>
    <w:multiLevelType w:val="multilevel"/>
    <w:tmpl w:val="2DA0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77028"/>
    <w:multiLevelType w:val="multilevel"/>
    <w:tmpl w:val="F6F8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65969"/>
    <w:multiLevelType w:val="multilevel"/>
    <w:tmpl w:val="D2A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56FC4"/>
    <w:multiLevelType w:val="multilevel"/>
    <w:tmpl w:val="14B8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12E47"/>
    <w:multiLevelType w:val="multilevel"/>
    <w:tmpl w:val="23A4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44BC4"/>
    <w:multiLevelType w:val="multilevel"/>
    <w:tmpl w:val="D95E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B6E94"/>
    <w:multiLevelType w:val="multilevel"/>
    <w:tmpl w:val="DEC6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14436"/>
    <w:multiLevelType w:val="multilevel"/>
    <w:tmpl w:val="0B7C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67D3A"/>
    <w:multiLevelType w:val="multilevel"/>
    <w:tmpl w:val="D434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C094D"/>
    <w:multiLevelType w:val="multilevel"/>
    <w:tmpl w:val="F38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063478"/>
    <w:multiLevelType w:val="multilevel"/>
    <w:tmpl w:val="4752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F166B"/>
    <w:multiLevelType w:val="multilevel"/>
    <w:tmpl w:val="8DA4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D1267"/>
    <w:multiLevelType w:val="multilevel"/>
    <w:tmpl w:val="3B38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A3E4E"/>
    <w:multiLevelType w:val="multilevel"/>
    <w:tmpl w:val="FF80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F4989"/>
    <w:multiLevelType w:val="multilevel"/>
    <w:tmpl w:val="94EC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CC0BDB"/>
    <w:multiLevelType w:val="multilevel"/>
    <w:tmpl w:val="DF00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E1626"/>
    <w:multiLevelType w:val="multilevel"/>
    <w:tmpl w:val="B196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4F2BDD"/>
    <w:multiLevelType w:val="multilevel"/>
    <w:tmpl w:val="CD60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A64F49"/>
    <w:multiLevelType w:val="multilevel"/>
    <w:tmpl w:val="CA72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A36B92"/>
    <w:multiLevelType w:val="multilevel"/>
    <w:tmpl w:val="30C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34AE5"/>
    <w:multiLevelType w:val="multilevel"/>
    <w:tmpl w:val="FAAC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65706">
    <w:abstractNumId w:val="3"/>
  </w:num>
  <w:num w:numId="2" w16cid:durableId="1618487673">
    <w:abstractNumId w:val="11"/>
  </w:num>
  <w:num w:numId="3" w16cid:durableId="34044836">
    <w:abstractNumId w:val="13"/>
  </w:num>
  <w:num w:numId="4" w16cid:durableId="1706325781">
    <w:abstractNumId w:val="2"/>
  </w:num>
  <w:num w:numId="5" w16cid:durableId="1481922111">
    <w:abstractNumId w:val="8"/>
  </w:num>
  <w:num w:numId="6" w16cid:durableId="464931588">
    <w:abstractNumId w:val="24"/>
  </w:num>
  <w:num w:numId="7" w16cid:durableId="1548643021">
    <w:abstractNumId w:val="7"/>
  </w:num>
  <w:num w:numId="8" w16cid:durableId="1597061236">
    <w:abstractNumId w:val="0"/>
  </w:num>
  <w:num w:numId="9" w16cid:durableId="84112707">
    <w:abstractNumId w:val="26"/>
  </w:num>
  <w:num w:numId="10" w16cid:durableId="432014387">
    <w:abstractNumId w:val="20"/>
  </w:num>
  <w:num w:numId="11" w16cid:durableId="1936983943">
    <w:abstractNumId w:val="14"/>
  </w:num>
  <w:num w:numId="12" w16cid:durableId="918517792">
    <w:abstractNumId w:val="1"/>
  </w:num>
  <w:num w:numId="13" w16cid:durableId="1742680295">
    <w:abstractNumId w:val="10"/>
  </w:num>
  <w:num w:numId="14" w16cid:durableId="2055959822">
    <w:abstractNumId w:val="17"/>
  </w:num>
  <w:num w:numId="15" w16cid:durableId="838888342">
    <w:abstractNumId w:val="19"/>
  </w:num>
  <w:num w:numId="16" w16cid:durableId="836657060">
    <w:abstractNumId w:val="9"/>
  </w:num>
  <w:num w:numId="17" w16cid:durableId="412555691">
    <w:abstractNumId w:val="15"/>
  </w:num>
  <w:num w:numId="18" w16cid:durableId="160124773">
    <w:abstractNumId w:val="25"/>
  </w:num>
  <w:num w:numId="19" w16cid:durableId="988557825">
    <w:abstractNumId w:val="4"/>
  </w:num>
  <w:num w:numId="20" w16cid:durableId="1034110065">
    <w:abstractNumId w:val="6"/>
  </w:num>
  <w:num w:numId="21" w16cid:durableId="494881721">
    <w:abstractNumId w:val="23"/>
  </w:num>
  <w:num w:numId="22" w16cid:durableId="1774013171">
    <w:abstractNumId w:val="16"/>
  </w:num>
  <w:num w:numId="23" w16cid:durableId="1760788067">
    <w:abstractNumId w:val="5"/>
  </w:num>
  <w:num w:numId="24" w16cid:durableId="1296838863">
    <w:abstractNumId w:val="22"/>
  </w:num>
  <w:num w:numId="25" w16cid:durableId="1204248210">
    <w:abstractNumId w:val="12"/>
  </w:num>
  <w:num w:numId="26" w16cid:durableId="1866019878">
    <w:abstractNumId w:val="18"/>
  </w:num>
  <w:num w:numId="27" w16cid:durableId="16534845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A25"/>
    <w:rsid w:val="000277B2"/>
    <w:rsid w:val="0004011E"/>
    <w:rsid w:val="00244A52"/>
    <w:rsid w:val="003128E1"/>
    <w:rsid w:val="003A26A1"/>
    <w:rsid w:val="0045034F"/>
    <w:rsid w:val="00455092"/>
    <w:rsid w:val="00517C64"/>
    <w:rsid w:val="00570EE1"/>
    <w:rsid w:val="0061515F"/>
    <w:rsid w:val="0065448E"/>
    <w:rsid w:val="0080585F"/>
    <w:rsid w:val="008D300F"/>
    <w:rsid w:val="009039AB"/>
    <w:rsid w:val="009B06B0"/>
    <w:rsid w:val="00B615A6"/>
    <w:rsid w:val="00B84A43"/>
    <w:rsid w:val="00C575BD"/>
    <w:rsid w:val="00C874D2"/>
    <w:rsid w:val="00DF6B0B"/>
    <w:rsid w:val="00E6362F"/>
    <w:rsid w:val="00F5774A"/>
    <w:rsid w:val="00FA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CB782"/>
  <w15:chartTrackingRefBased/>
  <w15:docId w15:val="{CE1DE057-FA01-1749-9C6A-8E163175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6A1"/>
    <w:pPr>
      <w:spacing w:after="0" w:line="240" w:lineRule="auto"/>
    </w:pPr>
    <w:rPr>
      <w:rFonts w:ascii="Times New Roman" w:hAnsi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6A1"/>
    <w:pPr>
      <w:keepNext/>
      <w:keepLines/>
      <w:outlineLvl w:val="0"/>
    </w:pPr>
    <w:rPr>
      <w:rFonts w:eastAsiaTheme="majorEastAsia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6A1"/>
    <w:pPr>
      <w:keepNext/>
      <w:keepLines/>
      <w:outlineLvl w:val="1"/>
    </w:pPr>
    <w:rPr>
      <w:rFonts w:eastAsiaTheme="majorEastAsia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6A1"/>
    <w:pPr>
      <w:keepNext/>
      <w:keepLines/>
      <w:outlineLvl w:val="2"/>
    </w:pPr>
    <w:rPr>
      <w:rFonts w:eastAsiaTheme="majorEastAsia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6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6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6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6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6A1"/>
    <w:rPr>
      <w:rFonts w:ascii="Times New Roman" w:eastAsiaTheme="majorEastAsia" w:hAnsi="Times New Roman" w:cs="Times New Roman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6A1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26A1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6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6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A26A1"/>
    <w:pPr>
      <w:spacing w:after="0" w:line="240" w:lineRule="auto"/>
    </w:pPr>
    <w:rPr>
      <w:rFonts w:ascii="Times New Roman" w:hAnsi="Times New Roman" w:cs="Times New Roman"/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3A26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26A1"/>
    <w:rPr>
      <w:rFonts w:ascii="Times New Roman" w:hAnsi="Times New Roman" w:cs="Times New Roman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3A26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26A1"/>
    <w:rPr>
      <w:rFonts w:ascii="Times New Roman" w:hAnsi="Times New Roman" w:cs="Times New Roman"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FA7A25"/>
    <w:pPr>
      <w:spacing w:before="100" w:beforeAutospacing="1" w:after="100" w:afterAutospacing="1"/>
    </w:pPr>
    <w:rPr>
      <w:rFonts w:eastAsia="Times New Roman"/>
      <w:color w:val="auto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A7A25"/>
  </w:style>
  <w:style w:type="character" w:styleId="Emphasis">
    <w:name w:val="Emphasis"/>
    <w:basedOn w:val="DefaultParagraphFont"/>
    <w:uiPriority w:val="20"/>
    <w:qFormat/>
    <w:rsid w:val="00FA7A25"/>
    <w:rPr>
      <w:i/>
      <w:iCs/>
    </w:rPr>
  </w:style>
  <w:style w:type="character" w:styleId="Strong">
    <w:name w:val="Strong"/>
    <w:basedOn w:val="DefaultParagraphFont"/>
    <w:uiPriority w:val="22"/>
    <w:qFormat/>
    <w:rsid w:val="00FA7A2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7A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7A2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7A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697</Words>
  <Characters>4074</Characters>
  <Application>Microsoft Office Word</Application>
  <DocSecurity>0</DocSecurity>
  <Lines>162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Gehrung</dc:creator>
  <cp:keywords/>
  <dc:description/>
  <cp:lastModifiedBy>Jake Gehrung</cp:lastModifiedBy>
  <cp:revision>4</cp:revision>
  <dcterms:created xsi:type="dcterms:W3CDTF">2026-03-01T13:29:00Z</dcterms:created>
  <dcterms:modified xsi:type="dcterms:W3CDTF">2026-03-09T08:11:00Z</dcterms:modified>
</cp:coreProperties>
</file>