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AF27" w14:textId="1B3832D6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Hello,</w:t>
      </w:r>
    </w:p>
    <w:p w14:paraId="4D627B18" w14:textId="77777777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511F8C3A" w14:textId="057750C6" w:rsidR="00A102C2" w:rsidRPr="00054862" w:rsidRDefault="00A102C2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Must do to submit</w:t>
      </w:r>
    </w:p>
    <w:p w14:paraId="47BA5457" w14:textId="3CF1CCC1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2348CF4C" w14:textId="1B212042" w:rsidR="00CC37E6" w:rsidRPr="00054862" w:rsidRDefault="00CC37E6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1. Maps</w:t>
      </w:r>
    </w:p>
    <w:p w14:paraId="60DF495C" w14:textId="710E2FE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12213ABB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I redid the maps to look nicer. If you would like to download them directly you can access them at </w:t>
      </w:r>
    </w:p>
    <w:p w14:paraId="1FD6CFFB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  <w:hyperlink r:id="rId5" w:history="1">
        <w:r w:rsidRPr="00054862">
          <w:rPr>
            <w:rStyle w:val="Hyperlink"/>
            <w:rFonts w:ascii="Garamond" w:hAnsi="Garamond"/>
          </w:rPr>
          <w:t>https://www.dropbox.com/sh/8y8gyubwcln6uia/AAA_d1YU2dXN_1p6AmE6iIUNa?dl=0</w:t>
        </w:r>
      </w:hyperlink>
      <w:r w:rsidRPr="00054862">
        <w:rPr>
          <w:rFonts w:ascii="Garamond" w:hAnsi="Garamond"/>
        </w:rPr>
        <w:t xml:space="preserve">. </w:t>
      </w:r>
    </w:p>
    <w:p w14:paraId="0EF5A4EE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</w:p>
    <w:p w14:paraId="00C502A6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You can find the code used to make the maps at </w:t>
      </w:r>
    </w:p>
    <w:p w14:paraId="21035906" w14:textId="77777777" w:rsidR="009B18CE" w:rsidRPr="00054862" w:rsidRDefault="009B18CE" w:rsidP="009B18CE">
      <w:pPr>
        <w:spacing w:line="240" w:lineRule="auto"/>
        <w:contextualSpacing/>
        <w:rPr>
          <w:rFonts w:ascii="Garamond" w:hAnsi="Garamond"/>
        </w:rPr>
      </w:pPr>
      <w:hyperlink r:id="rId6" w:history="1">
        <w:r w:rsidRPr="00054862">
          <w:rPr>
            <w:rStyle w:val="Hyperlink"/>
            <w:rFonts w:ascii="Garamond" w:hAnsi="Garamond"/>
          </w:rPr>
          <w:t>https://github.com/jacobgellman/grassland_afforestation</w:t>
        </w:r>
      </w:hyperlink>
      <w:r w:rsidRPr="00054862">
        <w:rPr>
          <w:rFonts w:ascii="Garamond" w:hAnsi="Garamond"/>
        </w:rPr>
        <w:t>.</w:t>
      </w:r>
    </w:p>
    <w:p w14:paraId="74812981" w14:textId="1A222C0E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2C00E808" w14:textId="4D1CB398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Also, the legend </w:t>
      </w:r>
      <w:r w:rsidR="003318CA" w:rsidRPr="00054862">
        <w:rPr>
          <w:rFonts w:ascii="Garamond" w:hAnsi="Garamond"/>
        </w:rPr>
        <w:t>on the current manuscript</w:t>
      </w:r>
      <w:r w:rsidR="009B18CE" w:rsidRPr="00054862">
        <w:rPr>
          <w:rFonts w:ascii="Garamond" w:hAnsi="Garamond"/>
        </w:rPr>
        <w:t>’ maps (Figure 1)</w:t>
      </w:r>
      <w:r w:rsidR="003318CA" w:rsidRPr="00054862">
        <w:rPr>
          <w:rFonts w:ascii="Garamond" w:hAnsi="Garamond"/>
        </w:rPr>
        <w:t xml:space="preserve"> is incomplete. I think the legend was taken from </w:t>
      </w:r>
      <w:r w:rsidR="00A079CA" w:rsidRPr="00054862">
        <w:rPr>
          <w:rFonts w:ascii="Garamond" w:hAnsi="Garamond"/>
        </w:rPr>
        <w:t>the map in panels A or B, but it doesn’t cover the full range of colors in C. In any event, the maps I provided at the above links are much better.</w:t>
      </w:r>
    </w:p>
    <w:p w14:paraId="6F6E1AAD" w14:textId="7777777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AAF17CD" w14:textId="276685FE" w:rsidR="00135D54" w:rsidRPr="00054862" w:rsidRDefault="00CC37E6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2</w:t>
      </w:r>
      <w:r w:rsidR="00135D54" w:rsidRPr="00054862">
        <w:rPr>
          <w:rFonts w:ascii="Garamond" w:hAnsi="Garamond"/>
          <w:b/>
          <w:bCs/>
        </w:rPr>
        <w:t>. Acreage figures</w:t>
      </w:r>
    </w:p>
    <w:p w14:paraId="59BAE43F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5EB0113F" w14:textId="5D755699" w:rsidR="00135D54" w:rsidRPr="00054862" w:rsidRDefault="00A102C2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The 118.4 million acres </w:t>
      </w:r>
      <w:r w:rsidR="00135D54" w:rsidRPr="00054862">
        <w:rPr>
          <w:rFonts w:ascii="Garamond" w:hAnsi="Garamond"/>
        </w:rPr>
        <w:t xml:space="preserve">figure comes from </w:t>
      </w:r>
      <w:hyperlink r:id="rId7" w:history="1">
        <w:r w:rsidR="00135D54" w:rsidRPr="00054862">
          <w:rPr>
            <w:rStyle w:val="Hyperlink"/>
            <w:rFonts w:ascii="Garamond" w:hAnsi="Garamond"/>
          </w:rPr>
          <w:t>Nielsen et al. (2014)</w:t>
        </w:r>
      </w:hyperlink>
      <w:r w:rsidR="00500BA4" w:rsidRPr="00054862">
        <w:rPr>
          <w:rFonts w:ascii="Garamond" w:hAnsi="Garamond"/>
        </w:rPr>
        <w:t xml:space="preserve">, reproduced </w:t>
      </w:r>
      <w:r w:rsidR="00135D54" w:rsidRPr="00054862">
        <w:rPr>
          <w:rFonts w:ascii="Garamond" w:hAnsi="Garamond"/>
        </w:rPr>
        <w:t xml:space="preserve">below. </w:t>
      </w:r>
    </w:p>
    <w:p w14:paraId="6275C240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6C01DD15" w14:textId="77777777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noProof/>
        </w:rPr>
        <w:drawing>
          <wp:inline distT="0" distB="0" distL="0" distR="0" wp14:anchorId="1992FE45" wp14:editId="3ADC0A45">
            <wp:extent cx="2828925" cy="2726467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52" cy="27327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51E3C" w14:textId="70FFF0AC" w:rsidR="00A102C2" w:rsidRPr="0005486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25C0E3F5" w14:textId="337A403D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The acreage numbers there do not correspond completely to the analysis I did for the maps.</w:t>
      </w:r>
    </w:p>
    <w:p w14:paraId="73FF37B4" w14:textId="77777777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5116B27E" w14:textId="4AF41C75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(a) </w:t>
      </w:r>
      <w:r w:rsidR="00135D54" w:rsidRPr="00054862">
        <w:rPr>
          <w:rFonts w:ascii="Garamond" w:hAnsi="Garamond"/>
        </w:rPr>
        <w:t xml:space="preserve">The acreage numbers in Neilsen et al. (2014) are based on a carbon price in 1997 dollar terms. For this analysis I inflated the </w:t>
      </w:r>
      <w:r w:rsidR="00F8437B" w:rsidRPr="00054862">
        <w:rPr>
          <w:rFonts w:ascii="Garamond" w:hAnsi="Garamond"/>
        </w:rPr>
        <w:t>opportunity costs and land prices</w:t>
      </w:r>
      <w:r w:rsidR="00135D54" w:rsidRPr="00054862">
        <w:rPr>
          <w:rFonts w:ascii="Garamond" w:hAnsi="Garamond"/>
        </w:rPr>
        <w:t xml:space="preserve"> to 2007 dollars to be in line with some recent work, i.e. the </w:t>
      </w:r>
      <w:hyperlink r:id="rId9" w:history="1">
        <w:r w:rsidR="00135D54" w:rsidRPr="00054862">
          <w:rPr>
            <w:rStyle w:val="Hyperlink"/>
            <w:rFonts w:ascii="Garamond" w:hAnsi="Garamond"/>
          </w:rPr>
          <w:t>California 2017 Climate Change Scoping Plan</w:t>
        </w:r>
      </w:hyperlink>
      <w:r w:rsidRPr="00054862">
        <w:rPr>
          <w:rFonts w:ascii="Garamond" w:hAnsi="Garamond"/>
        </w:rPr>
        <w:t xml:space="preserve"> (see page 62)</w:t>
      </w:r>
      <w:r w:rsidR="00135D54" w:rsidRPr="00054862">
        <w:rPr>
          <w:rFonts w:ascii="Garamond" w:hAnsi="Garamond"/>
        </w:rPr>
        <w:t xml:space="preserve">. </w:t>
      </w:r>
      <w:r w:rsidRPr="00054862">
        <w:rPr>
          <w:rFonts w:ascii="Garamond" w:hAnsi="Garamond"/>
        </w:rPr>
        <w:t>The inflated dollar terms lead to different results.</w:t>
      </w:r>
    </w:p>
    <w:p w14:paraId="1EC28387" w14:textId="77777777" w:rsidR="00500BA4" w:rsidRPr="00054862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4B515121" w14:textId="13E129DB" w:rsidR="00407ECB" w:rsidRPr="00054862" w:rsidRDefault="00500BA4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(b)</w:t>
      </w:r>
      <w:r w:rsidR="00CC37E6" w:rsidRPr="00054862">
        <w:rPr>
          <w:rFonts w:ascii="Garamond" w:hAnsi="Garamond"/>
        </w:rPr>
        <w:t xml:space="preserve"> The 118.4 figure assumes timber harvesting.</w:t>
      </w:r>
      <w:r w:rsidRPr="00054862">
        <w:rPr>
          <w:rFonts w:ascii="Garamond" w:hAnsi="Garamond"/>
        </w:rPr>
        <w:t xml:space="preserve"> The maps I made assume no timber harvesting, thus giving us lower afforested acres. I cannot find </w:t>
      </w:r>
      <w:r w:rsidR="00407ECB" w:rsidRPr="00054862">
        <w:rPr>
          <w:rFonts w:ascii="Garamond" w:hAnsi="Garamond"/>
        </w:rPr>
        <w:t>a record in my notes as to why we made this decision.</w:t>
      </w:r>
    </w:p>
    <w:p w14:paraId="39430189" w14:textId="330CDD05" w:rsidR="00407ECB" w:rsidRPr="00054862" w:rsidRDefault="00407ECB" w:rsidP="00500BA4">
      <w:pPr>
        <w:spacing w:line="240" w:lineRule="auto"/>
        <w:contextualSpacing/>
        <w:rPr>
          <w:rFonts w:ascii="Garamond" w:hAnsi="Garamond"/>
        </w:rPr>
      </w:pPr>
    </w:p>
    <w:p w14:paraId="548BB6A2" w14:textId="4FF2DB81" w:rsidR="003318CA" w:rsidRPr="00054862" w:rsidRDefault="003318CA" w:rsidP="003318CA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I can easily change the analysis to assume timber harvesting</w:t>
      </w:r>
      <w:r w:rsidR="001F1297">
        <w:rPr>
          <w:rFonts w:ascii="Garamond" w:hAnsi="Garamond"/>
        </w:rPr>
        <w:t xml:space="preserve"> if people prefer that</w:t>
      </w:r>
      <w:r w:rsidRPr="00054862">
        <w:rPr>
          <w:rFonts w:ascii="Garamond" w:hAnsi="Garamond"/>
        </w:rPr>
        <w:t xml:space="preserve">. I can also change the inflation terms if you feel it is necessary. I actually think it would make more sense to use more current </w:t>
      </w:r>
      <w:r w:rsidRPr="00054862">
        <w:rPr>
          <w:rFonts w:ascii="Garamond" w:hAnsi="Garamond"/>
        </w:rPr>
        <w:lastRenderedPageBreak/>
        <w:t>dollars than 2007, but Andrew had suggested the 2007 mark based on that California Air Resources Board report.</w:t>
      </w:r>
    </w:p>
    <w:p w14:paraId="7872509E" w14:textId="77777777" w:rsidR="003318CA" w:rsidRPr="00054862" w:rsidRDefault="003318CA" w:rsidP="00500BA4">
      <w:pPr>
        <w:spacing w:line="240" w:lineRule="auto"/>
        <w:contextualSpacing/>
        <w:rPr>
          <w:rFonts w:ascii="Garamond" w:hAnsi="Garamond"/>
        </w:rPr>
      </w:pPr>
    </w:p>
    <w:p w14:paraId="5F0C8AB9" w14:textId="2DFD632A" w:rsidR="00407ECB" w:rsidRPr="00054862" w:rsidRDefault="00407EC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Here is a summary of the </w:t>
      </w:r>
      <w:r w:rsidR="00CC37E6" w:rsidRPr="00054862">
        <w:rPr>
          <w:rFonts w:ascii="Garamond" w:hAnsi="Garamond"/>
        </w:rPr>
        <w:t>acreage afforested under no timber harvesting and then assuming timber harvesting.</w:t>
      </w:r>
    </w:p>
    <w:p w14:paraId="19F83A12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tbl>
      <w:tblPr>
        <w:tblW w:w="6081" w:type="dxa"/>
        <w:jc w:val="center"/>
        <w:tblLook w:val="04A0" w:firstRow="1" w:lastRow="0" w:firstColumn="1" w:lastColumn="0" w:noHBand="0" w:noVBand="1"/>
      </w:tblPr>
      <w:tblGrid>
        <w:gridCol w:w="1200"/>
        <w:gridCol w:w="1236"/>
        <w:gridCol w:w="1215"/>
        <w:gridCol w:w="1215"/>
        <w:gridCol w:w="1215"/>
      </w:tblGrid>
      <w:tr w:rsidR="00A31937" w:rsidRPr="00A31937" w14:paraId="2B00329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F0F6" w14:textId="77777777" w:rsidR="00A31937" w:rsidRPr="00A31937" w:rsidRDefault="00A31937" w:rsidP="00A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E482" w14:textId="77777777" w:rsidR="00A31937" w:rsidRPr="00A31937" w:rsidRDefault="00A31937" w:rsidP="00A3193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No periodic timber harvest</w:t>
            </w:r>
          </w:p>
        </w:tc>
      </w:tr>
      <w:tr w:rsidR="00A31937" w:rsidRPr="00A31937" w14:paraId="71552E8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526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Carbon price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3E055" w14:textId="166CFEFF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Crop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21AB0" w14:textId="6F0D06B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Pasture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68470" w14:textId="7FB574C6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Range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A6DC" w14:textId="1436FC8E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Total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</w:tr>
      <w:tr w:rsidR="00A31937" w:rsidRPr="00A31937" w14:paraId="0C25984B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408" w14:textId="7F59C1DE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50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F085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15,362,490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CA4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12,773,180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75B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61,205,300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C733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89,340,970 </w:t>
            </w:r>
          </w:p>
        </w:tc>
      </w:tr>
      <w:tr w:rsidR="00A31937" w:rsidRPr="00A31937" w14:paraId="2ADE6D55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2188" w14:textId="316F5A0F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20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1F4C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   143,720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65A1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2,783,510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7BB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10,350,320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394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13,277,550 </w:t>
            </w:r>
          </w:p>
        </w:tc>
      </w:tr>
      <w:tr w:rsidR="00A31937" w:rsidRPr="00A31937" w14:paraId="472E02A8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235B" w14:textId="17DEC765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12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2CDA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     94,390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9C61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2,193,110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38BD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3,339,800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7C1B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5,627,300 </w:t>
            </w:r>
          </w:p>
        </w:tc>
      </w:tr>
      <w:tr w:rsidR="00A31937" w:rsidRPr="00054862" w14:paraId="321C51C3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B7FD" w14:textId="77777777" w:rsidR="00A31937" w:rsidRPr="00054862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</w:p>
          <w:p w14:paraId="67E746B8" w14:textId="037963CF" w:rsidR="00A31937" w:rsidRPr="00054862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0EC98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3E57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4F25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6197A" w14:textId="77777777" w:rsidR="00A31937" w:rsidRPr="00054862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</w:p>
        </w:tc>
      </w:tr>
    </w:tbl>
    <w:p w14:paraId="568A0929" w14:textId="088E599E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p w14:paraId="5810AF34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200"/>
        <w:gridCol w:w="1224"/>
        <w:gridCol w:w="1224"/>
        <w:gridCol w:w="1241"/>
        <w:gridCol w:w="1241"/>
      </w:tblGrid>
      <w:tr w:rsidR="00A31937" w:rsidRPr="00A31937" w14:paraId="498BF078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713A" w14:textId="77777777" w:rsidR="00A31937" w:rsidRPr="00A31937" w:rsidRDefault="00A31937" w:rsidP="00A31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A7D76" w14:textId="77777777" w:rsidR="00A31937" w:rsidRPr="00A31937" w:rsidRDefault="00A31937" w:rsidP="00A3193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Periodic timber harvest</w:t>
            </w:r>
          </w:p>
        </w:tc>
      </w:tr>
      <w:tr w:rsidR="00A31937" w:rsidRPr="00A31937" w14:paraId="6BC2E4B0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1090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Carbon price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921C1" w14:textId="00BE1600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Crop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C0DA" w14:textId="26FF24AB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Pasture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5FEF" w14:textId="0252E2C9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Range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42D84" w14:textId="76BAA664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>Total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054862">
              <w:rPr>
                <w:rFonts w:ascii="Garamond" w:eastAsia="Times New Roman" w:hAnsi="Garamond" w:cs="Calibri"/>
                <w:color w:val="000000"/>
              </w:rPr>
              <w:t>(ac)</w:t>
            </w:r>
          </w:p>
        </w:tc>
      </w:tr>
      <w:tr w:rsidR="00A31937" w:rsidRPr="00A31937" w14:paraId="5ED0DFDF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1592" w14:textId="6E7F4B9C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4F96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55,180,210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2D9F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33,579,450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778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102,746,070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6DBD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191,505,730 </w:t>
            </w:r>
          </w:p>
        </w:tc>
      </w:tr>
      <w:tr w:rsidR="00A31937" w:rsidRPr="00A31937" w14:paraId="66B6881D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63A7" w14:textId="24848ABF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20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B7E3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18,809,210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5E7A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11,434,250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2E16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37,923,990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B92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68,167,450 </w:t>
            </w:r>
          </w:p>
        </w:tc>
      </w:tr>
      <w:tr w:rsidR="00A31937" w:rsidRPr="00A31937" w14:paraId="6DF75C90" w14:textId="77777777" w:rsidTr="00A31937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A5D8" w14:textId="0BCB8A98" w:rsidR="00A31937" w:rsidRPr="00A31937" w:rsidRDefault="00A31937" w:rsidP="00A31937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054862">
              <w:rPr>
                <w:rFonts w:ascii="Garamond" w:eastAsia="Times New Roman" w:hAnsi="Garamond" w:cs="Calibri"/>
                <w:color w:val="000000"/>
              </w:rPr>
              <w:t>$</w:t>
            </w:r>
            <w:r w:rsidRPr="00A31937">
              <w:rPr>
                <w:rFonts w:ascii="Garamond" w:eastAsia="Times New Roman" w:hAnsi="Garamond" w:cs="Calibri"/>
                <w:color w:val="000000"/>
              </w:rPr>
              <w:t>12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F2C2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9,345,940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EB85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  7,566,370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2E80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17,259,600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AE88" w14:textId="77777777" w:rsidR="00A31937" w:rsidRPr="00A31937" w:rsidRDefault="00A31937" w:rsidP="00A31937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 w:rsidRPr="00A31937">
              <w:rPr>
                <w:rFonts w:ascii="Garamond" w:eastAsia="Times New Roman" w:hAnsi="Garamond" w:cs="Calibri"/>
                <w:color w:val="000000"/>
              </w:rPr>
              <w:t xml:space="preserve">   34,171,910 </w:t>
            </w:r>
          </w:p>
        </w:tc>
      </w:tr>
    </w:tbl>
    <w:p w14:paraId="7598BB63" w14:textId="77777777" w:rsidR="00A31937" w:rsidRPr="00054862" w:rsidRDefault="00A31937" w:rsidP="00500BA4">
      <w:pPr>
        <w:spacing w:line="240" w:lineRule="auto"/>
        <w:contextualSpacing/>
        <w:rPr>
          <w:rFonts w:ascii="Garamond" w:hAnsi="Garamond"/>
        </w:rPr>
      </w:pPr>
    </w:p>
    <w:p w14:paraId="6D94E6F4" w14:textId="77777777" w:rsidR="008B1EFB" w:rsidRPr="00054862" w:rsidRDefault="008B1EFB" w:rsidP="00500BA4">
      <w:pPr>
        <w:spacing w:line="240" w:lineRule="auto"/>
        <w:contextualSpacing/>
        <w:rPr>
          <w:rFonts w:ascii="Garamond" w:hAnsi="Garamond"/>
        </w:rPr>
      </w:pPr>
    </w:p>
    <w:p w14:paraId="0C6133C8" w14:textId="45855B95" w:rsidR="00407ECB" w:rsidRDefault="003318CA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See code at the above github link to reproduce those numbers.</w:t>
      </w:r>
    </w:p>
    <w:p w14:paraId="28173A92" w14:textId="1E2ECBE8" w:rsidR="00054862" w:rsidRDefault="00054862" w:rsidP="00500BA4">
      <w:pPr>
        <w:spacing w:line="240" w:lineRule="auto"/>
        <w:contextualSpacing/>
        <w:rPr>
          <w:rFonts w:ascii="Garamond" w:hAnsi="Garamond"/>
        </w:rPr>
      </w:pPr>
    </w:p>
    <w:p w14:paraId="4C8A0ABE" w14:textId="06A89EC8" w:rsidR="00054862" w:rsidRPr="00054862" w:rsidRDefault="0005486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In any event, the statement in the abstract is not correct. </w:t>
      </w:r>
      <w:r w:rsidRPr="00054862">
        <w:rPr>
          <w:rFonts w:ascii="Garamond" w:hAnsi="Garamond"/>
        </w:rPr>
        <w:t xml:space="preserve">It is not correct that 118.4 million acres would be afforested in the Great Plains. The 118.4 million acres figure </w:t>
      </w:r>
      <w:r>
        <w:rPr>
          <w:rFonts w:ascii="Garamond" w:hAnsi="Garamond"/>
        </w:rPr>
        <w:t xml:space="preserve">(from Nielsen et al. 2014) </w:t>
      </w:r>
      <w:r w:rsidRPr="00054862">
        <w:rPr>
          <w:rFonts w:ascii="Garamond" w:hAnsi="Garamond"/>
        </w:rPr>
        <w:t xml:space="preserve">is for the whole U.S. Based on the analysis I did for the maps the Great Plains would see 36,053,240 acres afforested, assuming no period timber harvesting. That </w:t>
      </w:r>
      <w:r>
        <w:rPr>
          <w:rFonts w:ascii="Garamond" w:hAnsi="Garamond"/>
        </w:rPr>
        <w:t xml:space="preserve">number </w:t>
      </w:r>
      <w:r w:rsidRPr="00054862">
        <w:rPr>
          <w:rFonts w:ascii="Garamond" w:hAnsi="Garamond"/>
        </w:rPr>
        <w:t>is for MT, WY, ND, SD, NE, KS, OK, and TX.</w:t>
      </w:r>
    </w:p>
    <w:p w14:paraId="6CCE914C" w14:textId="6C891968" w:rsidR="00135D54" w:rsidRPr="00054862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590B7097" w14:textId="0814EA74" w:rsidR="00A079CA" w:rsidRPr="00054862" w:rsidRDefault="008B1EFB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 xml:space="preserve">3. </w:t>
      </w:r>
      <w:r w:rsidR="00A079CA" w:rsidRPr="00054862">
        <w:rPr>
          <w:rFonts w:ascii="Garamond" w:hAnsi="Garamond"/>
          <w:b/>
          <w:bCs/>
        </w:rPr>
        <w:t>Carbon and wildfire</w:t>
      </w:r>
    </w:p>
    <w:p w14:paraId="281C5177" w14:textId="77777777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4E60A11A" w14:textId="0D3A46F7" w:rsidR="00730E8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O</w:t>
      </w:r>
      <w:r w:rsidR="008B1EFB" w:rsidRPr="00054862">
        <w:rPr>
          <w:rFonts w:ascii="Garamond" w:hAnsi="Garamond"/>
        </w:rPr>
        <w:t xml:space="preserve">ne </w:t>
      </w:r>
      <w:r w:rsidR="00730E8B" w:rsidRPr="00054862">
        <w:rPr>
          <w:rFonts w:ascii="Garamond" w:hAnsi="Garamond"/>
        </w:rPr>
        <w:t xml:space="preserve">study in Global Change Biology has been getting some attention. That is </w:t>
      </w:r>
      <w:hyperlink r:id="rId10" w:history="1">
        <w:r w:rsidR="00730E8B" w:rsidRPr="00054862">
          <w:rPr>
            <w:rStyle w:val="Hyperlink"/>
            <w:rFonts w:ascii="Garamond" w:hAnsi="Garamond"/>
          </w:rPr>
          <w:t>Stenzel et al. (2019)</w:t>
        </w:r>
      </w:hyperlink>
      <w:r w:rsidR="00730E8B" w:rsidRPr="00054862">
        <w:rPr>
          <w:rFonts w:ascii="Garamond" w:hAnsi="Garamond"/>
        </w:rPr>
        <w:t>. They argue that in wildfires “</w:t>
      </w:r>
      <w:r w:rsidR="00730E8B" w:rsidRPr="00054862">
        <w:rPr>
          <w:rFonts w:ascii="Garamond" w:hAnsi="Garamond"/>
        </w:rPr>
        <w:t>less than 5% of mature tree biomass is actually consumed</w:t>
      </w:r>
      <w:r w:rsidR="00730E8B" w:rsidRPr="00054862">
        <w:rPr>
          <w:rFonts w:ascii="Garamond" w:hAnsi="Garamond"/>
        </w:rPr>
        <w:t xml:space="preserve">” and that conventional methods overstate the </w:t>
      </w:r>
      <w:r w:rsidR="00A079CA" w:rsidRPr="00054862">
        <w:rPr>
          <w:rFonts w:ascii="Garamond" w:hAnsi="Garamond"/>
        </w:rPr>
        <w:t xml:space="preserve">quantity </w:t>
      </w:r>
      <w:r w:rsidR="00730E8B" w:rsidRPr="00054862">
        <w:rPr>
          <w:rFonts w:ascii="Garamond" w:hAnsi="Garamond"/>
        </w:rPr>
        <w:t>of CO2 emitted in forest fires.</w:t>
      </w:r>
      <w:r w:rsidR="002E1A50" w:rsidRPr="00054862">
        <w:rPr>
          <w:rFonts w:ascii="Garamond" w:hAnsi="Garamond"/>
        </w:rPr>
        <w:t xml:space="preserve"> </w:t>
      </w:r>
      <w:r w:rsidR="00B555A1" w:rsidRPr="00054862">
        <w:rPr>
          <w:rFonts w:ascii="Garamond" w:hAnsi="Garamond"/>
        </w:rPr>
        <w:t>I am not a natural scientist so I cannot assess the merits of that study. But i</w:t>
      </w:r>
      <w:r w:rsidR="00730E8B" w:rsidRPr="00054862">
        <w:rPr>
          <w:rFonts w:ascii="Garamond" w:hAnsi="Garamond"/>
        </w:rPr>
        <w:t xml:space="preserve">f not much CO2 is actually released in a forest fire, would we expect a net loss </w:t>
      </w:r>
      <w:r w:rsidR="00A079CA" w:rsidRPr="00054862">
        <w:rPr>
          <w:rFonts w:ascii="Garamond" w:hAnsi="Garamond"/>
        </w:rPr>
        <w:t xml:space="preserve">of carbon </w:t>
      </w:r>
      <w:r w:rsidR="00730E8B" w:rsidRPr="00054862">
        <w:rPr>
          <w:rFonts w:ascii="Garamond" w:hAnsi="Garamond"/>
        </w:rPr>
        <w:t>from afforestation + fire?</w:t>
      </w:r>
      <w:r w:rsidR="00F8437B" w:rsidRPr="00054862">
        <w:rPr>
          <w:rFonts w:ascii="Garamond" w:hAnsi="Garamond"/>
        </w:rPr>
        <w:t xml:space="preserve"> </w:t>
      </w:r>
    </w:p>
    <w:p w14:paraId="2F3E1E17" w14:textId="5F28D877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3D052B31" w14:textId="61229E04" w:rsidR="00A079CA" w:rsidRPr="00054862" w:rsidRDefault="00A079CA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 xml:space="preserve">4. </w:t>
      </w:r>
      <w:r w:rsidR="00F8437B" w:rsidRPr="00054862">
        <w:rPr>
          <w:rFonts w:ascii="Garamond" w:hAnsi="Garamond"/>
          <w:b/>
          <w:bCs/>
        </w:rPr>
        <w:t>Section 2.1, paragraph 1</w:t>
      </w:r>
    </w:p>
    <w:p w14:paraId="10C3CE88" w14:textId="175E8DD5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</w:p>
    <w:p w14:paraId="7B3616DC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Tell me if I have calculated this correctly. </w:t>
      </w:r>
    </w:p>
    <w:p w14:paraId="63F0B3DE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4EF4B4D2" w14:textId="29E93A02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J</w:t>
      </w:r>
      <w:r w:rsidR="00A079CA" w:rsidRPr="00054862">
        <w:rPr>
          <w:rFonts w:ascii="Garamond" w:hAnsi="Garamond"/>
        </w:rPr>
        <w:t xml:space="preserve">uniper stands hold 64,090 kg C/ha </w:t>
      </w:r>
      <w:r w:rsidRPr="00054862">
        <w:rPr>
          <w:rFonts w:ascii="Garamond" w:hAnsi="Garamond"/>
        </w:rPr>
        <w:t xml:space="preserve">aboveground </w:t>
      </w:r>
      <w:r w:rsidR="00A079CA" w:rsidRPr="00054862">
        <w:rPr>
          <w:rFonts w:ascii="Garamond" w:hAnsi="Garamond"/>
        </w:rPr>
        <w:t xml:space="preserve">and 52% of </w:t>
      </w:r>
      <w:r w:rsidRPr="00054862">
        <w:rPr>
          <w:rFonts w:ascii="Garamond" w:hAnsi="Garamond"/>
        </w:rPr>
        <w:t>total</w:t>
      </w:r>
      <w:r w:rsidR="009B18CE" w:rsidRPr="00054862">
        <w:rPr>
          <w:rFonts w:ascii="Garamond" w:hAnsi="Garamond"/>
        </w:rPr>
        <w:t xml:space="preserve"> ecosystem</w:t>
      </w:r>
      <w:r w:rsidRPr="00054862">
        <w:rPr>
          <w:rFonts w:ascii="Garamond" w:hAnsi="Garamond"/>
        </w:rPr>
        <w:t xml:space="preserve"> carbon </w:t>
      </w:r>
      <w:r w:rsidR="00A079CA" w:rsidRPr="00054862">
        <w:rPr>
          <w:rFonts w:ascii="Garamond" w:hAnsi="Garamond"/>
        </w:rPr>
        <w:t>is in the soil</w:t>
      </w:r>
      <w:r w:rsidRPr="00054862">
        <w:rPr>
          <w:rFonts w:ascii="Garamond" w:hAnsi="Garamond"/>
        </w:rPr>
        <w:t>. So that is 64,090/48*100 = 133,520.83 kg C/ha total. And soil carbon accounts for 0.52*133,520.83 = 69,430.83 kg C/ha.</w:t>
      </w:r>
    </w:p>
    <w:p w14:paraId="025CB627" w14:textId="77777777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2F3F5057" w14:textId="251C908F" w:rsidR="00A079CA" w:rsidRPr="00054862" w:rsidRDefault="00A079CA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Tallgrass prairie holds 1660 kg C</w:t>
      </w:r>
      <w:r w:rsidR="00F8437B" w:rsidRPr="00054862">
        <w:rPr>
          <w:rFonts w:ascii="Garamond" w:hAnsi="Garamond"/>
        </w:rPr>
        <w:t xml:space="preserve">/ha aboveground and 96% of total </w:t>
      </w:r>
      <w:r w:rsidR="009B18CE" w:rsidRPr="00054862">
        <w:rPr>
          <w:rFonts w:ascii="Garamond" w:hAnsi="Garamond"/>
        </w:rPr>
        <w:t xml:space="preserve">ecosystem </w:t>
      </w:r>
      <w:r w:rsidR="00F8437B" w:rsidRPr="00054862">
        <w:rPr>
          <w:rFonts w:ascii="Garamond" w:hAnsi="Garamond"/>
        </w:rPr>
        <w:t xml:space="preserve">carbon is in the soil. So that is 1660/4*100 = 41,500 kg C/ha total. And soil carbon is 0.96*41,500 = 39,840 kg C/ha. </w:t>
      </w:r>
    </w:p>
    <w:p w14:paraId="37C285A7" w14:textId="3C8E3C72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37B1C705" w14:textId="4749E1FC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By those numbers it is a net gain in carbon storage if we </w:t>
      </w:r>
      <w:r w:rsidR="009B18CE" w:rsidRPr="00054862">
        <w:rPr>
          <w:rFonts w:ascii="Garamond" w:hAnsi="Garamond"/>
        </w:rPr>
        <w:t>planted over grassland with juniper forest</w:t>
      </w:r>
      <w:r w:rsidR="002233B8">
        <w:rPr>
          <w:rFonts w:ascii="Garamond" w:hAnsi="Garamond"/>
        </w:rPr>
        <w:t>, even if it all burns away,</w:t>
      </w:r>
      <w:r w:rsidR="001F1297">
        <w:rPr>
          <w:rFonts w:ascii="Garamond" w:hAnsi="Garamond"/>
        </w:rPr>
        <w:t xml:space="preserve"> since 69,430.83 &gt; 39,840. And that assumes </w:t>
      </w:r>
      <w:r w:rsidR="009B18CE" w:rsidRPr="00054862">
        <w:rPr>
          <w:rFonts w:ascii="Garamond" w:hAnsi="Garamond"/>
        </w:rPr>
        <w:t xml:space="preserve">all of the </w:t>
      </w:r>
      <w:r w:rsidR="001F1297">
        <w:rPr>
          <w:rFonts w:ascii="Garamond" w:hAnsi="Garamond"/>
        </w:rPr>
        <w:t xml:space="preserve">aboveground juniper carbon is </w:t>
      </w:r>
      <w:r w:rsidR="009B18CE" w:rsidRPr="00054862">
        <w:rPr>
          <w:rFonts w:ascii="Garamond" w:hAnsi="Garamond"/>
        </w:rPr>
        <w:t>emitted into the atmosphere (i.e. disregarding Stenzel et al. 2019).</w:t>
      </w:r>
    </w:p>
    <w:p w14:paraId="6C0C5FC5" w14:textId="31C2EB8C" w:rsidR="00F8437B" w:rsidRPr="00054862" w:rsidRDefault="00F8437B" w:rsidP="00500BA4">
      <w:pPr>
        <w:spacing w:line="240" w:lineRule="auto"/>
        <w:contextualSpacing/>
        <w:rPr>
          <w:rFonts w:ascii="Garamond" w:hAnsi="Garamond"/>
        </w:rPr>
      </w:pPr>
    </w:p>
    <w:p w14:paraId="7AC7BDB1" w14:textId="32191ECE" w:rsid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Carbon is only one piece of the broader suite of ecosystem services, but if we are going to present that argument in Section 2.1, paragraph 1 I would want the carbon accounting to be clearer. </w:t>
      </w:r>
    </w:p>
    <w:p w14:paraId="369C9AF5" w14:textId="77777777" w:rsidR="00054862" w:rsidRDefault="00054862" w:rsidP="00500BA4">
      <w:pPr>
        <w:spacing w:line="240" w:lineRule="auto"/>
        <w:contextualSpacing/>
        <w:rPr>
          <w:rFonts w:ascii="Garamond" w:hAnsi="Garamond"/>
        </w:rPr>
      </w:pPr>
    </w:p>
    <w:p w14:paraId="1DD331C1" w14:textId="5BC52EAD" w:rsidR="00F8437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The argument in Section 2.1, paragraph 3 is clearer, but is not specific to the Great Plains.</w:t>
      </w:r>
    </w:p>
    <w:p w14:paraId="08A5F002" w14:textId="60F52736" w:rsidR="002E1A50" w:rsidRPr="00054862" w:rsidRDefault="002E1A50" w:rsidP="00500BA4">
      <w:pPr>
        <w:spacing w:line="240" w:lineRule="auto"/>
        <w:contextualSpacing/>
        <w:rPr>
          <w:rFonts w:ascii="Garamond" w:hAnsi="Garamond"/>
        </w:rPr>
      </w:pPr>
    </w:p>
    <w:p w14:paraId="37EE1C15" w14:textId="76B0050C" w:rsidR="002E1A50" w:rsidRPr="00054862" w:rsidRDefault="002E1A50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4. Public school revenues</w:t>
      </w:r>
    </w:p>
    <w:p w14:paraId="5D817473" w14:textId="4A5D3E09" w:rsidR="002E1A50" w:rsidRPr="00054862" w:rsidRDefault="002E1A50" w:rsidP="00500BA4">
      <w:pPr>
        <w:spacing w:line="240" w:lineRule="auto"/>
        <w:contextualSpacing/>
        <w:rPr>
          <w:rFonts w:ascii="Garamond" w:hAnsi="Garamond"/>
        </w:rPr>
      </w:pPr>
    </w:p>
    <w:p w14:paraId="7621CC70" w14:textId="50F2862A" w:rsidR="002E1A50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I would echo Andrew’s comment on public school revenue.</w:t>
      </w:r>
    </w:p>
    <w:p w14:paraId="212E0957" w14:textId="59BE9099" w:rsidR="008B1EFB" w:rsidRPr="00054862" w:rsidRDefault="008B1EFB" w:rsidP="00500BA4">
      <w:pPr>
        <w:spacing w:line="240" w:lineRule="auto"/>
        <w:contextualSpacing/>
        <w:rPr>
          <w:rFonts w:ascii="Garamond" w:hAnsi="Garamond"/>
        </w:rPr>
      </w:pPr>
    </w:p>
    <w:p w14:paraId="7EBE2581" w14:textId="34E9E621" w:rsidR="00B555A1" w:rsidRPr="00054862" w:rsidRDefault="00B555A1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5. Figure 3</w:t>
      </w:r>
    </w:p>
    <w:p w14:paraId="41A97044" w14:textId="34D80EDF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</w:p>
    <w:p w14:paraId="5FBF475E" w14:textId="30A3BF95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Figure 3 is too small and is illegible.</w:t>
      </w:r>
    </w:p>
    <w:p w14:paraId="54484877" w14:textId="77777777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</w:p>
    <w:p w14:paraId="425BCB7F" w14:textId="390D1327" w:rsidR="00CC37E6" w:rsidRPr="00054862" w:rsidRDefault="00370D13" w:rsidP="00500BA4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6</w:t>
      </w:r>
      <w:r w:rsidR="00CC37E6" w:rsidRPr="00054862">
        <w:rPr>
          <w:rFonts w:ascii="Garamond" w:hAnsi="Garamond"/>
          <w:b/>
          <w:bCs/>
        </w:rPr>
        <w:t>. Typos.</w:t>
      </w:r>
    </w:p>
    <w:p w14:paraId="76464F25" w14:textId="025743D1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8D168B0" w14:textId="016D0B50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(a) Page 2, bullet point 3 should say “services.”</w:t>
      </w:r>
    </w:p>
    <w:p w14:paraId="56B36D89" w14:textId="6FC2AC27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(b) Abstract, line 3 should say “incentivize.”</w:t>
      </w:r>
    </w:p>
    <w:p w14:paraId="03C68571" w14:textId="4DCF105D" w:rsidR="00CC37E6" w:rsidRPr="00054862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(c) Abstract, line 4 should read “under a carbon market.”</w:t>
      </w:r>
    </w:p>
    <w:p w14:paraId="1BB3ABE9" w14:textId="786F6027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(d) Abstract re: 118.4 million acres figure, see above comment.</w:t>
      </w:r>
    </w:p>
    <w:p w14:paraId="63C8AFAD" w14:textId="73221FD3" w:rsidR="002233B8" w:rsidRPr="002233B8" w:rsidRDefault="002233B8" w:rsidP="00500BA4">
      <w:pPr>
        <w:spacing w:line="240" w:lineRule="auto"/>
        <w:contextualSpacing/>
        <w:rPr>
          <w:rFonts w:ascii="Garamond" w:hAnsi="Garamond"/>
          <w:strike/>
        </w:rPr>
      </w:pPr>
      <w:r w:rsidRPr="002233B8">
        <w:rPr>
          <w:rFonts w:ascii="Garamond" w:hAnsi="Garamond"/>
          <w:strike/>
        </w:rPr>
        <w:t>(e)</w:t>
      </w:r>
    </w:p>
    <w:p w14:paraId="02EDE1B7" w14:textId="62F0A8B7" w:rsidR="00CC37E6" w:rsidRPr="00054862" w:rsidRDefault="008B1EFB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(f) Section 2, paragraph 1. See updated numbers in above tables. </w:t>
      </w:r>
    </w:p>
    <w:p w14:paraId="683F81E8" w14:textId="0311E097" w:rsidR="008B1EFB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(g) Section 2.1, paragraph 2. Broken citation link on Guo and Gifford.</w:t>
      </w:r>
    </w:p>
    <w:p w14:paraId="5FE1A079" w14:textId="02D3B05D" w:rsidR="009B18CE" w:rsidRPr="00054862" w:rsidRDefault="009B18CE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(h) Section 2.1, paragraph 3. “If</w:t>
      </w:r>
      <w:r w:rsidRPr="00054862">
        <w:rPr>
          <w:rFonts w:ascii="Garamond" w:hAnsi="Garamond"/>
          <w:strike/>
        </w:rPr>
        <w:t xml:space="preserve"> </w:t>
      </w:r>
      <w:r w:rsidRPr="00054862">
        <w:rPr>
          <w:rFonts w:ascii="Garamond" w:hAnsi="Garamond"/>
          <w:b/>
          <w:bCs/>
          <w:strike/>
        </w:rPr>
        <w:t>a</w:t>
      </w:r>
      <w:r w:rsidRPr="00054862">
        <w:rPr>
          <w:rFonts w:ascii="Garamond" w:hAnsi="Garamond"/>
          <w:strike/>
        </w:rPr>
        <w:t xml:space="preserve"> </w:t>
      </w:r>
      <w:r w:rsidRPr="00054862">
        <w:rPr>
          <w:rFonts w:ascii="Garamond" w:hAnsi="Garamond"/>
        </w:rPr>
        <w:t>grassland soils…”</w:t>
      </w:r>
    </w:p>
    <w:p w14:paraId="0E21A46C" w14:textId="14F98CDA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(i) Section 2.1, paragraph 6. Broken citation link on the 1660 kg figure.</w:t>
      </w:r>
    </w:p>
    <w:p w14:paraId="449D32E1" w14:textId="780D5921" w:rsidR="00B555A1" w:rsidRPr="00054862" w:rsidRDefault="00B555A1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(j) Figure 3. It should be “no effect” on soil carbon, not “no affect.”</w:t>
      </w:r>
    </w:p>
    <w:p w14:paraId="33212D57" w14:textId="337873CA" w:rsidR="00B555A1" w:rsidRPr="00054862" w:rsidRDefault="00897099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>(k) Several figures need a period at the end.</w:t>
      </w:r>
    </w:p>
    <w:p w14:paraId="2EFEDF41" w14:textId="74E28B16" w:rsidR="00370D13" w:rsidRPr="00054862" w:rsidRDefault="00370D13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(l) Section 3, paragraph 1. “… policy designed </w:t>
      </w:r>
      <w:r w:rsidRPr="00054862">
        <w:rPr>
          <w:rFonts w:ascii="Garamond" w:hAnsi="Garamond"/>
          <w:b/>
          <w:bCs/>
        </w:rPr>
        <w:t>to</w:t>
      </w:r>
      <w:r w:rsidRPr="00054862">
        <w:rPr>
          <w:rFonts w:ascii="Garamond" w:hAnsi="Garamond"/>
        </w:rPr>
        <w:t xml:space="preserve"> mitigate”.</w:t>
      </w:r>
    </w:p>
    <w:p w14:paraId="31FEB3F8" w14:textId="08BF84AE" w:rsidR="00370D13" w:rsidRDefault="00370D13" w:rsidP="00500BA4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(m) </w:t>
      </w:r>
      <w:r w:rsidR="00054862" w:rsidRPr="00054862">
        <w:rPr>
          <w:rFonts w:ascii="Garamond" w:hAnsi="Garamond"/>
        </w:rPr>
        <w:t>Section 3.1, paragraph 2. “(e.g., [5]</w:t>
      </w:r>
      <w:r w:rsidR="00054862">
        <w:rPr>
          <w:rFonts w:ascii="Garamond" w:hAnsi="Garamond"/>
        </w:rPr>
        <w:t>” needs a parenthesis on the end.</w:t>
      </w:r>
    </w:p>
    <w:p w14:paraId="3651B166" w14:textId="057A6B6F" w:rsidR="00054862" w:rsidRPr="00054862" w:rsidRDefault="0005486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(o) The last sentence of Section 4 should be revised for clarity.</w:t>
      </w:r>
    </w:p>
    <w:p w14:paraId="08C887E1" w14:textId="77777777" w:rsidR="009B18CE" w:rsidRPr="00054862" w:rsidRDefault="009B18CE" w:rsidP="00500BA4">
      <w:pPr>
        <w:spacing w:line="240" w:lineRule="auto"/>
        <w:contextualSpacing/>
        <w:rPr>
          <w:rFonts w:ascii="Garamond" w:hAnsi="Garamond"/>
        </w:rPr>
      </w:pPr>
    </w:p>
    <w:p w14:paraId="583C6A1B" w14:textId="77777777" w:rsidR="00CC37E6" w:rsidRPr="00054862" w:rsidRDefault="00A102C2" w:rsidP="00CC37E6">
      <w:pPr>
        <w:spacing w:line="240" w:lineRule="auto"/>
        <w:contextualSpacing/>
        <w:rPr>
          <w:rFonts w:ascii="Garamond" w:hAnsi="Garamond"/>
          <w:b/>
          <w:bCs/>
        </w:rPr>
      </w:pPr>
      <w:r w:rsidRPr="00054862">
        <w:rPr>
          <w:rFonts w:ascii="Garamond" w:hAnsi="Garamond"/>
          <w:b/>
          <w:bCs/>
        </w:rPr>
        <w:t>Other comments</w:t>
      </w:r>
    </w:p>
    <w:p w14:paraId="6C25C3E3" w14:textId="77777777" w:rsidR="00CC37E6" w:rsidRPr="00054862" w:rsidRDefault="00CC37E6" w:rsidP="00CC37E6">
      <w:pPr>
        <w:spacing w:line="240" w:lineRule="auto"/>
        <w:contextualSpacing/>
        <w:rPr>
          <w:rFonts w:ascii="Garamond" w:hAnsi="Garamond"/>
        </w:rPr>
      </w:pPr>
    </w:p>
    <w:p w14:paraId="7178E983" w14:textId="35D39EF1" w:rsidR="00CC37E6" w:rsidRDefault="00CC37E6" w:rsidP="00CC37E6">
      <w:pPr>
        <w:spacing w:line="240" w:lineRule="auto"/>
        <w:contextualSpacing/>
        <w:rPr>
          <w:rFonts w:ascii="Garamond" w:hAnsi="Garamond"/>
        </w:rPr>
      </w:pPr>
      <w:r w:rsidRPr="00054862">
        <w:rPr>
          <w:rFonts w:ascii="Garamond" w:hAnsi="Garamond"/>
        </w:rPr>
        <w:t xml:space="preserve">1. </w:t>
      </w:r>
      <w:r w:rsidR="00A102C2" w:rsidRPr="00054862">
        <w:rPr>
          <w:rFonts w:ascii="Garamond" w:hAnsi="Garamond"/>
        </w:rPr>
        <w:t>I feel that the term “unwanted costs</w:t>
      </w:r>
      <w:r w:rsidRPr="00054862">
        <w:rPr>
          <w:rFonts w:ascii="Garamond" w:hAnsi="Garamond"/>
        </w:rPr>
        <w:t xml:space="preserve">” </w:t>
      </w:r>
      <w:bookmarkStart w:id="0" w:name="_GoBack"/>
      <w:bookmarkEnd w:id="0"/>
      <w:r w:rsidR="00A102C2" w:rsidRPr="00054862">
        <w:rPr>
          <w:rFonts w:ascii="Garamond" w:hAnsi="Garamond"/>
        </w:rPr>
        <w:t>is a normative statement. What about something more neutral</w:t>
      </w:r>
      <w:r w:rsidRPr="00054862">
        <w:rPr>
          <w:rFonts w:ascii="Garamond" w:hAnsi="Garamond"/>
        </w:rPr>
        <w:t xml:space="preserve"> </w:t>
      </w:r>
      <w:r w:rsidR="00A102C2" w:rsidRPr="00054862">
        <w:rPr>
          <w:rFonts w:ascii="Garamond" w:hAnsi="Garamond"/>
        </w:rPr>
        <w:t>such as “unintended</w:t>
      </w:r>
      <w:r w:rsidRPr="00054862">
        <w:rPr>
          <w:rFonts w:ascii="Garamond" w:hAnsi="Garamond"/>
        </w:rPr>
        <w:t xml:space="preserve"> costs</w:t>
      </w:r>
      <w:r w:rsidR="00A102C2" w:rsidRPr="00054862">
        <w:rPr>
          <w:rFonts w:ascii="Garamond" w:hAnsi="Garamond"/>
        </w:rPr>
        <w:t>”?</w:t>
      </w:r>
      <w:r w:rsidR="00370D13" w:rsidRPr="00054862">
        <w:rPr>
          <w:rFonts w:ascii="Garamond" w:hAnsi="Garamond"/>
        </w:rPr>
        <w:t xml:space="preserve"> This applies to the title</w:t>
      </w:r>
      <w:r w:rsidR="00054862">
        <w:rPr>
          <w:rFonts w:ascii="Garamond" w:hAnsi="Garamond"/>
        </w:rPr>
        <w:t xml:space="preserve">, as well as </w:t>
      </w:r>
      <w:r w:rsidR="00370D13" w:rsidRPr="00054862">
        <w:rPr>
          <w:rFonts w:ascii="Garamond" w:hAnsi="Garamond"/>
        </w:rPr>
        <w:t>Section 3, paragraph 1</w:t>
      </w:r>
      <w:r w:rsidR="00054862">
        <w:rPr>
          <w:rFonts w:ascii="Garamond" w:hAnsi="Garamond"/>
        </w:rPr>
        <w:t xml:space="preserve"> and Section 3.1, paragraph 2.</w:t>
      </w:r>
    </w:p>
    <w:p w14:paraId="526BEFB2" w14:textId="77777777" w:rsidR="00054862" w:rsidRPr="00054862" w:rsidRDefault="00054862" w:rsidP="00CC37E6">
      <w:pPr>
        <w:spacing w:line="240" w:lineRule="auto"/>
        <w:contextualSpacing/>
        <w:rPr>
          <w:rFonts w:ascii="Garamond" w:hAnsi="Garamond"/>
        </w:rPr>
      </w:pPr>
    </w:p>
    <w:p w14:paraId="293FE545" w14:textId="1F3F12AE" w:rsidR="00A102C2" w:rsidRPr="00054862" w:rsidRDefault="00CC37E6" w:rsidP="00CC37E6">
      <w:pPr>
        <w:spacing w:line="240" w:lineRule="auto"/>
        <w:rPr>
          <w:rFonts w:ascii="Garamond" w:hAnsi="Garamond"/>
        </w:rPr>
      </w:pPr>
      <w:r w:rsidRPr="00054862">
        <w:rPr>
          <w:rFonts w:ascii="Garamond" w:hAnsi="Garamond"/>
        </w:rPr>
        <w:t xml:space="preserve">2. </w:t>
      </w:r>
      <w:r w:rsidR="00A102C2" w:rsidRPr="00054862">
        <w:rPr>
          <w:rFonts w:ascii="Garamond" w:hAnsi="Garamond"/>
        </w:rPr>
        <w:t>Can we write Jacob Gellman rather than Jacob C. Gellman?</w:t>
      </w:r>
    </w:p>
    <w:sectPr w:rsidR="00A102C2" w:rsidRPr="0005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7D7"/>
    <w:multiLevelType w:val="hybridMultilevel"/>
    <w:tmpl w:val="4800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1A0E"/>
    <w:multiLevelType w:val="hybridMultilevel"/>
    <w:tmpl w:val="76B2F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3A45"/>
    <w:multiLevelType w:val="hybridMultilevel"/>
    <w:tmpl w:val="CBA8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DE6"/>
    <w:multiLevelType w:val="hybridMultilevel"/>
    <w:tmpl w:val="89F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93C13"/>
    <w:multiLevelType w:val="hybridMultilevel"/>
    <w:tmpl w:val="46047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2"/>
    <w:rsid w:val="00054862"/>
    <w:rsid w:val="00135D54"/>
    <w:rsid w:val="001F1297"/>
    <w:rsid w:val="001F3C91"/>
    <w:rsid w:val="002233B8"/>
    <w:rsid w:val="002E1A50"/>
    <w:rsid w:val="003318CA"/>
    <w:rsid w:val="00370D13"/>
    <w:rsid w:val="003E4A80"/>
    <w:rsid w:val="00407ECB"/>
    <w:rsid w:val="00500BA4"/>
    <w:rsid w:val="00730E8B"/>
    <w:rsid w:val="00820968"/>
    <w:rsid w:val="00897099"/>
    <w:rsid w:val="008B1EFB"/>
    <w:rsid w:val="009B18CE"/>
    <w:rsid w:val="00A079CA"/>
    <w:rsid w:val="00A102C2"/>
    <w:rsid w:val="00A31937"/>
    <w:rsid w:val="00B555A1"/>
    <w:rsid w:val="00CC37E6"/>
    <w:rsid w:val="00D602A1"/>
    <w:rsid w:val="00EA2A41"/>
    <w:rsid w:val="00F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9CE"/>
  <w15:chartTrackingRefBased/>
  <w15:docId w15:val="{4B6BFF0C-4601-4233-B72D-91A0DD9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s.usda.gov/treesearch/pubs/455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obgellman/grassland_affores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sh/8y8gyubwcln6uia/AAA_d1YU2dXN_1p6AmE6iIUNa?dl=0" TargetMode="External"/><Relationship Id="rId10" Type="http://schemas.openxmlformats.org/officeDocument/2006/relationships/hyperlink" Target="https://onlinelibrary.wiley.com/doi/abs/10.1111/gcb.147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3.arb.ca.gov/cc/scopingplan/scoping_plan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Gellman</dc:creator>
  <cp:keywords/>
  <dc:description/>
  <cp:lastModifiedBy>Jacob Gellman</cp:lastModifiedBy>
  <cp:revision>10</cp:revision>
  <dcterms:created xsi:type="dcterms:W3CDTF">2019-07-23T01:09:00Z</dcterms:created>
  <dcterms:modified xsi:type="dcterms:W3CDTF">2019-07-24T01:24:00Z</dcterms:modified>
</cp:coreProperties>
</file>