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mbeddings/Microsoft_Excel_Worksheet.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/>
        <w:jc w:val="center"/>
        <w:rPr/>
      </w:pPr>
      <w:bookmarkStart w:id="0" w:name="_Toc121415771"/>
      <w:bookmarkStart w:id="1" w:name="_Hlk159321945"/>
      <w:bookmarkStart w:id="2" w:name="_Toc231299126"/>
      <w:r>
        <w:rPr/>
        <w:t>Приложение А</w:t>
      </w:r>
      <w:bookmarkEnd w:id="2"/>
    </w:p>
    <w:p>
      <w:pPr>
        <w:pStyle w:val="14151"/>
        <w:rPr/>
      </w:pPr>
      <w:r>
        <w:rPr/>
        <w:t xml:space="preserve">Организационно-экономическое обоснование выпускной квалификационной работы формализуется как задача подготовки к реализации ИТ-проекта и начинается с определения его участников. </w:t>
      </w:r>
    </w:p>
    <w:p>
      <w:pPr>
        <w:pStyle w:val="14151"/>
        <w:rPr/>
      </w:pPr>
      <w:r>
        <w:rPr/>
        <w:t>В проекте участвуют:</w:t>
      </w:r>
    </w:p>
    <w:p>
      <w:pPr>
        <w:pStyle w:val="14151"/>
        <w:rPr/>
      </w:pPr>
      <w:r>
        <w:rPr/>
        <w:t>1. Руководитель – владелец автоматизируемого бизнес-процесса. В рассматриваемом бизнес-процессе им является заведующий кафедрой Инструментального и Прикладного Программного Обеспечения Института Информационных Технологий ФГБОУ ВО «МИРЭА – Российский технологический университет».</w:t>
      </w:r>
    </w:p>
    <w:p>
      <w:pPr>
        <w:pStyle w:val="14151"/>
        <w:rPr/>
      </w:pPr>
      <w:r>
        <w:rPr/>
        <w:t>2. Руководитель ВКР бакалавра.</w:t>
      </w:r>
    </w:p>
    <w:p>
      <w:pPr>
        <w:pStyle w:val="14151"/>
        <w:rPr/>
      </w:pPr>
      <w:r>
        <w:rPr/>
        <w:t>3.</w:t>
      </w:r>
      <w:r>
        <w:rPr>
          <w:lang w:val="en-US"/>
        </w:rPr>
        <w:t> </w:t>
      </w:r>
      <w:r>
        <w:rPr/>
        <w:t>Студент выпускник, объединяющий следующие роли: аналитик, проектировщик, разработчик, технический писатель, тестировщик.</w:t>
      </w:r>
    </w:p>
    <w:p>
      <w:pPr>
        <w:pStyle w:val="14151"/>
        <w:rPr/>
      </w:pPr>
      <w:r>
        <w:rPr/>
        <w:t>Основные участники проекта выполняют в нём следующие функции:</w:t>
      </w:r>
    </w:p>
    <w:p>
      <w:pPr>
        <w:pStyle w:val="14151"/>
        <w:rPr/>
      </w:pPr>
      <w:r>
        <w:rPr/>
        <w:t>1.</w:t>
      </w:r>
      <w:r>
        <w:rPr>
          <w:lang w:val="en-US"/>
        </w:rPr>
        <w:t> </w:t>
      </w:r>
      <w:r>
        <w:rPr/>
        <w:t>Владелец автоматизируемого бизнес-процесса – заведующий кафедрой, следит за процессом проектирования информационной системы, формулирует требования к учебному процессу, согласовывает концепцию ИТ-решения, утверждает результаты проектирования и принимает результаты опытной эксплуатации прототипа.</w:t>
      </w:r>
    </w:p>
    <w:p>
      <w:pPr>
        <w:pStyle w:val="14151"/>
        <w:rPr/>
      </w:pPr>
      <w:r>
        <w:rPr/>
        <w:t>2.</w:t>
      </w:r>
      <w:r>
        <w:rPr>
          <w:lang w:val="en-US"/>
        </w:rPr>
        <w:t> </w:t>
      </w:r>
      <w:r>
        <w:rPr/>
        <w:t>Руководитель ВКР – сотрудник ЦИТИС, который организует, планирует, оценивает и корректирует деятельность студента, оценивает получаемые им результаты, контролирует отдельные этапы работы, вносит необходимые коррективы и оценивает выполненную работу в целом, выступает в роли тимлида.</w:t>
      </w:r>
    </w:p>
    <w:p>
      <w:pPr>
        <w:pStyle w:val="14151"/>
        <w:rPr/>
      </w:pPr>
      <w:r>
        <w:rPr/>
        <w:t>3.</w:t>
      </w:r>
      <w:r>
        <w:rPr>
          <w:lang w:val="en-US"/>
        </w:rPr>
        <w:t> </w:t>
      </w:r>
      <w:r>
        <w:rPr/>
        <w:t>Студент – в процессе проектирования ИТ-решения выполняет роли аналитика, проектировщика, разработчика, технического писателя и тестировщика:</w:t>
      </w:r>
    </w:p>
    <w:p>
      <w:pPr>
        <w:pStyle w:val="14151"/>
        <w:rPr/>
      </w:pPr>
      <w:r>
        <w:rPr/>
        <w:t>Задачи студента для каждой роли: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  <w:lang w:val="en-RU"/>
        </w:rPr>
      </w:pPr>
      <w:r>
        <w:rPr>
          <w:sz w:val="28"/>
          <w:szCs w:val="28"/>
          <w:lang w:val="en-RU"/>
        </w:rPr>
        <w:t>в роли аналитика – систематизирует требования к ИТ-решению, выполняет постановку задач, проводит обзор существующих аналогов и обеспечивает соответствие получаемых результатов поставленным требованиям;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  <w:lang w:val="en-RU"/>
        </w:rPr>
      </w:pPr>
      <w:r>
        <w:rPr>
          <w:sz w:val="28"/>
          <w:szCs w:val="28"/>
          <w:lang w:val="en-RU"/>
        </w:rPr>
        <w:t>в роли проектировщика – выполняет проектирование архитектуры ИТ-решения, его функционала, графических и программных интерфейсов, информационной модели данных, форм отчётов и сценариев пользовательской работы;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  <w:lang w:val="en-RU"/>
        </w:rPr>
      </w:pPr>
      <w:r>
        <w:rPr>
          <w:sz w:val="28"/>
          <w:szCs w:val="28"/>
          <w:lang w:val="en-RU"/>
        </w:rPr>
        <w:t>в роли разработчика – выполняет программную реализацию клиентской и серверной частей информационной системы, микросервиса безопасного выполнения кода и интеграции с внешним сервисом LLM;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  <w:lang w:val="en-RU"/>
        </w:rPr>
        <w:t>в роли технического писателя – выполняет разработку технической документации, сопровождающей ИТ-решение, включая описание API-эндпоинтов и пользовательских сценариев</w:t>
      </w:r>
      <w:r>
        <w:rPr>
          <w:sz w:val="28"/>
          <w:szCs w:val="28"/>
        </w:rPr>
        <w:t>;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  <w:lang w:val="en-RU"/>
        </w:rPr>
      </w:pPr>
      <w:r>
        <w:rPr>
          <w:sz w:val="28"/>
          <w:szCs w:val="28"/>
          <w:lang w:val="en-RU"/>
        </w:rPr>
        <w:t>в роли тестировщика – проводит модульное, интеграционное и функциональное тестирование прототипа.</w:t>
      </w:r>
    </w:p>
    <w:p>
      <w:pPr>
        <w:pStyle w:val="14151"/>
        <w:rPr>
          <w:lang w:val="en-US"/>
        </w:rPr>
      </w:pPr>
      <w:r>
        <w:rPr/>
        <w:t>Организация работ осуществляется на базе календарного планирования, которое включает в себя:</w:t>
      </w:r>
    </w:p>
    <w:p>
      <w:pPr>
        <w:pStyle w:val="14151"/>
        <w:numPr>
          <w:ilvl w:val="0"/>
          <w:numId w:val="3"/>
        </w:numPr>
        <w:rPr/>
      </w:pPr>
      <w:r>
        <w:rPr/>
        <w:t>планирование содержания проекта и декомпозицию работ;</w:t>
      </w:r>
    </w:p>
    <w:p>
      <w:pPr>
        <w:pStyle w:val="14151"/>
        <w:numPr>
          <w:ilvl w:val="0"/>
          <w:numId w:val="3"/>
        </w:numPr>
        <w:rPr/>
      </w:pPr>
      <w:r>
        <w:rPr/>
        <w:t>определение последовательности работ;</w:t>
      </w:r>
    </w:p>
    <w:p>
      <w:pPr>
        <w:pStyle w:val="14151"/>
        <w:numPr>
          <w:ilvl w:val="0"/>
          <w:numId w:val="3"/>
        </w:numPr>
        <w:rPr/>
      </w:pPr>
      <w:r>
        <w:rPr/>
        <w:t>планирование сроков, длительностей и логических связей работ;</w:t>
      </w:r>
    </w:p>
    <w:p>
      <w:pPr>
        <w:pStyle w:val="14151"/>
        <w:numPr>
          <w:ilvl w:val="0"/>
          <w:numId w:val="3"/>
        </w:numPr>
        <w:rPr>
          <w:lang w:val="en-US"/>
        </w:rPr>
      </w:pPr>
      <w:r>
        <w:rPr/>
        <w:t>построение диаграммы Ганта.</w:t>
      </w:r>
    </w:p>
    <w:p>
      <w:pPr>
        <w:pStyle w:val="14151"/>
        <w:rPr>
          <w:i/>
          <w:i/>
          <w:iCs/>
        </w:rPr>
      </w:pPr>
      <w:r>
        <w:rPr/>
        <w:t>Состав работ планируется в соответствии с ГОСТ Р 59793-2021 «Информационные технологии. Комплекс стандартов на автоматизированные системы. Автоматизированные системы. Стадии создания».</w:t>
      </w:r>
    </w:p>
    <w:p>
      <w:pPr>
        <w:pStyle w:val="14151"/>
        <w:rPr/>
      </w:pPr>
      <w:r>
        <w:rPr/>
        <w:t>В Таблице А.1 приведён состав этапов проектирования ИТ-решения, планирование сроков выполняется с учетом:</w:t>
      </w:r>
    </w:p>
    <w:p>
      <w:pPr>
        <w:pStyle w:val="14151"/>
        <w:numPr>
          <w:ilvl w:val="0"/>
          <w:numId w:val="4"/>
        </w:numPr>
        <w:rPr/>
      </w:pPr>
      <w:r>
        <w:rPr/>
        <w:t>шестидневной рабочей (учебной) недели руководителя ВКР и студента;</w:t>
      </w:r>
    </w:p>
    <w:p>
      <w:pPr>
        <w:pStyle w:val="14151"/>
        <w:numPr>
          <w:ilvl w:val="0"/>
          <w:numId w:val="4"/>
        </w:numPr>
        <w:rPr/>
      </w:pPr>
      <w:r>
        <w:rPr/>
        <w:t>выходных и праздничных дней;</w:t>
      </w:r>
    </w:p>
    <w:p>
      <w:pPr>
        <w:pStyle w:val="14151"/>
        <w:numPr>
          <w:ilvl w:val="0"/>
          <w:numId w:val="4"/>
        </w:numPr>
        <w:rPr/>
      </w:pPr>
      <w:r>
        <w:rPr/>
        <w:t>состава участвующих в разработке исполнителей.</w:t>
      </w:r>
    </w:p>
    <w:p>
      <w:pPr>
        <w:pStyle w:val="Tablename"/>
        <w:rPr/>
      </w:pPr>
      <w:r>
        <w:rPr/>
        <w:t>Таблица А.1 – Календарный план выполнения проекта</w:t>
      </w:r>
    </w:p>
    <w:tbl>
      <w:tblPr>
        <w:tblStyle w:val="9"/>
        <w:tblW w:w="5000" w:type="pct"/>
        <w:jc w:val="center"/>
        <w:tblInd w:w="0" w:type="dxa"/>
        <w:tblLayout w:type="fixed"/>
        <w:tblCellMar>
          <w:top w:w="0" w:type="dxa"/>
          <w:left w:w="85" w:type="dxa"/>
          <w:bottom w:w="0" w:type="dxa"/>
          <w:right w:w="85" w:type="dxa"/>
        </w:tblCellMar>
        <w:tblLook w:val="04a0" w:noVBand="1" w:noHBand="0" w:lastColumn="0" w:firstColumn="1" w:lastRow="0" w:firstRow="1"/>
      </w:tblPr>
      <w:tblGrid>
        <w:gridCol w:w="3349"/>
        <w:gridCol w:w="1458"/>
        <w:gridCol w:w="1413"/>
        <w:gridCol w:w="852"/>
        <w:gridCol w:w="2566"/>
      </w:tblGrid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Этап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Дата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начала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Дата окончания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Кол-во раб. дней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Исполнители</w:t>
            </w:r>
          </w:p>
        </w:tc>
      </w:tr>
      <w:tr>
        <w:trPr>
          <w:trHeight w:val="228" w:hRule="atLeast"/>
        </w:trPr>
        <w:tc>
          <w:tcPr>
            <w:tcW w:w="9638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 Формирование требований к проекту</w:t>
            </w:r>
          </w:p>
        </w:tc>
      </w:tr>
      <w:tr>
        <w:trPr>
          <w:trHeight w:val="874" w:hRule="atLeast"/>
        </w:trPr>
        <w:tc>
          <w:tcPr>
            <w:tcW w:w="3349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1.1 Обследование объекта и обоснование необходимости создания проекта</w:t>
            </w:r>
          </w:p>
        </w:tc>
        <w:tc>
          <w:tcPr>
            <w:tcW w:w="1458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09.02.2026</w:t>
            </w:r>
          </w:p>
        </w:tc>
        <w:tc>
          <w:tcPr>
            <w:tcW w:w="1413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10.02.2026</w:t>
            </w:r>
          </w:p>
        </w:tc>
        <w:tc>
          <w:tcPr>
            <w:tcW w:w="852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66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Заведующий кафедрой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Руководитель ВКР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80" w:hRule="atLeast"/>
        </w:trPr>
        <w:tc>
          <w:tcPr>
            <w:tcW w:w="3349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1.2 Формирование требований пользователя к проекту</w:t>
            </w:r>
          </w:p>
        </w:tc>
        <w:tc>
          <w:tcPr>
            <w:tcW w:w="1458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11.02.2026</w:t>
            </w:r>
          </w:p>
        </w:tc>
        <w:tc>
          <w:tcPr>
            <w:tcW w:w="1413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11.02.2026</w:t>
            </w:r>
          </w:p>
        </w:tc>
        <w:tc>
          <w:tcPr>
            <w:tcW w:w="852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566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Заведующий кафедрой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Руководитель ВКР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80" w:hRule="atLeast"/>
        </w:trPr>
        <w:tc>
          <w:tcPr>
            <w:tcW w:w="3349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1.3 Оформление отчета о выполненной работе</w:t>
            </w:r>
          </w:p>
        </w:tc>
        <w:tc>
          <w:tcPr>
            <w:tcW w:w="1458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12.02.2026</w:t>
            </w:r>
          </w:p>
        </w:tc>
        <w:tc>
          <w:tcPr>
            <w:tcW w:w="1413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12.02.2026</w:t>
            </w:r>
          </w:p>
        </w:tc>
        <w:tc>
          <w:tcPr>
            <w:tcW w:w="852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566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9638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2. Разработка концепции проекта</w:t>
            </w:r>
          </w:p>
        </w:tc>
      </w:tr>
      <w:tr>
        <w:trPr>
          <w:trHeight w:val="380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2.1 Изучение объекта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13.02.2026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14.02.2026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highlight w:val="yellow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2.2 Проведение необходимых исследовательских работ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16.02.2026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17.02.2026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 xml:space="preserve">2.3 Разработка вариантов концепции ИТ-решения, выбор и согласование варианта, удовлетворяющего требованиям 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18.02.2026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19.02.2026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Заведующий кафедрой Руководитель ВКР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2.4 Оценка рисков проекта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20.02.2026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2.5 Оформление отчета о выполненной работе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21.02.2026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21.02.2026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9638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3. Техническое задание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3.1 Разработка и утверждение технического задания на ИТ-решение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85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24.02.2026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25.02.2026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Заведующий кафедрой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3.2. Разработка документации</w:t>
            </w:r>
          </w:p>
        </w:tc>
        <w:tc>
          <w:tcPr>
            <w:tcW w:w="1458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26.02.2026</w:t>
            </w:r>
          </w:p>
        </w:tc>
        <w:tc>
          <w:tcPr>
            <w:tcW w:w="1413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27.02.2026</w:t>
            </w:r>
          </w:p>
        </w:tc>
        <w:tc>
          <w:tcPr>
            <w:tcW w:w="852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66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9638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 xml:space="preserve">4. Эскизный (пилотный) проект 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 xml:space="preserve">4.1 Разработка предварительных проектных решений 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28.02.2026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07.03.2026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7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4.2 Разработка программного кода ИТ-решения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10.03.2026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19.03.2026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9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4.3 Разработка документации на ИТ-решение и его части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20.03.2026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24.03.2026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4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</w:tbl>
    <w:p>
      <w:pPr>
        <w:pStyle w:val="14151"/>
        <w:ind w:hanging="0"/>
        <w:rPr/>
      </w:pPr>
      <w:r>
        <w:rPr/>
      </w:r>
    </w:p>
    <w:p>
      <w:pPr>
        <w:pStyle w:val="Normal"/>
        <w:widowControl/>
        <w:spacing w:lineRule="auto" w:line="259" w:before="0" w:after="160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  <w:r>
        <w:br w:type="page"/>
      </w:r>
    </w:p>
    <w:p>
      <w:pPr>
        <w:pStyle w:val="Tablename"/>
        <w:rPr/>
      </w:pPr>
      <w:r>
        <w:rPr/>
        <w:t>Продолжение Таблицы А.1</w:t>
      </w:r>
    </w:p>
    <w:tbl>
      <w:tblPr>
        <w:tblStyle w:val="9"/>
        <w:tblW w:w="5000" w:type="pct"/>
        <w:jc w:val="center"/>
        <w:tblInd w:w="0" w:type="dxa"/>
        <w:tblLayout w:type="fixed"/>
        <w:tblCellMar>
          <w:top w:w="0" w:type="dxa"/>
          <w:left w:w="85" w:type="dxa"/>
          <w:bottom w:w="0" w:type="dxa"/>
          <w:right w:w="85" w:type="dxa"/>
        </w:tblCellMar>
        <w:tblLook w:val="04a0" w:noVBand="1" w:noHBand="0" w:lastColumn="0" w:firstColumn="1" w:lastRow="0" w:firstRow="1"/>
      </w:tblPr>
      <w:tblGrid>
        <w:gridCol w:w="3356"/>
        <w:gridCol w:w="188"/>
        <w:gridCol w:w="15"/>
        <w:gridCol w:w="1260"/>
        <w:gridCol w:w="1417"/>
        <w:gridCol w:w="42"/>
        <w:gridCol w:w="809"/>
        <w:gridCol w:w="2551"/>
      </w:tblGrid>
      <w:tr>
        <w:trPr>
          <w:trHeight w:val="70" w:hRule="atLeast"/>
        </w:trPr>
        <w:tc>
          <w:tcPr>
            <w:tcW w:w="9638" w:type="dxa"/>
            <w:gridSpan w:val="8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5. Технический проект</w:t>
            </w:r>
          </w:p>
        </w:tc>
      </w:tr>
      <w:tr>
        <w:trPr>
          <w:trHeight w:val="70" w:hRule="atLeast"/>
        </w:trPr>
        <w:tc>
          <w:tcPr>
            <w:tcW w:w="335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5.1 Разработка итоговых проектных решений</w:t>
            </w:r>
          </w:p>
        </w:tc>
        <w:tc>
          <w:tcPr>
            <w:tcW w:w="1463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25.03.2026</w:t>
            </w:r>
          </w:p>
        </w:tc>
        <w:tc>
          <w:tcPr>
            <w:tcW w:w="1459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31.03.2026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Заведующий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 xml:space="preserve"> 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кафедрой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3356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5.2 Разработка итоговой архитектуры ИТ-решения</w:t>
            </w:r>
          </w:p>
        </w:tc>
        <w:tc>
          <w:tcPr>
            <w:tcW w:w="1463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01.04.2026</w:t>
            </w:r>
          </w:p>
        </w:tc>
        <w:tc>
          <w:tcPr>
            <w:tcW w:w="1459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07.04.2026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3356" w:type="dxa"/>
            <w:tcBorders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 xml:space="preserve">5.3 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Доработка программного кода ИТ-решения</w:t>
            </w:r>
          </w:p>
        </w:tc>
        <w:tc>
          <w:tcPr>
            <w:tcW w:w="1463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08.04.2026</w:t>
            </w:r>
          </w:p>
        </w:tc>
        <w:tc>
          <w:tcPr>
            <w:tcW w:w="1459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102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14.04.2026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6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3356" w:type="dxa"/>
            <w:tcBorders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5.4 Разработка документации на ИТ-решение и его части</w:t>
            </w:r>
          </w:p>
        </w:tc>
        <w:tc>
          <w:tcPr>
            <w:tcW w:w="1463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15.04.2026</w:t>
            </w:r>
          </w:p>
        </w:tc>
        <w:tc>
          <w:tcPr>
            <w:tcW w:w="1459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102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18.04.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2026</w:t>
            </w:r>
          </w:p>
        </w:tc>
        <w:tc>
          <w:tcPr>
            <w:tcW w:w="80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4</w:t>
            </w:r>
          </w:p>
        </w:tc>
        <w:tc>
          <w:tcPr>
            <w:tcW w:w="2551" w:type="dxa"/>
            <w:tcBorders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9638" w:type="dxa"/>
            <w:gridSpan w:val="8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 xml:space="preserve">6. Рабочая документация </w:t>
            </w:r>
          </w:p>
        </w:tc>
      </w:tr>
      <w:tr>
        <w:trPr>
          <w:trHeight w:val="395" w:hRule="atLeast"/>
        </w:trPr>
        <w:tc>
          <w:tcPr>
            <w:tcW w:w="3559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6.1 Разработка рабочей документации на ИТ-решение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20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.0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4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25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.0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4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59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6.2 Формирование комплекта рабочей документации на ИТ-решение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27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.0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4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30.04.2026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4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59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 xml:space="preserve">6.3 </w:t>
            </w:r>
            <w:r>
              <w:rPr>
                <w:color w:val="121212"/>
                <w:kern w:val="0"/>
                <w:sz w:val="24"/>
                <w:szCs w:val="24"/>
                <w:lang w:val="ru-RU" w:eastAsia="en-US" w:bidi="ar-SA"/>
              </w:rPr>
              <w:t>Расчёт затрат на проведение работ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04.05.2026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08.05.2026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9638" w:type="dxa"/>
            <w:gridSpan w:val="8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 xml:space="preserve">7. Ввод в действие </w:t>
            </w:r>
          </w:p>
        </w:tc>
      </w:tr>
      <w:tr>
        <w:trPr>
          <w:trHeight w:val="395" w:hRule="atLeast"/>
        </w:trPr>
        <w:tc>
          <w:tcPr>
            <w:tcW w:w="354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7.1 Подготовка объекта автоматизации к вводу ИТ-решения в действие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12.05.2026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14.05.2026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Заведующий кафедрой Разработчик проекта</w:t>
            </w:r>
          </w:p>
        </w:tc>
      </w:tr>
      <w:tr>
        <w:trPr>
          <w:trHeight w:val="395" w:hRule="atLeast"/>
        </w:trPr>
        <w:tc>
          <w:tcPr>
            <w:tcW w:w="354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7.2 Обучение персонала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15.05.2026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16.05.2026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7.3 Комплектация ИТ-решения поставляемыми изделиями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18.05.2026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19.05.2026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4" w:type="dxa"/>
            <w:gridSpan w:val="2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7.4 Развертывание ИТ-решения</w:t>
            </w:r>
          </w:p>
        </w:tc>
        <w:tc>
          <w:tcPr>
            <w:tcW w:w="1275" w:type="dxa"/>
            <w:gridSpan w:val="2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20.05.2026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22.05.2026</w:t>
            </w:r>
          </w:p>
        </w:tc>
        <w:tc>
          <w:tcPr>
            <w:tcW w:w="851" w:type="dxa"/>
            <w:gridSpan w:val="2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4" w:type="dxa"/>
            <w:gridSpan w:val="2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7.5 Тестирование ИТ-решения</w:t>
            </w:r>
          </w:p>
        </w:tc>
        <w:tc>
          <w:tcPr>
            <w:tcW w:w="1275" w:type="dxa"/>
            <w:gridSpan w:val="2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23.05.2026</w:t>
            </w:r>
          </w:p>
        </w:tc>
        <w:tc>
          <w:tcPr>
            <w:tcW w:w="1417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26.05.2026</w:t>
            </w:r>
          </w:p>
        </w:tc>
        <w:tc>
          <w:tcPr>
            <w:tcW w:w="851" w:type="dxa"/>
            <w:gridSpan w:val="2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</w:t>
            </w:r>
          </w:p>
        </w:tc>
        <w:tc>
          <w:tcPr>
            <w:tcW w:w="2551" w:type="dxa"/>
            <w:tcBorders>
              <w:bottom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7.6 Ввод ИТ-решения в эксплуатацию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27.05.2026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01.06.2026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7.7 Проведение приемочных испытаний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02.06.2026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05.06.2026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4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Заведующий кафедрой Руководитель ВКР Разработчик проекта</w:t>
            </w:r>
          </w:p>
        </w:tc>
      </w:tr>
      <w:tr>
        <w:trPr>
          <w:trHeight w:val="395" w:hRule="atLeast"/>
        </w:trPr>
        <w:tc>
          <w:tcPr>
            <w:tcW w:w="354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7.8 Сопровождение апробации ИТ-решения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06.06.2026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15.06.2026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7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</w:tbl>
    <w:p>
      <w:pPr>
        <w:pStyle w:val="Normal"/>
        <w:spacing w:lineRule="auto" w:line="360" w:before="340" w:after="0"/>
        <w:ind w:firstLine="709"/>
        <w:jc w:val="both"/>
        <w:rPr>
          <w:rFonts w:eastAsia="Calibri"/>
          <w:color w:val="000000"/>
          <w:sz w:val="28"/>
          <w:szCs w:val="28"/>
          <w:shd w:fill="FFFFFF" w:val="clear"/>
        </w:rPr>
      </w:pPr>
      <w:r>
        <w:rPr>
          <w:rFonts w:eastAsia="Calibri"/>
          <w:sz w:val="28"/>
          <w:szCs w:val="28"/>
        </w:rPr>
        <w:t>Таким образом, на разработку отводится 102 рабочих дня.</w:t>
      </w:r>
    </w:p>
    <w:p>
      <w:pPr>
        <w:pStyle w:val="14151"/>
        <w:rPr/>
      </w:pPr>
      <w:r>
        <w:rPr/>
        <w:t xml:space="preserve">Диаграмма Ганта широко используется для визуализации хода выполнения задач, планирования ресурсов, графика рабочего времени и других данных, которые представляются набором временных интервалов. </w:t>
      </w:r>
      <w:r>
        <w:rPr>
          <w:color w:val="000000"/>
          <w:shd w:fill="FFFFFF" w:val="clear"/>
        </w:rPr>
        <w:t xml:space="preserve">Она необходима для соблюдения сроков выполнения работ, и, соответственно, анализа хода </w:t>
      </w:r>
      <w:r>
        <w:rPr/>
        <w:t xml:space="preserve">проектирования </w:t>
      </w:r>
      <w:r>
        <w:rPr>
          <w:color w:val="000000"/>
          <w:shd w:fill="FFFFFF" w:val="clear"/>
        </w:rPr>
        <w:t xml:space="preserve">ИТ-решения. </w:t>
      </w:r>
      <w:bookmarkStart w:id="3" w:name="_Hlk162872040"/>
      <w:r>
        <w:rPr/>
        <w:t xml:space="preserve"> </w:t>
      </w:r>
    </w:p>
    <w:p>
      <w:pPr>
        <w:pStyle w:val="14151"/>
        <w:rPr/>
      </w:pPr>
      <w:r>
        <w:rPr/>
        <w:t>Календарный план-график</w:t>
      </w:r>
      <w:bookmarkEnd w:id="3"/>
      <w:r>
        <w:rPr/>
        <w:t xml:space="preserve"> (диаграмма Ганта), разработанный в соответствии с данными из Таблицы А.1</w:t>
      </w:r>
      <w:r>
        <w:rPr>
          <w:color w:val="000000"/>
          <w:shd w:fill="FFFFFF" w:val="clear"/>
        </w:rPr>
        <w:t xml:space="preserve">, </w:t>
      </w:r>
      <w:r>
        <w:rPr/>
        <w:t>представлен на Рисунках А.1 и А.2.</w:t>
      </w:r>
    </w:p>
    <w:p>
      <w:pPr>
        <w:pStyle w:val="14151"/>
        <w:rPr/>
      </w:pPr>
      <w:r>
        <w:rPr/>
        <w:t>Рисунок А.1 отражает этапы и работы в рамках проекта, участников на каждом этапе, дату начала и завершения, а также длительность в часах как каждой работы, так и этапа.</w:t>
      </w:r>
    </w:p>
    <w:p>
      <w:pPr>
        <w:pStyle w:val="14151"/>
        <w:rPr/>
      </w:pPr>
      <w:r>
        <w:rPr/>
        <w:t>Рисунок А.2 отражает непосредственно саму диаграмму Ганта с учетом последовательного выполнения работ.</w:t>
      </w:r>
    </w:p>
    <w:p>
      <w:pPr>
        <w:pStyle w:val="Style11"/>
        <w:rPr>
          <w:lang w:val="ru-RU"/>
        </w:rPr>
      </w:pPr>
      <w:r>
        <w:rPr/>
        <w:drawing>
          <wp:inline distT="0" distB="0" distL="0" distR="0">
            <wp:extent cx="6120130" cy="36861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description"/>
        <w:rPr>
          <w:shd w:fill="FFFFFF" w:val="clear"/>
        </w:rPr>
      </w:pPr>
      <w:r>
        <w:rPr>
          <w:shd w:fill="FFFFFF" w:val="clear"/>
        </w:rPr>
        <w:t>Рисунок А.1 – Календарный план-график (Часть 1)</w:t>
      </w:r>
    </w:p>
    <w:p>
      <w:pPr>
        <w:pStyle w:val="Normal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264160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description"/>
        <w:rPr/>
      </w:pPr>
      <w:r>
        <w:rPr>
          <w:shd w:fill="FFFFFF" w:val="clear"/>
        </w:rPr>
        <w:t>Рисунок А.2 – Календарный план-график</w:t>
      </w:r>
      <w:r>
        <w:rPr/>
        <w:t xml:space="preserve"> (Часть 2)</w:t>
      </w:r>
    </w:p>
    <w:p>
      <w:pPr>
        <w:pStyle w:val="14151"/>
        <w:rPr/>
      </w:pPr>
      <w:r>
        <w:rPr>
          <w:rFonts w:eastAsia="Calibri"/>
          <w:shd w:fill="FFFFFF" w:val="clear"/>
        </w:rPr>
        <w:t>Себестоимость проектирования ИТ-решения складывается из затрат по следующим статьям:</w:t>
      </w:r>
      <w:r>
        <w:rPr/>
        <w:t xml:space="preserve"> </w:t>
      </w:r>
    </w:p>
    <w:p>
      <w:pPr>
        <w:pStyle w:val="14151"/>
        <w:numPr>
          <w:ilvl w:val="0"/>
          <w:numId w:val="5"/>
        </w:numPr>
        <w:rPr/>
      </w:pPr>
      <w:r>
        <w:rPr/>
        <w:t>основная заработная плата;</w:t>
      </w:r>
    </w:p>
    <w:p>
      <w:pPr>
        <w:pStyle w:val="14151"/>
        <w:numPr>
          <w:ilvl w:val="0"/>
          <w:numId w:val="5"/>
        </w:numPr>
        <w:rPr/>
      </w:pPr>
      <w:r>
        <w:rPr/>
        <w:t>дополнительная заработная плата;</w:t>
      </w:r>
    </w:p>
    <w:p>
      <w:pPr>
        <w:pStyle w:val="14151"/>
        <w:numPr>
          <w:ilvl w:val="0"/>
          <w:numId w:val="5"/>
        </w:numPr>
        <w:rPr/>
      </w:pPr>
      <w:r>
        <w:rPr/>
        <w:t>страховые взносы – 30 % от фонда оплаты труда (ФОТ), а также 0,2 % – ставка за травматизм;</w:t>
      </w:r>
    </w:p>
    <w:p>
      <w:pPr>
        <w:pStyle w:val="14151"/>
        <w:numPr>
          <w:ilvl w:val="0"/>
          <w:numId w:val="5"/>
        </w:numPr>
        <w:rPr/>
      </w:pPr>
      <w:r>
        <w:rPr/>
        <w:t>материалы, покупные изделия и полуфабрикаты, а также до 20 % от соответствующей суммы на транспортно-заготовительные расходы (ТЗР);</w:t>
      </w:r>
    </w:p>
    <w:p>
      <w:pPr>
        <w:pStyle w:val="14151"/>
        <w:numPr>
          <w:ilvl w:val="0"/>
          <w:numId w:val="5"/>
        </w:numPr>
        <w:rPr/>
      </w:pPr>
      <w:r>
        <w:rPr/>
        <w:t>расходы на приобретение компьютерной техники и программного обеспечения, а также до 20 % от соответствующей суммы на ТЗР;</w:t>
      </w:r>
    </w:p>
    <w:p>
      <w:pPr>
        <w:pStyle w:val="14151"/>
        <w:numPr>
          <w:ilvl w:val="0"/>
          <w:numId w:val="5"/>
        </w:numPr>
        <w:rPr/>
      </w:pPr>
      <w:r>
        <w:rPr/>
        <w:t>амортизационные отчисления по используемому в проекте оборудованию;</w:t>
      </w:r>
    </w:p>
    <w:p>
      <w:pPr>
        <w:pStyle w:val="14151"/>
        <w:numPr>
          <w:ilvl w:val="0"/>
          <w:numId w:val="5"/>
        </w:numPr>
        <w:rPr/>
      </w:pPr>
      <w:r>
        <w:rPr/>
        <w:t>эксплуатационные расходы, связанные с использованием компьютерной техники;</w:t>
      </w:r>
    </w:p>
    <w:p>
      <w:pPr>
        <w:pStyle w:val="14151"/>
        <w:numPr>
          <w:ilvl w:val="0"/>
          <w:numId w:val="5"/>
        </w:numPr>
        <w:rPr/>
      </w:pPr>
      <w:r>
        <w:rPr/>
        <w:t>накладные расходы – до 150 % от основной заработной платы.</w:t>
      </w:r>
    </w:p>
    <w:p>
      <w:pPr>
        <w:pStyle w:val="14151"/>
        <w:rPr/>
      </w:pPr>
      <w:r>
        <w:rPr/>
        <w:t>Результат анализа размера оплаты труда в г. Москва представлен в Таблице А.2.</w:t>
      </w:r>
    </w:p>
    <w:p>
      <w:pPr>
        <w:pStyle w:val="14151"/>
        <w:rPr/>
      </w:pPr>
      <w:r>
        <w:rPr/>
        <w:t>Согласно Производственному календарю на 2026 год, годовой фонд рабочего времени при шестидневной рабочей неделе составит 300 рабочих дней.</w:t>
      </w:r>
    </w:p>
    <w:p>
      <w:pPr>
        <w:pStyle w:val="Tablename"/>
        <w:rPr/>
      </w:pPr>
      <w:r>
        <w:rPr/>
        <w:t xml:space="preserve">Таблица А.2 – Размер оплаты труда в регионе по должностям </w:t>
      </w:r>
    </w:p>
    <w:tbl>
      <w:tblPr>
        <w:tblStyle w:val="TableGri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664"/>
        <w:gridCol w:w="1229"/>
        <w:gridCol w:w="5303"/>
        <w:gridCol w:w="1431"/>
      </w:tblGrid>
      <w:tr>
        <w:trPr/>
        <w:tc>
          <w:tcPr>
            <w:tcW w:w="166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Исполнитель (должность)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Ряд значений</w:t>
            </w:r>
          </w:p>
        </w:tc>
        <w:tc>
          <w:tcPr>
            <w:tcW w:w="5303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Источник данных</w:t>
            </w:r>
          </w:p>
        </w:tc>
        <w:tc>
          <w:tcPr>
            <w:tcW w:w="1431" w:type="dxa"/>
            <w:tcBorders/>
          </w:tcPr>
          <w:p>
            <w:pPr>
              <w:pStyle w:val="Normal"/>
              <w:widowControl w:val="false"/>
              <w:spacing w:before="0" w:after="0"/>
              <w:ind w:right="-115" w:hanging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Медианное значение оплаты труда, руб.</w:t>
            </w:r>
          </w:p>
        </w:tc>
      </w:tr>
      <w:tr>
        <w:trPr/>
        <w:tc>
          <w:tcPr>
            <w:tcW w:w="1664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Заведующий кафедрой</w:t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530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https://moskva.gorodrabot.ru/salaries/nachalnik-otdela</w:t>
            </w:r>
          </w:p>
        </w:tc>
        <w:tc>
          <w:tcPr>
            <w:tcW w:w="1431" w:type="dxa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130 000</w:t>
            </w:r>
          </w:p>
        </w:tc>
      </w:tr>
      <w:tr>
        <w:trPr/>
        <w:tc>
          <w:tcPr>
            <w:tcW w:w="1664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110 000</w:t>
            </w:r>
          </w:p>
        </w:tc>
        <w:tc>
          <w:tcPr>
            <w:tcW w:w="530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https://moskva.gorodrabot.ru/salaries/nachalnik-otdela</w:t>
            </w:r>
          </w:p>
        </w:tc>
        <w:tc>
          <w:tcPr>
            <w:tcW w:w="1431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664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130 000</w:t>
            </w:r>
          </w:p>
        </w:tc>
        <w:tc>
          <w:tcPr>
            <w:tcW w:w="530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https://hh.ru/vacancies/nachalnik-otdela-informacionnyh-tehnologij</w:t>
            </w:r>
          </w:p>
        </w:tc>
        <w:tc>
          <w:tcPr>
            <w:tcW w:w="1431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664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155 000</w:t>
            </w:r>
          </w:p>
        </w:tc>
        <w:tc>
          <w:tcPr>
            <w:tcW w:w="530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https://hh.ru/vacancies/nachalnik-otdela-informacionnyh-tehnologij</w:t>
            </w:r>
          </w:p>
        </w:tc>
        <w:tc>
          <w:tcPr>
            <w:tcW w:w="1431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664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172 000</w:t>
            </w:r>
          </w:p>
        </w:tc>
        <w:tc>
          <w:tcPr>
            <w:tcW w:w="530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https://moskva.gorodrabot.ru/salaries/nachalnik-upravleniya</w:t>
            </w:r>
          </w:p>
        </w:tc>
        <w:tc>
          <w:tcPr>
            <w:tcW w:w="1431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Tablename"/>
        <w:rPr>
          <w:lang w:val="en-US"/>
        </w:rPr>
      </w:pPr>
      <w:r>
        <w:rPr/>
        <w:t>Продолжение Таблицы А.2</w:t>
      </w:r>
    </w:p>
    <w:tbl>
      <w:tblPr>
        <w:tblStyle w:val="TableGrid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736"/>
        <w:gridCol w:w="848"/>
        <w:gridCol w:w="5740"/>
        <w:gridCol w:w="1019"/>
      </w:tblGrid>
      <w:tr>
        <w:trPr/>
        <w:tc>
          <w:tcPr>
            <w:tcW w:w="1736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Руководитель ВКР</w:t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90 000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https://journal.sovcombank.ru/rabota/zarplata-prepodavatelia-vuza</w:t>
            </w:r>
          </w:p>
        </w:tc>
        <w:tc>
          <w:tcPr>
            <w:tcW w:w="1019" w:type="dxa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110 000</w:t>
            </w:r>
          </w:p>
        </w:tc>
      </w:tr>
      <w:tr>
        <w:trPr/>
        <w:tc>
          <w:tcPr>
            <w:tcW w:w="173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95 000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https://moskva.gorodrabot.ru/salaries/prepodavatel-v-vuze</w:t>
            </w:r>
          </w:p>
        </w:tc>
        <w:tc>
          <w:tcPr>
            <w:tcW w:w="1019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3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110 000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https://hh.ru/vacancies/prepodavateli</w:t>
            </w:r>
          </w:p>
        </w:tc>
        <w:tc>
          <w:tcPr>
            <w:tcW w:w="1019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3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120 000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https://hh.ru/vacancies/prepodavateli</w:t>
            </w:r>
          </w:p>
        </w:tc>
        <w:tc>
          <w:tcPr>
            <w:tcW w:w="1019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3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125 000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https://hh.ru/vacancies/prepodavateli</w:t>
            </w:r>
          </w:p>
        </w:tc>
        <w:tc>
          <w:tcPr>
            <w:tcW w:w="1019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36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Разработчик проекта</w:t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60 000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https://hh.ru/search/vacancy?text=fullstack+разработчик</w:t>
            </w:r>
          </w:p>
        </w:tc>
        <w:tc>
          <w:tcPr>
            <w:tcW w:w="1019" w:type="dxa"/>
            <w:vMerge w:val="restart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0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0 000</w:t>
            </w:r>
          </w:p>
        </w:tc>
      </w:tr>
      <w:tr>
        <w:trPr/>
        <w:tc>
          <w:tcPr>
            <w:tcW w:w="173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80 000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color w:val="000000" w:themeColor="text1"/>
                <w:kern w:val="0"/>
                <w:sz w:val="24"/>
                <w:szCs w:val="24"/>
                <w:lang w:val="ru-RU" w:eastAsia="en-US" w:bidi="ar-SA"/>
              </w:rPr>
              <w:t>https://hh.ru/search/vacancy?text=fullstack+разработчик</w:t>
            </w:r>
          </w:p>
        </w:tc>
        <w:tc>
          <w:tcPr>
            <w:tcW w:w="1019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3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https://hh.ru/search/vacancy?text=fullstack+разработчик</w:t>
            </w:r>
          </w:p>
        </w:tc>
        <w:tc>
          <w:tcPr>
            <w:tcW w:w="1019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3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120 000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https://hh.ru/search/vacancy?text=fullstack+разработчик</w:t>
            </w:r>
          </w:p>
        </w:tc>
        <w:tc>
          <w:tcPr>
            <w:tcW w:w="1019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3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4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125 000</w:t>
            </w:r>
          </w:p>
        </w:tc>
        <w:tc>
          <w:tcPr>
            <w:tcW w:w="5740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color w:val="000000" w:themeColor="text1"/>
                <w:kern w:val="0"/>
                <w:sz w:val="24"/>
                <w:szCs w:val="24"/>
                <w:lang w:val="ru-RU" w:eastAsia="en-US" w:bidi="ar-SA"/>
              </w:rPr>
              <w:t>https://hh.ru/search/vacancy?text=fullstack+разработчик</w:t>
            </w:r>
          </w:p>
        </w:tc>
        <w:tc>
          <w:tcPr>
            <w:tcW w:w="1019" w:type="dxa"/>
            <w:vMerge w:val="continue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Дневная тарифная ставка (ТС) по каждому участнику может быть рассчитана следующим образом: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ТС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ОК</m:t>
            </m:r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12</m:t>
            </m:r>
          </m:num>
          <m:den>
            <m:r>
              <w:rPr>
                <w:rFonts w:ascii="Cambria Math" w:hAnsi="Cambria Math"/>
              </w:rPr>
              <m:t xml:space="preserve">НРВ</m:t>
            </m:r>
          </m:den>
        </m:f>
        <m:r>
          <w:rPr>
            <w:rFonts w:ascii="Cambria Math" w:hAnsi="Cambria Math"/>
          </w:rPr>
          <m:t xml:space="preserve">,</m:t>
        </m:r>
      </m:oMath>
      <w:r>
        <w:rPr>
          <w:sz w:val="28"/>
          <w:szCs w:val="28"/>
        </w:rPr>
        <w:t xml:space="preserve">                                                              </w:t>
      </w:r>
      <w:r>
        <w:rPr>
          <w:sz w:val="28"/>
          <w:szCs w:val="28"/>
        </w:rPr>
        <w:t>(А.1)</w:t>
      </w:r>
    </w:p>
    <w:p>
      <w:pPr>
        <w:pStyle w:val="14151"/>
        <w:rPr/>
      </w:pPr>
      <w:r>
        <w:rPr/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ТС</m:t>
        </m:r>
      </m:oMath>
      <w:r>
        <w:rPr/>
        <w:t>– дневная тарифная ставка, руб. в день;</w:t>
      </w:r>
    </w:p>
    <w:p>
      <w:pPr>
        <w:pStyle w:val="14151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ОК</m:t>
        </m:r>
      </m:oMath>
      <w:r>
        <w:rPr/>
        <w:t xml:space="preserve">– </w:t>
      </w:r>
      <w:r>
        <w:rPr/>
        <w:t>месячный оклад участника проекта, руб;</w:t>
      </w:r>
    </w:p>
    <w:p>
      <w:pPr>
        <w:pStyle w:val="14151"/>
        <w:rPr/>
      </w:pPr>
      <w:r>
        <w:rPr/>
        <w:t>12 – число месяцев в году, руб;</w:t>
      </w:r>
    </w:p>
    <w:p>
      <w:pPr>
        <w:pStyle w:val="14151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НРВ</m:t>
        </m:r>
      </m:oMath>
      <w:r>
        <w:rPr/>
        <w:t xml:space="preserve">– </w:t>
      </w:r>
      <w:r>
        <w:rPr/>
        <w:t>годовой фонд рабочего времени, в дн.</w:t>
      </w:r>
    </w:p>
    <w:p>
      <w:pPr>
        <w:pStyle w:val="14151"/>
        <w:rPr/>
      </w:pPr>
      <w:r>
        <w:rPr/>
        <w:t>В Таблице А.3 приведен расчет заработной платы участников проекта. Количество рабочих дней для каждой роли определяется на основе Таблицы А.1 с учетом участия в выполнении работ.</w:t>
      </w:r>
    </w:p>
    <w:p>
      <w:pPr>
        <w:pStyle w:val="14151"/>
        <w:spacing w:lineRule="auto" w:line="240"/>
        <w:ind w:hanging="0"/>
        <w:rPr/>
      </w:pPr>
      <w:r>
        <w:rPr/>
        <w:t xml:space="preserve">Таблица А.3 – Расчет основной заработанной платы </w:t>
      </w:r>
    </w:p>
    <w:tbl>
      <w:tblPr>
        <w:tblStyle w:val="TableGrid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979"/>
        <w:gridCol w:w="2127"/>
        <w:gridCol w:w="1417"/>
        <w:gridCol w:w="1134"/>
        <w:gridCol w:w="1559"/>
        <w:gridCol w:w="1134"/>
      </w:tblGrid>
      <w:tr>
        <w:trPr/>
        <w:tc>
          <w:tcPr>
            <w:tcW w:w="197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Наименование этапа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Исполнитель (должность)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Месячный оклад (руб.)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Оплата за день (руб.)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Количество рабочих дней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Оплата за этап (руб.)</w:t>
            </w:r>
          </w:p>
        </w:tc>
      </w:tr>
      <w:tr>
        <w:trPr/>
        <w:tc>
          <w:tcPr>
            <w:tcW w:w="1979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1. Формирование требований к проекту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Заведующий кафедрой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130 000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5 200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15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600</w:t>
            </w:r>
          </w:p>
        </w:tc>
      </w:tr>
      <w:tr>
        <w:trPr/>
        <w:tc>
          <w:tcPr>
            <w:tcW w:w="1979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Руководитель ВКР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110 000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4 400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13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200</w:t>
            </w:r>
          </w:p>
        </w:tc>
      </w:tr>
      <w:tr>
        <w:trPr/>
        <w:tc>
          <w:tcPr>
            <w:tcW w:w="1979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Разработчик проекта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16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000</w:t>
            </w:r>
          </w:p>
        </w:tc>
      </w:tr>
    </w:tbl>
    <w:p>
      <w:pPr>
        <w:pStyle w:val="Normal"/>
        <w:widowControl/>
        <w:spacing w:lineRule="auto" w:line="259" w:before="0" w:after="160"/>
        <w:rPr/>
      </w:pPr>
      <w:r>
        <w:rPr/>
      </w:r>
    </w:p>
    <w:p>
      <w:pPr>
        <w:pStyle w:val="Tablename"/>
        <w:rPr>
          <w:lang w:val="en-US"/>
        </w:rPr>
      </w:pPr>
      <w:r>
        <w:rPr/>
        <w:t>Продолжение Таблицы А.3</w:t>
      </w:r>
    </w:p>
    <w:tbl>
      <w:tblPr>
        <w:tblStyle w:val="TableGrid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979"/>
        <w:gridCol w:w="2127"/>
        <w:gridCol w:w="1417"/>
        <w:gridCol w:w="1134"/>
        <w:gridCol w:w="1559"/>
        <w:gridCol w:w="1134"/>
      </w:tblGrid>
      <w:tr>
        <w:trPr>
          <w:trHeight w:val="307" w:hRule="atLeast"/>
        </w:trPr>
        <w:tc>
          <w:tcPr>
            <w:tcW w:w="1979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2. Разработка концепции проекта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Заведующий кафедрой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130 000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5 200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10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400</w:t>
            </w:r>
          </w:p>
        </w:tc>
      </w:tr>
      <w:tr>
        <w:trPr>
          <w:trHeight w:val="307" w:hRule="atLeast"/>
        </w:trPr>
        <w:tc>
          <w:tcPr>
            <w:tcW w:w="1979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2"/>
                <w:szCs w:val="22"/>
                <w:shd w:fill="FFFFFF" w:val="clear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Руководитель ВКР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110 000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4 400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8 800</w:t>
            </w:r>
          </w:p>
        </w:tc>
      </w:tr>
      <w:tr>
        <w:trPr>
          <w:trHeight w:val="307" w:hRule="atLeast"/>
        </w:trPr>
        <w:tc>
          <w:tcPr>
            <w:tcW w:w="1979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2"/>
                <w:szCs w:val="22"/>
                <w:shd w:fill="FFFFFF" w:val="clear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Разработчик проекта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8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32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000</w:t>
            </w:r>
          </w:p>
        </w:tc>
      </w:tr>
      <w:tr>
        <w:trPr>
          <w:trHeight w:val="195" w:hRule="atLeast"/>
        </w:trPr>
        <w:tc>
          <w:tcPr>
            <w:tcW w:w="1979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3. Техническое задание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Заведующий кафедрой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130 000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5 200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10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400</w:t>
            </w:r>
          </w:p>
        </w:tc>
      </w:tr>
      <w:tr>
        <w:trPr>
          <w:trHeight w:val="135" w:hRule="atLeast"/>
        </w:trPr>
        <w:tc>
          <w:tcPr>
            <w:tcW w:w="1979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Разработчик проекта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16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000</w:t>
            </w:r>
          </w:p>
        </w:tc>
      </w:tr>
      <w:tr>
        <w:trPr>
          <w:trHeight w:val="255" w:hRule="atLeast"/>
        </w:trPr>
        <w:tc>
          <w:tcPr>
            <w:tcW w:w="197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4. Эскизный проект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trike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Разработчик проекта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20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80 000</w:t>
            </w:r>
          </w:p>
        </w:tc>
      </w:tr>
      <w:tr>
        <w:trPr/>
        <w:tc>
          <w:tcPr>
            <w:tcW w:w="1979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5. Технический проект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Заведующий кафедрой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130 000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5 200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31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200</w:t>
            </w:r>
          </w:p>
        </w:tc>
      </w:tr>
      <w:tr>
        <w:trPr/>
        <w:tc>
          <w:tcPr>
            <w:tcW w:w="1979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Разработчик проекта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22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88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6. Рабочая документация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Разработчик проекта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15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60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000</w:t>
            </w:r>
          </w:p>
        </w:tc>
      </w:tr>
      <w:tr>
        <w:trPr>
          <w:trHeight w:val="562" w:hRule="atLeast"/>
        </w:trPr>
        <w:tc>
          <w:tcPr>
            <w:tcW w:w="1979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7. Ввод в действие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Заведующий кафедрой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130 000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5 200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7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36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400</w:t>
            </w:r>
          </w:p>
        </w:tc>
      </w:tr>
      <w:tr>
        <w:trPr/>
        <w:tc>
          <w:tcPr>
            <w:tcW w:w="1979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Руководитель ВКР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110 000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4 400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17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ru-RU" w:eastAsia="en-US" w:bidi="ar-SA"/>
              </w:rPr>
              <w:t>600</w:t>
            </w:r>
          </w:p>
        </w:tc>
      </w:tr>
      <w:tr>
        <w:trPr/>
        <w:tc>
          <w:tcPr>
            <w:tcW w:w="1979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Разработчик проекта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100 000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4 000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29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116 000</w:t>
            </w:r>
          </w:p>
        </w:tc>
      </w:tr>
      <w:tr>
        <w:trPr/>
        <w:tc>
          <w:tcPr>
            <w:tcW w:w="1979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Итого</w:t>
            </w:r>
          </w:p>
        </w:tc>
        <w:tc>
          <w:tcPr>
            <w:tcW w:w="7371" w:type="dxa"/>
            <w:gridSpan w:val="5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551 600</w:t>
            </w:r>
          </w:p>
        </w:tc>
      </w:tr>
    </w:tbl>
    <w:p>
      <w:pPr>
        <w:pStyle w:val="Normal"/>
        <w:spacing w:lineRule="auto" w:line="360" w:before="34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заработная плата исполнителей составит 551 600 рублей.</w:t>
      </w:r>
    </w:p>
    <w:p>
      <w:pPr>
        <w:pStyle w:val="14151"/>
        <w:rPr/>
      </w:pPr>
      <w:r>
        <w:rPr/>
        <w:t>В среднем расходы по дополнительной заработной плате составляют 20-30% от суммы основной заработной платы. В процессе определения сметы затрат вводится понятие «фонд оплаты труда», представляющее собой сумму основной (ОЗП) и дополнительной заработной платы (ДЗП). Фонд оплаты труда (ФОТ) используется при расчете взносов в социальный фонд. Во всех других случаях (накладные расходы, командировки и др.) расчеты ведутся от базы основной заработной платы.</w:t>
      </w:r>
    </w:p>
    <w:p>
      <w:pPr>
        <w:pStyle w:val="14151"/>
        <w:rPr/>
      </w:pPr>
      <w:r>
        <w:rPr/>
        <w:t xml:space="preserve">Расходы на дополнительные заработные платы участников проекта представлены в Таблице А.4. </w:t>
      </w:r>
    </w:p>
    <w:p>
      <w:pPr>
        <w:pStyle w:val="Tablename"/>
        <w:rPr/>
      </w:pPr>
      <w:r>
        <w:rPr/>
        <w:t>Таблица А.4 – Расчет дополнительной заработанной платы</w:t>
      </w:r>
    </w:p>
    <w:tbl>
      <w:tblPr>
        <w:tblStyle w:val="TableGrid"/>
        <w:tblW w:w="850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813"/>
        <w:gridCol w:w="1844"/>
        <w:gridCol w:w="1845"/>
      </w:tblGrid>
      <w:tr>
        <w:trPr/>
        <w:tc>
          <w:tcPr>
            <w:tcW w:w="481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Показатель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 xml:space="preserve">Процент, % 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Значение (руб.)</w:t>
            </w:r>
          </w:p>
        </w:tc>
      </w:tr>
      <w:tr>
        <w:trPr/>
        <w:tc>
          <w:tcPr>
            <w:tcW w:w="481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Основная заработная плата (ОЗП)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551 600</w:t>
            </w:r>
          </w:p>
        </w:tc>
      </w:tr>
      <w:tr>
        <w:trPr/>
        <w:tc>
          <w:tcPr>
            <w:tcW w:w="481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Дополнительная заработная плата (ДЗП)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20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110 320</w:t>
            </w:r>
          </w:p>
        </w:tc>
      </w:tr>
      <w:tr>
        <w:trPr/>
        <w:tc>
          <w:tcPr>
            <w:tcW w:w="4813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Фонд оплаты труда (ФОТ)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661 920</w:t>
            </w:r>
          </w:p>
        </w:tc>
      </w:tr>
    </w:tbl>
    <w:p>
      <w:pPr>
        <w:pStyle w:val="Normal"/>
        <w:spacing w:lineRule="auto" w:line="360" w:before="34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фонд оплаты труда составляет 661 920 рублей.</w:t>
      </w:r>
    </w:p>
    <w:p>
      <w:pPr>
        <w:pStyle w:val="Normal"/>
        <w:spacing w:lineRule="auto" w:line="360"/>
        <w:ind w:firstLine="720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 соответствии со статьей 425 НК РФ в 2026 году для лиц, которые производят выплаты и вознаграждения физическим лицам (за исключением плательщиков, для которых установлены пониженные тарифы страховых взносов), установлен Единый тариф страховых взносов 30 % по направлениям: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обязательное пенсионное страхование (ОПС);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обязательное социальное страхование на случай временной нетрудоспособности и в связи с материнством (ОСС);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обязательное медицинское страхование (ОМС).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страховые взносы (СВ) во внебюджетные фонды составят 30,2 % от фонда оплаты труда (ФОТ), который состоит из основной и дополнительной заработной платы, и равны 199 900 рублей.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проектирования и разработки ИТ-решения также формируются затраты, связанные с приобретением материалов, покупных изделий, комплектующих изделий и других материальных ценностей, расходуемых непосредственно.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материалов представлена в Таблице А.5.</w:t>
      </w:r>
    </w:p>
    <w:p>
      <w:pPr>
        <w:pStyle w:val="Tablename"/>
        <w:rPr>
          <w:lang w:val="en-US"/>
        </w:rPr>
      </w:pPr>
      <w:r>
        <w:rPr/>
        <w:t>Таблица А.5 – Расчет стоимости материалов</w:t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357"/>
        <w:gridCol w:w="1904"/>
        <w:gridCol w:w="2035"/>
        <w:gridCol w:w="1654"/>
        <w:gridCol w:w="1401"/>
      </w:tblGrid>
      <w:tr>
        <w:trPr/>
        <w:tc>
          <w:tcPr>
            <w:tcW w:w="235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Наименование</w:t>
            </w: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материалов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Единицы</w:t>
            </w: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измерения</w:t>
            </w:r>
          </w:p>
        </w:tc>
        <w:tc>
          <w:tcPr>
            <w:tcW w:w="2035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Количество</w:t>
            </w:r>
          </w:p>
        </w:tc>
        <w:tc>
          <w:tcPr>
            <w:tcW w:w="165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Цена за</w:t>
            </w: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единицу (руб.)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Стоимость</w:t>
            </w:r>
            <w:r>
              <w:rPr>
                <w:b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(руб.)</w:t>
            </w:r>
          </w:p>
        </w:tc>
      </w:tr>
      <w:tr>
        <w:trPr/>
        <w:tc>
          <w:tcPr>
            <w:tcW w:w="235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Флеш-накопитель USB 64 ГБ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шт.</w:t>
            </w:r>
          </w:p>
        </w:tc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65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550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550</w:t>
            </w:r>
          </w:p>
        </w:tc>
      </w:tr>
      <w:tr>
        <w:trPr/>
        <w:tc>
          <w:tcPr>
            <w:tcW w:w="235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Бумага А4 (500 листов)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пачка</w:t>
            </w:r>
          </w:p>
        </w:tc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65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438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438</w:t>
            </w:r>
          </w:p>
        </w:tc>
      </w:tr>
      <w:tr>
        <w:trPr/>
        <w:tc>
          <w:tcPr>
            <w:tcW w:w="235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Картридж для лазерного принтера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шт.</w:t>
            </w:r>
          </w:p>
        </w:tc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65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4 150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4 150</w:t>
            </w:r>
          </w:p>
        </w:tc>
      </w:tr>
      <w:tr>
        <w:trPr/>
        <w:tc>
          <w:tcPr>
            <w:tcW w:w="235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Канцелярский набор</w:t>
            </w:r>
          </w:p>
        </w:tc>
        <w:tc>
          <w:tcPr>
            <w:tcW w:w="190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шт.</w:t>
            </w:r>
          </w:p>
        </w:tc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65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577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577</w:t>
            </w:r>
          </w:p>
        </w:tc>
      </w:tr>
      <w:tr>
        <w:trPr/>
        <w:tc>
          <w:tcPr>
            <w:tcW w:w="7950" w:type="dxa"/>
            <w:gridSpan w:val="4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Итого материалов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5 715</w:t>
            </w:r>
          </w:p>
        </w:tc>
      </w:tr>
      <w:tr>
        <w:trPr/>
        <w:tc>
          <w:tcPr>
            <w:tcW w:w="7950" w:type="dxa"/>
            <w:gridSpan w:val="4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Транспортно-заготовительные расходы (10 %)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572</w:t>
            </w:r>
          </w:p>
        </w:tc>
      </w:tr>
      <w:tr>
        <w:trPr/>
        <w:tc>
          <w:tcPr>
            <w:tcW w:w="7950" w:type="dxa"/>
            <w:gridSpan w:val="4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Итого</w:t>
            </w:r>
          </w:p>
        </w:tc>
        <w:tc>
          <w:tcPr>
            <w:tcW w:w="140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  <w:lang w:val="en-US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6287</w:t>
            </w:r>
          </w:p>
        </w:tc>
      </w:tr>
    </w:tbl>
    <w:p>
      <w:pPr>
        <w:pStyle w:val="Normal"/>
        <w:spacing w:lineRule="auto" w:line="360" w:before="34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сумма затрат по материалам составляет 6 287руб.</w:t>
      </w:r>
    </w:p>
    <w:p>
      <w:pPr>
        <w:pStyle w:val="14151"/>
        <w:rPr/>
      </w:pPr>
      <w:r>
        <w:rPr/>
        <w:t xml:space="preserve">Программно-аппаратный комплекс в рамках проекта не разрабатывается; результатом проекта является программное обеспечение (веб-приложение), не требующее изготовления отдельных комплектующих. В связи с этим затраты по статье «комплектующие» отсутствуют. </w:t>
      </w:r>
    </w:p>
    <w:p>
      <w:pPr>
        <w:pStyle w:val="14151"/>
        <w:rPr/>
      </w:pPr>
      <w:r>
        <w:rPr/>
        <w:t>В состав технического обеспечения для эксплуатации ИТ-решения входят: сервер приложений, сервер под реляционное хранилище данных, рабочая станция администратора и многофункциональное устройство (МФУ). Программное обеспечение, используемое в проекте (Python, Django, PostgreSQL, React, Docker, FastAPI), распространяется по открытым лицензиям и не требует приобретения. Так как ИТ-инфраструктура на объекте исследования (на кафедре) уже имеется, затраты по статье «приобретение компьютерной техники и ПО» отсутствуют.</w:t>
      </w:r>
    </w:p>
    <w:p>
      <w:pPr>
        <w:pStyle w:val="14151"/>
        <w:rPr/>
      </w:pPr>
      <w:r>
        <w:rPr/>
        <w:t>Амортизационные отчисления по используемому в проекте оборудованию определяются на основе балансовой стоимости основных фондов, а также с учетом установленных норм. Начисление амортизации происходит на основные фонды стоимостью от 100 тыс. руб. и выше, если иное не уставлено в учётной политики организации.  Способ начисления амортизации также определятся учетной политикой организации. Предполагается, что установлен линейный способ начисления амортизации.</w:t>
      </w:r>
    </w:p>
    <w:p>
      <w:pPr>
        <w:pStyle w:val="14151"/>
        <w:rPr/>
      </w:pPr>
      <w:r>
        <w:rPr/>
        <w:t>Амортизационные отчисления определяются по формуле: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А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С</m:t>
            </m:r>
          </m:num>
          <m:den>
            <m:r>
              <w:rPr>
                <w:rFonts w:ascii="Cambria Math" w:hAnsi="Cambria Math"/>
              </w:rPr>
              <m:t xml:space="preserve">Т</m:t>
            </m:r>
          </m:den>
        </m:f>
        <m:r>
          <w:rPr>
            <w:rFonts w:ascii="Cambria Math" w:hAnsi="Cambria Math"/>
          </w:rPr>
          <m:t xml:space="preserve">,</m:t>
        </m:r>
      </m:oMath>
      <w:r>
        <w:rPr>
          <w:sz w:val="28"/>
          <w:szCs w:val="28"/>
        </w:rPr>
        <w:t xml:space="preserve">                                                                    </w:t>
      </w:r>
      <w:r>
        <w:rPr>
          <w:sz w:val="28"/>
          <w:szCs w:val="28"/>
        </w:rPr>
        <w:t>(А.2)</w:t>
      </w:r>
    </w:p>
    <w:p>
      <w:pPr>
        <w:pStyle w:val="14151"/>
        <w:rPr/>
      </w:pPr>
      <w:r>
        <w:rPr/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А</m:t>
        </m:r>
      </m:oMath>
      <w:r>
        <w:rPr/>
        <w:t>– сумма амортизационных отчислений за месяц, руб.;</w:t>
      </w:r>
    </w:p>
    <w:p>
      <w:pPr>
        <w:pStyle w:val="14151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С</m:t>
        </m:r>
      </m:oMath>
      <w:r>
        <w:rPr/>
        <w:t xml:space="preserve">– </w:t>
      </w:r>
      <w:r>
        <w:rPr/>
        <w:t>первоначальная стоимость объекта, руб;</w:t>
      </w:r>
    </w:p>
    <w:p>
      <w:pPr>
        <w:pStyle w:val="14151"/>
        <w:rPr/>
      </w:pPr>
      <w:r>
        <w:rPr/>
        <w:t>Т – срок полезного использования, мес.</w:t>
      </w:r>
    </w:p>
    <w:p>
      <w:pPr>
        <w:pStyle w:val="Normal"/>
        <w:spacing w:lineRule="auto" w:line="360" w:before="0" w:after="0"/>
        <w:ind w:firstLine="720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 Таблице А.6 представлены расчеты амортизационных отчислений по использованному во время разработки проекта оборудованию.</w:t>
      </w:r>
    </w:p>
    <w:p>
      <w:pPr>
        <w:pStyle w:val="Normal"/>
        <w:spacing w:lineRule="auto" w:line="360" w:before="0" w:after="0"/>
        <w:ind w:firstLine="720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p>
      <w:pPr>
        <w:pStyle w:val="Normal"/>
        <w:spacing w:lineRule="auto" w:line="360" w:before="0" w:after="0"/>
        <w:ind w:firstLine="720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p>
      <w:pPr>
        <w:pStyle w:val="Normal"/>
        <w:spacing w:lineRule="auto" w:line="360" w:before="0" w:after="0"/>
        <w:ind w:firstLine="720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p>
      <w:pPr>
        <w:pStyle w:val="Normal"/>
        <w:spacing w:lineRule="auto" w:line="360" w:before="0" w:after="0"/>
        <w:ind w:firstLine="720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p>
      <w:pPr>
        <w:pStyle w:val="Normal"/>
        <w:spacing w:lineRule="auto" w:line="360" w:before="0" w:after="0"/>
        <w:ind w:firstLine="720"/>
        <w:contextualSpacing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p>
      <w:pPr>
        <w:pStyle w:val="Tablename"/>
        <w:rPr>
          <w:lang w:val="en-US"/>
        </w:rPr>
      </w:pPr>
      <w:r>
        <w:rPr/>
        <w:t>Таблица А.6 – Амортизационные отчисления</w:t>
      </w:r>
    </w:p>
    <w:tbl>
      <w:tblPr>
        <w:tblStyle w:val="TableGrid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838"/>
        <w:gridCol w:w="1842"/>
        <w:gridCol w:w="1984"/>
        <w:gridCol w:w="1560"/>
        <w:gridCol w:w="1134"/>
        <w:gridCol w:w="992"/>
      </w:tblGrid>
      <w:tr>
        <w:trPr>
          <w:trHeight w:val="474" w:hRule="atLeast"/>
        </w:trPr>
        <w:tc>
          <w:tcPr>
            <w:tcW w:w="1838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left"/>
              <w:rPr>
                <w:rFonts w:eastAsia="Calibri"/>
                <w:b/>
                <w:b/>
                <w:sz w:val="24"/>
                <w:szCs w:val="24"/>
              </w:rPr>
            </w:pPr>
            <w:r>
              <w:rPr>
                <w:rFonts w:eastAsia="Calibri"/>
                <w:b/>
                <w:kern w:val="0"/>
                <w:sz w:val="24"/>
                <w:szCs w:val="24"/>
                <w:lang w:val="ru-RU" w:eastAsia="en-US" w:bidi="ar-SA"/>
              </w:rPr>
              <w:t>Наименование оборудования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left"/>
              <w:rPr>
                <w:rFonts w:eastAsia="Calibri"/>
                <w:b/>
                <w:b/>
                <w:sz w:val="24"/>
                <w:szCs w:val="24"/>
              </w:rPr>
            </w:pPr>
            <w:r>
              <w:rPr>
                <w:rFonts w:eastAsia="Calibri"/>
                <w:b/>
                <w:kern w:val="0"/>
                <w:sz w:val="24"/>
                <w:szCs w:val="24"/>
                <w:lang w:val="ru-RU" w:eastAsia="en-US" w:bidi="ar-SA"/>
              </w:rPr>
              <w:t>Первоначаль-ная стоимость объекта, руб.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left"/>
              <w:rPr>
                <w:rFonts w:eastAsia="Calibri"/>
                <w:b/>
                <w:b/>
                <w:sz w:val="24"/>
                <w:szCs w:val="24"/>
              </w:rPr>
            </w:pPr>
            <w:r>
              <w:rPr>
                <w:rFonts w:eastAsia="Calibri"/>
                <w:b/>
                <w:kern w:val="0"/>
                <w:sz w:val="24"/>
                <w:szCs w:val="24"/>
                <w:lang w:val="ru-RU" w:eastAsia="en-US" w:bidi="ar-SA"/>
              </w:rPr>
              <w:t>Срок полезного использования, мес.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left"/>
              <w:rPr>
                <w:rFonts w:eastAsia="Calibri"/>
                <w:b/>
                <w:b/>
                <w:sz w:val="24"/>
                <w:szCs w:val="24"/>
              </w:rPr>
            </w:pPr>
            <w:r>
              <w:rPr>
                <w:rFonts w:eastAsia="Calibri"/>
                <w:b/>
                <w:kern w:val="0"/>
                <w:sz w:val="24"/>
                <w:szCs w:val="24"/>
                <w:lang w:val="ru-RU" w:eastAsia="en-US" w:bidi="ar-SA"/>
              </w:rPr>
              <w:t>Месячная сумма аморти-зационных отчислений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left"/>
              <w:rPr>
                <w:rFonts w:eastAsia="Calibri"/>
                <w:b/>
                <w:b/>
                <w:sz w:val="24"/>
                <w:szCs w:val="24"/>
              </w:rPr>
            </w:pPr>
            <w:r>
              <w:rPr>
                <w:rFonts w:eastAsia="Calibri"/>
                <w:b/>
                <w:kern w:val="0"/>
                <w:sz w:val="24"/>
                <w:szCs w:val="24"/>
                <w:lang w:val="ru-RU" w:eastAsia="en-US" w:bidi="ar-SA"/>
              </w:rPr>
              <w:t>Период эксплу-атации в месяцах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left"/>
              <w:rPr>
                <w:rFonts w:eastAsia="Calibri"/>
                <w:b/>
                <w:b/>
                <w:sz w:val="24"/>
                <w:szCs w:val="24"/>
              </w:rPr>
            </w:pPr>
            <w:r>
              <w:rPr>
                <w:rFonts w:eastAsia="Calibri"/>
                <w:b/>
                <w:kern w:val="0"/>
                <w:sz w:val="24"/>
                <w:szCs w:val="24"/>
                <w:lang w:val="ru-RU" w:eastAsia="en-US" w:bidi="ar-SA"/>
              </w:rPr>
              <w:t>Сумма, руб.</w:t>
            </w:r>
          </w:p>
        </w:tc>
      </w:tr>
      <w:tr>
        <w:trPr>
          <w:trHeight w:val="490" w:hRule="atLeast"/>
        </w:trPr>
        <w:tc>
          <w:tcPr>
            <w:tcW w:w="183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Сервер приложений системы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400 000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36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11 111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44 444</w:t>
            </w:r>
          </w:p>
        </w:tc>
      </w:tr>
      <w:tr>
        <w:trPr>
          <w:trHeight w:val="490" w:hRule="atLeast"/>
        </w:trPr>
        <w:tc>
          <w:tcPr>
            <w:tcW w:w="183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Сервер под реляционное хранилище данных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206 000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36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5 722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22 889</w:t>
            </w:r>
          </w:p>
        </w:tc>
      </w:tr>
      <w:tr>
        <w:trPr>
          <w:trHeight w:val="490" w:hRule="atLeast"/>
        </w:trPr>
        <w:tc>
          <w:tcPr>
            <w:tcW w:w="183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i/>
                <w:i/>
                <w:sz w:val="24"/>
              </w:rPr>
            </w:pPr>
            <w:r>
              <w:rPr>
                <w:rFonts w:eastAsia="Calibri"/>
                <w:bCs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Компьютер разработчика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105 000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36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2 917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11 667</w:t>
            </w:r>
          </w:p>
        </w:tc>
      </w:tr>
      <w:tr>
        <w:trPr>
          <w:trHeight w:val="490" w:hRule="atLeast"/>
        </w:trPr>
        <w:tc>
          <w:tcPr>
            <w:tcW w:w="1838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i/>
                <w:i/>
                <w:sz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МФУ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107 000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60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1 783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i/>
                <w:i/>
                <w:sz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7 132</w:t>
            </w:r>
          </w:p>
        </w:tc>
      </w:tr>
      <w:tr>
        <w:trPr>
          <w:trHeight w:val="490" w:hRule="atLeast"/>
        </w:trPr>
        <w:tc>
          <w:tcPr>
            <w:tcW w:w="8358" w:type="dxa"/>
            <w:gridSpan w:val="5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Итого:</w:t>
            </w:r>
          </w:p>
        </w:tc>
        <w:tc>
          <w:tcPr>
            <w:tcW w:w="992" w:type="dxa"/>
            <w:tcBorders/>
          </w:tcPr>
          <w:p>
            <w:pPr>
              <w:pStyle w:val="Normal"/>
              <w:widowControl w:val="false"/>
              <w:spacing w:before="0" w:after="0"/>
              <w:contextualSpacing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86 132</w:t>
            </w:r>
          </w:p>
        </w:tc>
      </w:tr>
    </w:tbl>
    <w:p>
      <w:pPr>
        <w:pStyle w:val="Normal"/>
        <w:spacing w:lineRule="auto" w:line="360" w:before="34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сумма амортизационных отчислений составит 86 132 руб.</w:t>
      </w:r>
    </w:p>
    <w:p>
      <w:pPr>
        <w:pStyle w:val="14151"/>
        <w:rPr/>
      </w:pPr>
      <w:r>
        <w:rPr/>
        <w:t xml:space="preserve">В рамках проектирования и разработки ИТ-решения под эксплуатационными расходами понимаются затраты на электроэнергию. </w:t>
      </w:r>
    </w:p>
    <w:p>
      <w:pPr>
        <w:pStyle w:val="14151"/>
        <w:rPr/>
      </w:pPr>
      <w:r>
        <w:rPr/>
        <w:t>Из техники в работе используются серверы и компьютер разработчика. Серверы функционируют в непрерывном режиме на протяжении всего периода разработки (126 календарных дней, или 3 024 часа), компьютер разработчика используется в рабочее время, согласно таблице А.1 это время составляет 816 часов (102 рабочих дня по 8 часов). Стоимость 1 кВт электроэнергии в Москве равна 8 руб. 00 коп по одноставочному тарифу для физических лиц. Расчет эксплуатационных расходов представлен в Таблице А.7.</w:t>
      </w:r>
    </w:p>
    <w:p>
      <w:pPr>
        <w:pStyle w:val="Normal"/>
        <w:rPr>
          <w:rFonts w:eastAsia="Calibri" w:eastAsiaTheme="minorHAnsi"/>
          <w:sz w:val="28"/>
          <w:szCs w:val="28"/>
        </w:rPr>
      </w:pPr>
      <w:r>
        <w:rPr>
          <w:rFonts w:eastAsia="Calibri" w:eastAsiaTheme="minorHAnsi"/>
          <w:sz w:val="28"/>
          <w:szCs w:val="28"/>
        </w:rPr>
      </w:r>
    </w:p>
    <w:p>
      <w:pPr>
        <w:pStyle w:val="Tablename"/>
        <w:rPr/>
      </w:pPr>
      <w:r>
        <w:rPr/>
        <w:t>Таблица А.7 – Расчет эксплуатационных расходов</w:t>
      </w:r>
    </w:p>
    <w:tbl>
      <w:tblPr>
        <w:tblStyle w:val="21"/>
        <w:tblW w:w="920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071"/>
        <w:gridCol w:w="1617"/>
        <w:gridCol w:w="2119"/>
        <w:gridCol w:w="1418"/>
        <w:gridCol w:w="1984"/>
      </w:tblGrid>
      <w:tr>
        <w:trPr/>
        <w:tc>
          <w:tcPr>
            <w:tcW w:w="2071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Наименование техники</w:t>
            </w:r>
          </w:p>
        </w:tc>
        <w:tc>
          <w:tcPr>
            <w:tcW w:w="161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Мощность, кВт</w:t>
            </w:r>
          </w:p>
        </w:tc>
        <w:tc>
          <w:tcPr>
            <w:tcW w:w="211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Время использования, ч.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Стоимость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 кВт, руб.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Расходы, руб.</w:t>
            </w:r>
          </w:p>
        </w:tc>
      </w:tr>
      <w:tr>
        <w:trPr/>
        <w:tc>
          <w:tcPr>
            <w:tcW w:w="207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Сервер</w:t>
            </w:r>
          </w:p>
        </w:tc>
        <w:tc>
          <w:tcPr>
            <w:tcW w:w="16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0,5</w:t>
            </w:r>
          </w:p>
        </w:tc>
        <w:tc>
          <w:tcPr>
            <w:tcW w:w="211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3 024</w:t>
            </w:r>
          </w:p>
        </w:tc>
        <w:tc>
          <w:tcPr>
            <w:tcW w:w="1418" w:type="dxa"/>
            <w:vMerge w:val="restart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0"/>
                <w:szCs w:val="20"/>
                <w:shd w:fill="FFFFFF" w:val="clear"/>
                <w:lang w:val="ru-RU" w:eastAsia="en-US" w:bidi="ar-SA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12 096,00</w:t>
            </w:r>
          </w:p>
        </w:tc>
      </w:tr>
      <w:tr>
        <w:trPr/>
        <w:tc>
          <w:tcPr>
            <w:tcW w:w="207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Рабочая станция</w:t>
            </w:r>
          </w:p>
        </w:tc>
        <w:tc>
          <w:tcPr>
            <w:tcW w:w="16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0,3</w:t>
            </w:r>
          </w:p>
        </w:tc>
        <w:tc>
          <w:tcPr>
            <w:tcW w:w="211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 xml:space="preserve">816 </w:t>
            </w:r>
          </w:p>
        </w:tc>
        <w:tc>
          <w:tcPr>
            <w:tcW w:w="1418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highlight w:val="yellow"/>
                <w:shd w:fill="FFFFFF" w:val="clear"/>
              </w:rPr>
            </w:pPr>
            <w:r>
              <w:rPr>
                <w:rFonts w:eastAsia="Calibri"/>
                <w:bCs/>
                <w:color w:val="000000"/>
                <w:kern w:val="0"/>
                <w:sz w:val="20"/>
                <w:szCs w:val="20"/>
                <w:highlight w:val="yellow"/>
                <w:shd w:fill="FFFFFF" w:val="clear"/>
                <w:lang w:val="ru-RU" w:eastAsia="en-US" w:bidi="ar-SA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1 958,40</w:t>
            </w:r>
          </w:p>
        </w:tc>
      </w:tr>
      <w:tr>
        <w:trPr/>
        <w:tc>
          <w:tcPr>
            <w:tcW w:w="2071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МФУ</w:t>
            </w:r>
          </w:p>
        </w:tc>
        <w:tc>
          <w:tcPr>
            <w:tcW w:w="1617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0,12</w:t>
            </w:r>
          </w:p>
        </w:tc>
        <w:tc>
          <w:tcPr>
            <w:tcW w:w="2119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bCs/>
                <w:color w:val="000000"/>
                <w:kern w:val="0"/>
                <w:sz w:val="20"/>
                <w:szCs w:val="20"/>
                <w:shd w:fill="FFFFFF" w:val="clear"/>
                <w:lang w:val="ru-RU" w:eastAsia="en-US" w:bidi="ar-SA"/>
              </w:rPr>
              <w:t>10</w:t>
            </w:r>
          </w:p>
        </w:tc>
        <w:tc>
          <w:tcPr>
            <w:tcW w:w="1418" w:type="dxa"/>
            <w:vMerge w:val="continue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highlight w:val="yellow"/>
                <w:shd w:fill="FFFFFF" w:val="clear"/>
              </w:rPr>
            </w:pPr>
            <w:r>
              <w:rPr>
                <w:rFonts w:eastAsia="Calibri"/>
                <w:bCs/>
                <w:color w:val="000000"/>
                <w:kern w:val="0"/>
                <w:sz w:val="20"/>
                <w:szCs w:val="20"/>
                <w:highlight w:val="yellow"/>
                <w:shd w:fill="FFFFFF" w:val="clear"/>
                <w:lang w:val="ru-RU" w:eastAsia="en-US" w:bidi="ar-SA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9,60</w:t>
            </w:r>
          </w:p>
        </w:tc>
      </w:tr>
      <w:tr>
        <w:trPr/>
        <w:tc>
          <w:tcPr>
            <w:tcW w:w="7225" w:type="dxa"/>
            <w:gridSpan w:val="4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Cs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Примерные общие прочие эксплуатационные расходы: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Cs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14 064</w:t>
            </w:r>
          </w:p>
        </w:tc>
      </w:tr>
    </w:tbl>
    <w:p>
      <w:pPr>
        <w:pStyle w:val="Normal"/>
        <w:spacing w:lineRule="auto" w:line="360" w:before="34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расчетные общие прочие эксплуатационные расходы составляют 14 064 рублей. </w:t>
      </w:r>
    </w:p>
    <w:p>
      <w:pPr>
        <w:pStyle w:val="14151"/>
        <w:rPr/>
      </w:pPr>
      <w:r>
        <w:rPr/>
        <w:t>К накладным расходам (НР) относятся расходы на содержание и ремонт зданий, сооружений, оборудования, инвентаря. Это затраты, сопутствующие основному производству, но не связанные с ним напрямую, не входящие в стоимость труда и материалов.</w:t>
      </w:r>
    </w:p>
    <w:p>
      <w:pPr>
        <w:pStyle w:val="14151"/>
        <w:rPr/>
      </w:pPr>
      <w:r>
        <w:rPr/>
        <w:t>В рамках реализации проекта это могут быть расходы, связанные с содержанием и арендой площадей, с приобретением расходных материалов для офиса, транспортными расходами, оплатой консультационных, информационных и клиринговых услуг, а также с командировочными расходами.</w:t>
      </w:r>
    </w:p>
    <w:p>
      <w:pPr>
        <w:pStyle w:val="14151"/>
        <w:rPr/>
      </w:pPr>
      <w:r>
        <w:rPr/>
        <w:t>Сумма данных расходов определяется процентом от суммы основной заработной платы (ОЗП), в данном проекте они принимаются равными 100%.</w:t>
      </w:r>
    </w:p>
    <w:p>
      <w:pPr>
        <w:pStyle w:val="Normal"/>
        <w:spacing w:lineRule="auto" w:line="360"/>
        <w:ind w:firstLine="720"/>
        <w:jc w:val="center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НР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551</m:t>
          </m:r>
          <m:r>
            <w:rPr>
              <w:rFonts w:ascii="Cambria Math" w:hAnsi="Cambria Math"/>
            </w:rPr>
            <m:t xml:space="preserve">600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551</m:t>
          </m:r>
          <m:r>
            <w:rPr>
              <w:rFonts w:ascii="Cambria Math" w:hAnsi="Cambria Math"/>
            </w:rPr>
            <m:t xml:space="preserve">600</m:t>
          </m:r>
          <m:r>
            <w:rPr>
              <w:rFonts w:ascii="Cambria Math" w:hAnsi="Cambria Math"/>
            </w:rPr>
            <m:t xml:space="preserve">руб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14151"/>
        <w:rPr/>
      </w:pPr>
      <w:r>
        <w:rPr/>
        <w:t xml:space="preserve">Накладные расходы составят 551 600 руб.  </w:t>
      </w:r>
    </w:p>
    <w:p>
      <w:pPr>
        <w:pStyle w:val="14151"/>
        <w:rPr/>
      </w:pPr>
      <w:r>
        <w:rPr/>
        <w:t>Вышеперечисленные статьи затрат и результаты расчетов по ним обобщены в Таблицу А.8.</w:t>
      </w:r>
    </w:p>
    <w:p>
      <w:pPr>
        <w:pStyle w:val="Tablename"/>
        <w:rPr/>
      </w:pPr>
      <w:r>
        <w:rPr/>
        <w:t>Таблица А.8 – Полная себестоимость проекта</w:t>
      </w:r>
    </w:p>
    <w:tbl>
      <w:tblPr>
        <w:tblStyle w:val="TableGrid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6267"/>
        <w:gridCol w:w="1835"/>
        <w:gridCol w:w="1249"/>
      </w:tblGrid>
      <w:tr>
        <w:trPr/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Номенклатура статей расходов</w:t>
            </w:r>
          </w:p>
        </w:tc>
        <w:tc>
          <w:tcPr>
            <w:tcW w:w="1835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Расходы (руб.)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Доля расходов, %</w:t>
            </w:r>
          </w:p>
        </w:tc>
      </w:tr>
      <w:tr>
        <w:trPr/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Основная заработная плата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551 600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  <w:t>36,29</w:t>
            </w:r>
          </w:p>
        </w:tc>
      </w:tr>
      <w:tr>
        <w:trPr/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Дополнительная заработная плата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110 320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7,26</w:t>
            </w:r>
          </w:p>
        </w:tc>
      </w:tr>
      <w:tr>
        <w:trPr/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Страховые взносы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199 900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13,15</w:t>
            </w:r>
          </w:p>
        </w:tc>
      </w:tr>
      <w:tr>
        <w:trPr/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Материалы, покупные изделия и полуфабрикаты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6 287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  <w:t>0,41</w:t>
            </w:r>
          </w:p>
        </w:tc>
      </w:tr>
      <w:tr>
        <w:trPr/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Амортизационные отчисления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86 132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  <w:t>5,67</w:t>
            </w:r>
          </w:p>
        </w:tc>
      </w:tr>
      <w:tr>
        <w:trPr/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Эксплуатационные расходы, связанные с использованием компьютерной техники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14 064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/>
                <w:iCs/>
                <w:sz w:val="24"/>
                <w:szCs w:val="24"/>
                <w:lang w:val="en-US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  <w:t>0,93</w:t>
            </w:r>
          </w:p>
        </w:tc>
      </w:tr>
      <w:tr>
        <w:trPr/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Накладные расходы</w:t>
            </w:r>
          </w:p>
        </w:tc>
        <w:tc>
          <w:tcPr>
            <w:tcW w:w="1835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551 600</w:t>
            </w:r>
          </w:p>
        </w:tc>
        <w:tc>
          <w:tcPr>
            <w:tcW w:w="12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2"/>
                <w:szCs w:val="22"/>
                <w:lang w:val="en-US" w:eastAsia="en-US" w:bidi="ar-SA"/>
              </w:rPr>
              <w:t>36,29</w:t>
            </w:r>
          </w:p>
        </w:tc>
      </w:tr>
      <w:tr>
        <w:trPr>
          <w:trHeight w:val="227" w:hRule="atLeast"/>
        </w:trPr>
        <w:tc>
          <w:tcPr>
            <w:tcW w:w="626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Итого:</w:t>
            </w:r>
          </w:p>
        </w:tc>
        <w:tc>
          <w:tcPr>
            <w:tcW w:w="308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1 519 903</w:t>
              <w:tab/>
            </w:r>
          </w:p>
        </w:tc>
      </w:tr>
    </w:tbl>
    <w:p>
      <w:pPr>
        <w:pStyle w:val="Normal"/>
        <w:spacing w:lineRule="auto" w:line="360" w:before="340" w:after="0"/>
        <w:ind w:firstLine="709"/>
        <w:jc w:val="both"/>
        <w:rPr>
          <w:rFonts w:eastAsia="Calibri"/>
          <w:color w:val="000000"/>
          <w:sz w:val="28"/>
          <w:szCs w:val="28"/>
          <w:shd w:fill="FFFFFF" w:val="clear"/>
        </w:rPr>
      </w:pPr>
      <w:r>
        <w:rPr>
          <w:rFonts w:eastAsia="Calibri"/>
          <w:color w:val="000000"/>
          <w:sz w:val="28"/>
          <w:szCs w:val="28"/>
          <w:shd w:fill="FFFFFF" w:val="clear"/>
        </w:rPr>
        <w:t>Круговая диаграмма для визуализации долевого состава статей затрат в общей себестоимости проекта представлена на рисунке А.3.</w:t>
      </w:r>
    </w:p>
    <w:p>
      <w:pPr>
        <w:pStyle w:val="Style11"/>
        <w:rPr/>
      </w:pPr>
      <w:r>
        <w:rPr/>
        <w:drawing>
          <wp:inline distT="0" distB="0" distL="0" distR="0">
            <wp:extent cx="5876925" cy="2847975"/>
            <wp:effectExtent l="0" t="0" r="0" b="0"/>
            <wp:docPr id="3" nam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pStyle w:val="Style11"/>
        <w:rPr>
          <w:lang w:val="ru-RU"/>
        </w:rPr>
      </w:pPr>
      <w:r>
        <w:rPr>
          <w:lang w:val="ru-RU"/>
        </w:rPr>
        <w:t>Рисунок А.3 – Структура затрат по проекту</w:t>
      </w:r>
    </w:p>
    <w:p>
      <w:pPr>
        <w:pStyle w:val="14151"/>
        <w:rPr/>
      </w:pPr>
      <w:r>
        <w:rPr>
          <w:shd w:fill="FFFFFF" w:val="clear"/>
        </w:rPr>
        <w:t xml:space="preserve">Таким образом, в организационно-экономическом обосновании ВКР было реализовано планирование работ по проектированию и разработке ИТ-решения, а также выполнен расчет себестоимости соответствующего проекта. </w:t>
      </w:r>
      <w:r>
        <w:rPr/>
        <w:t>Полная стоимость проекта составляет 1 519 903 рубля.</w:t>
      </w:r>
      <w:bookmarkEnd w:id="0"/>
      <w:bookmarkEnd w:id="1"/>
    </w:p>
    <w:p>
      <w:pPr>
        <w:pStyle w:val="Normal"/>
        <w:rPr/>
      </w:pPr>
      <w:r>
        <w:rPr/>
      </w:r>
    </w:p>
    <w:sectPr>
      <w:footerReference w:type="default" r:id="rId5"/>
      <w:footerReference w:type="first" r:id="rId6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12633246"/>
    </w:sdtPr>
    <w:sdtContent>
      <w:p>
        <w:pPr>
          <w:pStyle w:val="Footer"/>
          <w:jc w:val="center"/>
          <w:rPr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12</w:t>
        </w:r>
        <w:r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2093519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Рисунок %1 – "/>
      <w:lvlJc w:val="left"/>
      <w:pPr>
        <w:tabs>
          <w:tab w:val="num" w:pos="0"/>
        </w:tabs>
        <w:ind w:left="0" w:hanging="0"/>
      </w:pPr>
      <w:rPr>
        <w:sz w:val="28"/>
        <w:i w:val="fals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72c5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3eb"/>
    <w:pPr>
      <w:keepNext w:val="true"/>
      <w:keepLines/>
      <w:widowControl/>
      <w:spacing w:lineRule="auto" w:line="360"/>
      <w:ind w:firstLine="709"/>
      <w:outlineLvl w:val="0"/>
    </w:pPr>
    <w:rPr>
      <w:rFonts w:eastAsia="" w:cs="Times New Roman" w:cstheme="majorBidi" w:eastAsiaTheme="majorEastAsia"/>
      <w:b/>
      <w:sz w:val="36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4963eb"/>
    <w:pPr>
      <w:keepNext w:val="true"/>
      <w:keepLines/>
      <w:widowControl/>
      <w:bidi w:val="0"/>
      <w:spacing w:lineRule="auto" w:line="360" w:before="0" w:after="0"/>
      <w:ind w:firstLine="709"/>
      <w:jc w:val="left"/>
      <w:outlineLvl w:val="1"/>
    </w:pPr>
    <w:rPr>
      <w:rFonts w:ascii="Times New Roman" w:hAnsi="Times New Roman" w:eastAsia="" w:cs="Mangal" w:eastAsiaTheme="majorEastAsia"/>
      <w:b/>
      <w:color w:val="auto"/>
      <w:kern w:val="2"/>
      <w:sz w:val="32"/>
      <w:szCs w:val="23"/>
      <w:lang w:eastAsia="zh-CN" w:bidi="hi-IN" w:val="ru-RU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e7a"/>
    <w:pPr>
      <w:keepNext w:val="true"/>
      <w:keepLines/>
      <w:spacing w:lineRule="auto" w:line="360"/>
      <w:ind w:firstLine="709"/>
      <w:outlineLvl w:val="2"/>
    </w:pPr>
    <w:rPr>
      <w:rFonts w:eastAsia="" w:cs="Times New Roman" w:cstheme="majorBidi" w:eastAsiaTheme="majorEastAsia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7e7a"/>
    <w:pPr>
      <w:keepNext w:val="true"/>
      <w:keepLines/>
      <w:spacing w:before="4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4162"/>
    <w:pPr>
      <w:keepNext w:val="true"/>
      <w:keepLines/>
      <w:widowControl/>
      <w:spacing w:lineRule="auto" w:line="276" w:before="320" w:after="200"/>
      <w:outlineLvl w:val="4"/>
    </w:pPr>
    <w:rPr>
      <w:rFonts w:ascii="Arial" w:hAnsi="Arial" w:eastAsia="Arial" w:cs="Arial"/>
      <w:b/>
      <w:bCs/>
      <w:sz w:val="24"/>
      <w:szCs w:val="24"/>
      <w:lang w:eastAsia="ru-RU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04162"/>
    <w:pPr>
      <w:keepNext w:val="true"/>
      <w:keepLines/>
      <w:widowControl/>
      <w:spacing w:lineRule="auto" w:line="276" w:before="320" w:after="200"/>
      <w:outlineLvl w:val="5"/>
    </w:pPr>
    <w:rPr>
      <w:rFonts w:ascii="Arial" w:hAnsi="Arial" w:eastAsia="Arial" w:cs="Arial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04162"/>
    <w:pPr>
      <w:keepNext w:val="true"/>
      <w:keepLines/>
      <w:widowControl/>
      <w:spacing w:lineRule="auto" w:line="276" w:before="320" w:after="200"/>
      <w:outlineLvl w:val="6"/>
    </w:pPr>
    <w:rPr>
      <w:rFonts w:ascii="Arial" w:hAnsi="Arial" w:eastAsia="Arial" w:cs="Arial"/>
      <w:b/>
      <w:bCs/>
      <w:i/>
      <w:iCs/>
      <w:lang w:eastAsia="ru-R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04162"/>
    <w:pPr>
      <w:keepNext w:val="true"/>
      <w:keepLines/>
      <w:widowControl/>
      <w:spacing w:lineRule="auto" w:line="276" w:before="320" w:after="200"/>
      <w:outlineLvl w:val="7"/>
    </w:pPr>
    <w:rPr>
      <w:rFonts w:ascii="Arial" w:hAnsi="Arial" w:eastAsia="Arial" w:cs="Arial"/>
      <w:i/>
      <w:iCs/>
      <w:lang w:eastAsia="ru-RU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04162"/>
    <w:pPr>
      <w:keepNext w:val="true"/>
      <w:keepLines/>
      <w:widowControl/>
      <w:spacing w:lineRule="auto" w:line="276" w:before="320" w:after="200"/>
      <w:outlineLvl w:val="8"/>
    </w:pPr>
    <w:rPr>
      <w:rFonts w:ascii="Arial" w:hAnsi="Arial" w:eastAsia="Arial" w:cs="Arial"/>
      <w:i/>
      <w:iCs/>
      <w:sz w:val="21"/>
      <w:szCs w:val="21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4963eb"/>
    <w:rPr>
      <w:rFonts w:ascii="Times New Roman" w:hAnsi="Times New Roman" w:eastAsia="" w:cs="Mangal" w:eastAsiaTheme="majorEastAsia"/>
      <w:b/>
      <w:kern w:val="2"/>
      <w:sz w:val="32"/>
      <w:szCs w:val="23"/>
      <w:lang w:eastAsia="zh-CN" w:bidi="hi-IN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4963eb"/>
    <w:rPr>
      <w:rFonts w:ascii="Times New Roman" w:hAnsi="Times New Roman" w:eastAsia="" w:cs="Times New Roman" w:cstheme="majorBidi" w:eastAsiaTheme="majorEastAsia"/>
      <w:b/>
      <w:sz w:val="36"/>
      <w:szCs w:val="32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77e7a"/>
    <w:rPr>
      <w:rFonts w:ascii="Times New Roman" w:hAnsi="Times New Roman" w:eastAsia="Times New Roman" w:cs="Times New Roman"/>
      <w14:ligatures w14:val="none"/>
    </w:rPr>
  </w:style>
  <w:style w:type="character" w:styleId="InternetLink">
    <w:name w:val="Hyperlink"/>
    <w:basedOn w:val="DefaultParagraphFont"/>
    <w:uiPriority w:val="99"/>
    <w:unhideWhenUsed/>
    <w:rsid w:val="00377e7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77e7a"/>
    <w:rPr>
      <w:rFonts w:ascii="Times New Roman" w:hAnsi="Times New Roman" w:eastAsia="" w:cs="Times New Roman" w:cstheme="majorBidi" w:eastAsiaTheme="majorEastAsia"/>
      <w:b/>
      <w:sz w:val="28"/>
      <w:szCs w:val="24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77e7a"/>
    <w:rPr>
      <w:rFonts w:ascii="Calibri Light" w:hAnsi="Calibri Light" w:eastAsia="" w:cs="Times New Roman" w:asciiTheme="majorHAnsi" w:cstheme="majorBidi" w:eastAsiaTheme="majorEastAsia" w:hAnsiTheme="majorHAnsi"/>
      <w:i/>
      <w:iCs/>
      <w:color w:val="2F5496" w:themeColor="accent1" w:themeShade="bf"/>
      <w14:ligatures w14:val="none"/>
    </w:rPr>
  </w:style>
  <w:style w:type="character" w:styleId="VisitedInternetLink">
    <w:name w:val="FollowedHyperlink"/>
    <w:basedOn w:val="DefaultParagraphFont"/>
    <w:uiPriority w:val="99"/>
    <w:semiHidden/>
    <w:unhideWhenUsed/>
    <w:rsid w:val="00377e7a"/>
    <w:rPr>
      <w:color w:val="954F72" w:themeColor="followedHyperlink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377e7a"/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77e7a"/>
    <w:rPr>
      <w:rFonts w:ascii="Times New Roman" w:hAnsi="Times New Roman" w:eastAsia="Times New Roman" w:cs="Times New Roman"/>
      <w14:ligatures w14:val="none"/>
    </w:rPr>
  </w:style>
  <w:style w:type="character" w:styleId="TitleChar" w:customStyle="1">
    <w:name w:val="Title Char"/>
    <w:basedOn w:val="DefaultParagraphFont"/>
    <w:link w:val="Title"/>
    <w:uiPriority w:val="10"/>
    <w:qFormat/>
    <w:rsid w:val="00377e7a"/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BodyTextChar" w:customStyle="1">
    <w:name w:val="Body Text Char"/>
    <w:basedOn w:val="DefaultParagraphFont"/>
    <w:uiPriority w:val="1"/>
    <w:qFormat/>
    <w:rsid w:val="00377e7a"/>
    <w:rPr>
      <w:rFonts w:ascii="Times New Roman" w:hAnsi="Times New Roman" w:eastAsia="Times New Roman" w:cs="Times New Roman"/>
      <w:b/>
      <w:bCs/>
      <w:sz w:val="24"/>
      <w:szCs w:val="24"/>
      <w14:ligatures w14:val="none"/>
    </w:rPr>
  </w:style>
  <w:style w:type="character" w:styleId="Style5" w:customStyle="1">
    <w:name w:val="!!!Обычный Знак"/>
    <w:link w:val="Style10"/>
    <w:qFormat/>
    <w:locked/>
    <w:rsid w:val="00377e7a"/>
    <w:rPr>
      <w:rFonts w:ascii="Times New Roman" w:hAnsi="Times New Roman" w:eastAsia="Times New Roman" w:cs="Times New Roman"/>
      <w:sz w:val="28"/>
      <w:lang w:eastAsia="ru-RU"/>
    </w:rPr>
  </w:style>
  <w:style w:type="character" w:styleId="1415" w:customStyle="1">
    <w:name w:val="Текст14-1.5 Знак"/>
    <w:basedOn w:val="DefaultParagraphFont"/>
    <w:link w:val="14151"/>
    <w:qFormat/>
    <w:rsid w:val="007a0c72"/>
    <w:rPr>
      <w:rFonts w:ascii="Times New Roman" w:hAnsi="Times New Roman" w:cs="Times New Roman"/>
      <w:sz w:val="28"/>
      <w:szCs w:val="28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004162"/>
    <w:rPr>
      <w:rFonts w:ascii="Arial" w:hAnsi="Arial" w:eastAsia="Arial" w:cs="Arial"/>
      <w:b/>
      <w:bCs/>
      <w:sz w:val="24"/>
      <w:szCs w:val="24"/>
      <w:lang w:eastAsia="ru-RU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004162"/>
    <w:rPr>
      <w:rFonts w:ascii="Arial" w:hAnsi="Arial" w:eastAsia="Arial" w:cs="Arial"/>
      <w:b/>
      <w:bCs/>
      <w:lang w:eastAsia="ru-RU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004162"/>
    <w:rPr>
      <w:rFonts w:ascii="Arial" w:hAnsi="Arial" w:eastAsia="Arial" w:cs="Arial"/>
      <w:b/>
      <w:bCs/>
      <w:i/>
      <w:iCs/>
      <w:lang w:eastAsia="ru-RU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004162"/>
    <w:rPr>
      <w:rFonts w:ascii="Arial" w:hAnsi="Arial" w:eastAsia="Arial" w:cs="Arial"/>
      <w:i/>
      <w:iCs/>
      <w:lang w:eastAsia="ru-RU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004162"/>
    <w:rPr>
      <w:rFonts w:ascii="Arial" w:hAnsi="Arial" w:eastAsia="Arial" w:cs="Arial"/>
      <w:i/>
      <w:iCs/>
      <w:sz w:val="21"/>
      <w:szCs w:val="21"/>
      <w:lang w:eastAsia="ru-RU"/>
      <w14:ligatures w14:val="none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04162"/>
    <w:rPr>
      <w:rFonts w:eastAsia="" w:eastAsiaTheme="minorEastAsia"/>
      <w:sz w:val="24"/>
      <w:szCs w:val="24"/>
      <w:lang w:eastAsia="ru-RU"/>
      <w14:ligatures w14:val="none"/>
    </w:rPr>
  </w:style>
  <w:style w:type="character" w:styleId="QuoteChar" w:customStyle="1">
    <w:name w:val="Quote Char"/>
    <w:basedOn w:val="DefaultParagraphFont"/>
    <w:link w:val="Quote"/>
    <w:uiPriority w:val="29"/>
    <w:qFormat/>
    <w:rsid w:val="00004162"/>
    <w:rPr>
      <w:rFonts w:eastAsia="" w:eastAsiaTheme="minorEastAsia"/>
      <w:i/>
      <w:lang w:eastAsia="ru-RU"/>
      <w14:ligatures w14:val="none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04162"/>
    <w:rPr>
      <w:rFonts w:eastAsia="" w:eastAsiaTheme="minorEastAsia"/>
      <w:i/>
      <w:shd w:fill="F2F2F2" w:val="clear"/>
      <w:lang w:eastAsia="ru-RU"/>
      <w14:ligatures w14:val="none"/>
    </w:rPr>
  </w:style>
  <w:style w:type="character" w:styleId="FooterChar1" w:customStyle="1">
    <w:name w:val="Footer Char1"/>
    <w:uiPriority w:val="99"/>
    <w:qFormat/>
    <w:rsid w:val="00004162"/>
    <w:rPr/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004162"/>
    <w:rPr>
      <w:rFonts w:eastAsia="" w:eastAsiaTheme="minorEastAsia"/>
      <w:sz w:val="18"/>
      <w:lang w:eastAsia="ru-RU"/>
      <w14:ligatures w14:val="none"/>
    </w:rPr>
  </w:style>
  <w:style w:type="character" w:styleId="FootnoteCharacters">
    <w:name w:val="Footnote Characters"/>
    <w:basedOn w:val="DefaultParagraphFont"/>
    <w:uiPriority w:val="99"/>
    <w:unhideWhenUsed/>
    <w:qFormat/>
    <w:rsid w:val="00004162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sid w:val="00004162"/>
    <w:rPr>
      <w:rFonts w:eastAsia="" w:eastAsiaTheme="minorEastAsia"/>
      <w:sz w:val="20"/>
      <w:lang w:eastAsia="ru-RU"/>
      <w14:ligatures w14:val="none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004162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04162"/>
    <w:rPr>
      <w:rFonts w:ascii="Tahoma" w:hAnsi="Tahoma" w:eastAsia="" w:cs="Tahoma" w:eastAsiaTheme="minorEastAsia"/>
      <w:sz w:val="16"/>
      <w:szCs w:val="16"/>
      <w:lang w:eastAsia="ru-RU"/>
      <w14:ligatures w14:val="none"/>
    </w:rPr>
  </w:style>
  <w:style w:type="character" w:styleId="Appletabspan" w:customStyle="1">
    <w:name w:val="apple-tab-span"/>
    <w:basedOn w:val="DefaultParagraphFont"/>
    <w:qFormat/>
    <w:rsid w:val="00004162"/>
    <w:rPr/>
  </w:style>
  <w:style w:type="character" w:styleId="Style6" w:customStyle="1">
    <w:name w:val="Рисунок Знак"/>
    <w:basedOn w:val="DefaultParagraphFont"/>
    <w:link w:val="Style11"/>
    <w:qFormat/>
    <w:rsid w:val="00004162"/>
    <w:rPr>
      <w:rFonts w:ascii="Times New Roman" w:hAnsi="Times New Roman" w:eastAsia="Times New Roman" w:cs="Times New Roman"/>
      <w:sz w:val="28"/>
      <w:szCs w:val="20"/>
      <w:lang w:val="en-US" w:eastAsia="ru-RU"/>
      <w14:ligatures w14:val="none"/>
    </w:rPr>
  </w:style>
  <w:style w:type="character" w:styleId="Style7" w:customStyle="1">
    <w:name w:val="Подпись рисунка Знак"/>
    <w:basedOn w:val="Style6"/>
    <w:link w:val="Style12"/>
    <w:qFormat/>
    <w:rsid w:val="00004162"/>
    <w:rPr>
      <w:rFonts w:ascii="Times New Roman" w:hAnsi="Times New Roman" w:eastAsia="Times New Roman" w:cs="Times New Roman"/>
      <w:sz w:val="28"/>
      <w:szCs w:val="20"/>
      <w:lang w:val="en-US" w:eastAsia="ru-RU"/>
      <w14:ligatures w14:val="none"/>
    </w:rPr>
  </w:style>
  <w:style w:type="character" w:styleId="Style8" w:customStyle="1">
    <w:name w:val="Текст отчета Знак"/>
    <w:basedOn w:val="DefaultParagraphFont"/>
    <w:link w:val="Style13"/>
    <w:qFormat/>
    <w:rsid w:val="00004162"/>
    <w:rPr>
      <w:rFonts w:ascii="Times New Roman" w:hAnsi="Times New Roman" w:eastAsia="Calibri" w:cs="Calibri"/>
      <w:sz w:val="28"/>
      <w:lang w:val="en-US" w:eastAsia="ru-RU"/>
      <w14:ligatures w14:val="none"/>
    </w:rPr>
  </w:style>
  <w:style w:type="character" w:styleId="3" w:customStyle="1">
    <w:name w:val="3 Заголовок Знак"/>
    <w:basedOn w:val="Heading3Char"/>
    <w:link w:val="31"/>
    <w:qFormat/>
    <w:rsid w:val="00004162"/>
    <w:rPr>
      <w:rFonts w:ascii="Times New Roman" w:hAnsi="Times New Roman" w:eastAsia="" w:cs="Times New Roman" w:cstheme="majorBidi" w:eastAsiaTheme="majorEastAsia"/>
      <w:b/>
      <w:color w:val="000000" w:themeColor="text1"/>
      <w:sz w:val="28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04162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004162"/>
    <w:rPr>
      <w:color w:val="605E5C"/>
      <w:shd w:fill="E1DFDD" w:val="clear"/>
    </w:rPr>
  </w:style>
  <w:style w:type="character" w:styleId="Style9" w:customStyle="1">
    <w:name w:val="ТАБ_ТЕКСТ Знак"/>
    <w:basedOn w:val="DefaultParagraphFont"/>
    <w:link w:val="Style17"/>
    <w:qFormat/>
    <w:rsid w:val="00004162"/>
    <w:rPr>
      <w:rFonts w:ascii="Times New Roman" w:hAnsi="Times New Roman" w:eastAsia="Times New Roman" w:cs="Times New Roman"/>
      <w:kern w:val="2"/>
      <w:sz w:val="24"/>
      <w:szCs w:val="24"/>
      <w:lang w:eastAsia="ru-RU" w:bidi="hi-IN"/>
      <w14:ligatures w14:val="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0416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04162"/>
    <w:rPr>
      <w:sz w:val="20"/>
      <w:szCs w:val="20"/>
      <w14:ligatures w14:val="non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04162"/>
    <w:rPr>
      <w:b/>
      <w:bCs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004162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qFormat/>
    <w:rsid w:val="00004162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62769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link w:val="BodyTextChar"/>
    <w:uiPriority w:val="1"/>
    <w:unhideWhenUsed/>
    <w:qFormat/>
    <w:rsid w:val="00377e7a"/>
    <w:pPr/>
    <w:rPr>
      <w:b/>
      <w:bCs/>
      <w:sz w:val="24"/>
      <w:szCs w:val="24"/>
    </w:rPr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377e7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377e7a"/>
    <w:pPr>
      <w:outlineLvl w:val="9"/>
    </w:pPr>
    <w:rPr>
      <w:lang w:eastAsia="ru-RU"/>
    </w:rPr>
  </w:style>
  <w:style w:type="paragraph" w:styleId="Contents1">
    <w:name w:val="TOC 1"/>
    <w:basedOn w:val="Normal"/>
    <w:next w:val="Normal"/>
    <w:autoRedefine/>
    <w:uiPriority w:val="39"/>
    <w:unhideWhenUsed/>
    <w:rsid w:val="006a5ac4"/>
    <w:pPr>
      <w:tabs>
        <w:tab w:val="clear" w:pos="708"/>
        <w:tab w:val="right" w:pos="9345" w:leader="dot"/>
      </w:tabs>
      <w:spacing w:lineRule="auto" w:line="360"/>
      <w:jc w:val="both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6a5ac4"/>
    <w:pPr>
      <w:tabs>
        <w:tab w:val="clear" w:pos="708"/>
        <w:tab w:val="right" w:pos="9345" w:leader="dot"/>
      </w:tabs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377e7a"/>
    <w:pPr>
      <w:spacing w:before="0" w:after="100"/>
      <w:ind w:left="440" w:hanging="0"/>
    </w:pPr>
    <w:rPr/>
  </w:style>
  <w:style w:type="paragraph" w:styleId="MyStyle" w:customStyle="1">
    <w:name w:val="MyStyle"/>
    <w:basedOn w:val="Normal"/>
    <w:qFormat/>
    <w:rsid w:val="00377e7a"/>
    <w:pPr>
      <w:widowControl/>
      <w:spacing w:lineRule="auto" w:line="360" w:before="120" w:after="120"/>
      <w:ind w:firstLine="708"/>
      <w:jc w:val="both"/>
    </w:pPr>
    <w:rPr>
      <w:sz w:val="28"/>
      <w:szCs w:val="28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377e7a"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Msonormal" w:customStyle="1">
    <w:name w:val="msonormal"/>
    <w:basedOn w:val="Normal"/>
    <w:qFormat/>
    <w:rsid w:val="00377e7a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377e7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link w:val="TitleChar"/>
    <w:uiPriority w:val="10"/>
    <w:qFormat/>
    <w:rsid w:val="00377e7a"/>
    <w:pPr>
      <w:spacing w:before="9" w:after="0"/>
      <w:ind w:left="20" w:hanging="0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377e7a"/>
    <w:pPr/>
    <w:rPr/>
  </w:style>
  <w:style w:type="paragraph" w:styleId="TableParagraph" w:customStyle="1">
    <w:name w:val="Table Paragraph"/>
    <w:basedOn w:val="Normal"/>
    <w:uiPriority w:val="1"/>
    <w:qFormat/>
    <w:rsid w:val="00377e7a"/>
    <w:pPr/>
    <w:rPr/>
  </w:style>
  <w:style w:type="paragraph" w:styleId="Style10" w:customStyle="1">
    <w:name w:val="!!!Обычный"/>
    <w:basedOn w:val="Normal"/>
    <w:link w:val="Style5"/>
    <w:qFormat/>
    <w:rsid w:val="00377e7a"/>
    <w:pPr>
      <w:widowControl/>
      <w:spacing w:lineRule="auto" w:line="360"/>
      <w:ind w:firstLine="709"/>
      <w:jc w:val="both"/>
    </w:pPr>
    <w:rPr>
      <w:sz w:val="28"/>
      <w:lang w:eastAsia="ru-RU"/>
      <w14:ligatures w14:val="standardContextual"/>
    </w:rPr>
  </w:style>
  <w:style w:type="paragraph" w:styleId="Default" w:customStyle="1">
    <w:name w:val="Default"/>
    <w:qFormat/>
    <w:rsid w:val="00377e7a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ru-RU" w:eastAsia="en-US" w:bidi="ar-SA"/>
      <w14:ligatures w14:val="none"/>
    </w:rPr>
  </w:style>
  <w:style w:type="paragraph" w:styleId="Imagedescription" w:customStyle="1">
    <w:name w:val="Image description"/>
    <w:basedOn w:val="Normal"/>
    <w:qFormat/>
    <w:rsid w:val="002c5ede"/>
    <w:pPr>
      <w:spacing w:before="0" w:after="120"/>
      <w:jc w:val="center"/>
    </w:pPr>
    <w:rPr>
      <w:b/>
      <w:sz w:val="24"/>
      <w:szCs w:val="28"/>
    </w:rPr>
  </w:style>
  <w:style w:type="paragraph" w:styleId="Tablename" w:customStyle="1">
    <w:name w:val="Table name"/>
    <w:basedOn w:val="Default"/>
    <w:qFormat/>
    <w:rsid w:val="00331651"/>
    <w:pPr>
      <w:spacing w:before="120" w:after="0"/>
    </w:pPr>
    <w:rPr>
      <w:i/>
    </w:rPr>
  </w:style>
  <w:style w:type="paragraph" w:styleId="14151" w:customStyle="1">
    <w:name w:val="Текст14-1.5"/>
    <w:basedOn w:val="Normal"/>
    <w:link w:val="1415"/>
    <w:qFormat/>
    <w:rsid w:val="007a0c72"/>
    <w:pPr>
      <w:widowControl/>
      <w:spacing w:lineRule="auto" w:line="360"/>
      <w:ind w:firstLine="709"/>
      <w:jc w:val="both"/>
    </w:pPr>
    <w:rPr>
      <w:rFonts w:eastAsia="Calibri" w:eastAsiaTheme="minorHAnsi"/>
      <w:sz w:val="28"/>
      <w:szCs w:val="28"/>
    </w:rPr>
  </w:style>
  <w:style w:type="paragraph" w:styleId="NoSpacing">
    <w:name w:val="No Spacing"/>
    <w:uiPriority w:val="1"/>
    <w:qFormat/>
    <w:rsid w:val="00004162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Arial"/>
      <w:color w:val="auto"/>
      <w:kern w:val="0"/>
      <w:sz w:val="22"/>
      <w:szCs w:val="22"/>
      <w:lang w:eastAsia="ru-RU" w:val="ru-RU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62"/>
    <w:pPr>
      <w:widowControl/>
      <w:spacing w:lineRule="auto" w:line="276" w:before="200" w:after="200"/>
    </w:pPr>
    <w:rPr>
      <w:rFonts w:ascii="Calibri" w:hAnsi="Calibri" w:eastAsia="" w:cs="Arial" w:asciiTheme="minorHAnsi" w:cstheme="minorBidi" w:eastAsiaTheme="minorEastAsia" w:hAnsiTheme="minorHAnsi"/>
      <w:sz w:val="24"/>
      <w:szCs w:val="24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04162"/>
    <w:pPr>
      <w:widowControl/>
      <w:spacing w:lineRule="auto" w:line="276" w:before="0" w:after="200"/>
      <w:ind w:left="720" w:right="720" w:hanging="0"/>
    </w:pPr>
    <w:rPr>
      <w:rFonts w:ascii="Calibri" w:hAnsi="Calibri" w:eastAsia="" w:cs="Arial" w:asciiTheme="minorHAnsi" w:cstheme="minorBidi" w:eastAsiaTheme="minorEastAsia" w:hAnsiTheme="minorHAnsi"/>
      <w:i/>
      <w:lang w:eastAsia="ru-RU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62"/>
    <w:pPr>
      <w:widowControl/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lineRule="auto" w:line="276" w:before="0" w:after="200"/>
      <w:ind w:left="720" w:right="720" w:hanging="0"/>
    </w:pPr>
    <w:rPr>
      <w:rFonts w:ascii="Calibri" w:hAnsi="Calibri" w:eastAsia="" w:cs="Arial" w:asciiTheme="minorHAnsi" w:cstheme="minorBidi" w:eastAsiaTheme="minorEastAsia" w:hAnsiTheme="minorHAnsi"/>
      <w:i/>
      <w:lang w:eastAsia="ru-RU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004162"/>
    <w:pPr>
      <w:widowControl/>
      <w:spacing w:lineRule="auto" w:line="276" w:before="0" w:after="200"/>
    </w:pPr>
    <w:rPr>
      <w:rFonts w:ascii="Calibri" w:hAnsi="Calibri" w:eastAsia="" w:cs="Arial" w:asciiTheme="minorHAnsi" w:cstheme="minorBidi" w:eastAsiaTheme="minorEastAsia" w:hAnsiTheme="minorHAnsi"/>
      <w:b/>
      <w:bCs/>
      <w:color w:val="4472C4" w:themeColor="accent1"/>
      <w:sz w:val="18"/>
      <w:szCs w:val="18"/>
      <w:lang w:eastAsia="ru-RU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004162"/>
    <w:pPr>
      <w:widowControl/>
      <w:spacing w:before="0" w:after="40"/>
    </w:pPr>
    <w:rPr>
      <w:rFonts w:ascii="Calibri" w:hAnsi="Calibri" w:eastAsia="" w:cs="Arial" w:asciiTheme="minorHAnsi" w:cstheme="minorBidi" w:eastAsiaTheme="minorEastAsia" w:hAnsiTheme="minorHAnsi"/>
      <w:sz w:val="18"/>
      <w:lang w:eastAsia="ru-RU"/>
    </w:rPr>
  </w:style>
  <w:style w:type="paragraph" w:styleId="Endnote">
    <w:name w:val="Endnote Text"/>
    <w:basedOn w:val="Normal"/>
    <w:link w:val="EndnoteTextChar"/>
    <w:uiPriority w:val="99"/>
    <w:semiHidden/>
    <w:unhideWhenUsed/>
    <w:rsid w:val="00004162"/>
    <w:pPr>
      <w:widowControl/>
    </w:pPr>
    <w:rPr>
      <w:rFonts w:ascii="Calibri" w:hAnsi="Calibri" w:eastAsia="" w:cs="Arial" w:asciiTheme="minorHAnsi" w:cstheme="minorBidi" w:eastAsiaTheme="minorEastAsia" w:hAnsiTheme="minorHAnsi"/>
      <w:sz w:val="20"/>
      <w:lang w:eastAsia="ru-RU"/>
    </w:rPr>
  </w:style>
  <w:style w:type="paragraph" w:styleId="Contents4">
    <w:name w:val="TOC 4"/>
    <w:basedOn w:val="Normal"/>
    <w:next w:val="Normal"/>
    <w:uiPriority w:val="39"/>
    <w:unhideWhenUsed/>
    <w:rsid w:val="00004162"/>
    <w:pPr>
      <w:widowControl/>
      <w:spacing w:lineRule="auto" w:line="276" w:before="0" w:after="57"/>
      <w:ind w:left="850" w:hanging="0"/>
    </w:pPr>
    <w:rPr>
      <w:rFonts w:ascii="Calibri" w:hAnsi="Calibri" w:eastAsia="" w:cs="Arial" w:asciiTheme="minorHAnsi" w:cstheme="minorBidi" w:eastAsiaTheme="minorEastAsia" w:hAnsiTheme="minorHAnsi"/>
      <w:lang w:eastAsia="ru-RU"/>
    </w:rPr>
  </w:style>
  <w:style w:type="paragraph" w:styleId="Contents5">
    <w:name w:val="TOC 5"/>
    <w:basedOn w:val="Normal"/>
    <w:next w:val="Normal"/>
    <w:uiPriority w:val="39"/>
    <w:unhideWhenUsed/>
    <w:rsid w:val="00004162"/>
    <w:pPr>
      <w:widowControl/>
      <w:spacing w:lineRule="auto" w:line="276" w:before="0" w:after="57"/>
      <w:ind w:left="1134" w:hanging="0"/>
    </w:pPr>
    <w:rPr>
      <w:rFonts w:ascii="Calibri" w:hAnsi="Calibri" w:eastAsia="" w:cs="Arial" w:asciiTheme="minorHAnsi" w:cstheme="minorBidi" w:eastAsiaTheme="minorEastAsia" w:hAnsiTheme="minorHAnsi"/>
      <w:lang w:eastAsia="ru-RU"/>
    </w:rPr>
  </w:style>
  <w:style w:type="paragraph" w:styleId="Contents6">
    <w:name w:val="TOC 6"/>
    <w:basedOn w:val="Normal"/>
    <w:next w:val="Normal"/>
    <w:uiPriority w:val="39"/>
    <w:unhideWhenUsed/>
    <w:rsid w:val="00004162"/>
    <w:pPr>
      <w:widowControl/>
      <w:spacing w:lineRule="auto" w:line="276" w:before="0" w:after="57"/>
      <w:ind w:left="1417" w:hanging="0"/>
    </w:pPr>
    <w:rPr>
      <w:rFonts w:ascii="Calibri" w:hAnsi="Calibri" w:eastAsia="" w:cs="Arial" w:asciiTheme="minorHAnsi" w:cstheme="minorBidi" w:eastAsiaTheme="minorEastAsia" w:hAnsiTheme="minorHAnsi"/>
      <w:lang w:eastAsia="ru-RU"/>
    </w:rPr>
  </w:style>
  <w:style w:type="paragraph" w:styleId="Contents7">
    <w:name w:val="TOC 7"/>
    <w:basedOn w:val="Normal"/>
    <w:next w:val="Normal"/>
    <w:uiPriority w:val="39"/>
    <w:unhideWhenUsed/>
    <w:rsid w:val="00004162"/>
    <w:pPr>
      <w:widowControl/>
      <w:spacing w:lineRule="auto" w:line="276" w:before="0" w:after="57"/>
      <w:ind w:left="1701" w:hanging="0"/>
    </w:pPr>
    <w:rPr>
      <w:rFonts w:ascii="Calibri" w:hAnsi="Calibri" w:eastAsia="" w:cs="Arial" w:asciiTheme="minorHAnsi" w:cstheme="minorBidi" w:eastAsiaTheme="minorEastAsia" w:hAnsiTheme="minorHAnsi"/>
      <w:lang w:eastAsia="ru-RU"/>
    </w:rPr>
  </w:style>
  <w:style w:type="paragraph" w:styleId="Contents8">
    <w:name w:val="TOC 8"/>
    <w:basedOn w:val="Normal"/>
    <w:next w:val="Normal"/>
    <w:uiPriority w:val="39"/>
    <w:unhideWhenUsed/>
    <w:rsid w:val="00004162"/>
    <w:pPr>
      <w:widowControl/>
      <w:spacing w:lineRule="auto" w:line="276" w:before="0" w:after="57"/>
      <w:ind w:left="1984" w:hanging="0"/>
    </w:pPr>
    <w:rPr>
      <w:rFonts w:ascii="Calibri" w:hAnsi="Calibri" w:eastAsia="" w:cs="Arial" w:asciiTheme="minorHAnsi" w:cstheme="minorBidi" w:eastAsiaTheme="minorEastAsia" w:hAnsiTheme="minorHAnsi"/>
      <w:lang w:eastAsia="ru-RU"/>
    </w:rPr>
  </w:style>
  <w:style w:type="paragraph" w:styleId="Contents9">
    <w:name w:val="TOC 9"/>
    <w:basedOn w:val="Normal"/>
    <w:next w:val="Normal"/>
    <w:uiPriority w:val="39"/>
    <w:unhideWhenUsed/>
    <w:rsid w:val="00004162"/>
    <w:pPr>
      <w:widowControl/>
      <w:spacing w:lineRule="auto" w:line="276" w:before="0" w:after="57"/>
      <w:ind w:left="2268" w:hanging="0"/>
    </w:pPr>
    <w:rPr>
      <w:rFonts w:ascii="Calibri" w:hAnsi="Calibri" w:eastAsia="" w:cs="Arial" w:asciiTheme="minorHAnsi" w:cstheme="minorBidi" w:eastAsiaTheme="minorEastAsia" w:hAnsiTheme="minorHAnsi"/>
      <w:lang w:eastAsia="ru-RU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004162"/>
    <w:pPr>
      <w:widowControl/>
      <w:spacing w:lineRule="auto" w:line="276"/>
    </w:pPr>
    <w:rPr>
      <w:rFonts w:ascii="Calibri" w:hAnsi="Calibri" w:eastAsia="" w:cs="Arial" w:asciiTheme="minorHAnsi" w:cstheme="minorBidi" w:eastAsiaTheme="minorEastAsia" w:hAnsiTheme="minorHAnsi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04162"/>
    <w:pPr>
      <w:widowControl/>
    </w:pPr>
    <w:rPr>
      <w:rFonts w:ascii="Tahoma" w:hAnsi="Tahoma" w:eastAsia="" w:cs="Tahoma" w:eastAsiaTheme="minorEastAsia"/>
      <w:sz w:val="16"/>
      <w:szCs w:val="16"/>
      <w:lang w:eastAsia="ru-RU"/>
    </w:rPr>
  </w:style>
  <w:style w:type="paragraph" w:styleId="NormalWeb">
    <w:name w:val="Normal (Web)"/>
    <w:basedOn w:val="Normal"/>
    <w:uiPriority w:val="99"/>
    <w:unhideWhenUsed/>
    <w:qFormat/>
    <w:rsid w:val="00004162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Style11" w:customStyle="1">
    <w:name w:val="Рисунок"/>
    <w:basedOn w:val="Normal"/>
    <w:next w:val="Style12"/>
    <w:link w:val="Style6"/>
    <w:qFormat/>
    <w:rsid w:val="00004162"/>
    <w:pPr>
      <w:spacing w:lineRule="auto" w:line="360"/>
      <w:jc w:val="center"/>
    </w:pPr>
    <w:rPr>
      <w:sz w:val="28"/>
      <w:szCs w:val="20"/>
      <w:lang w:val="en-US" w:eastAsia="ru-RU"/>
    </w:rPr>
  </w:style>
  <w:style w:type="paragraph" w:styleId="Style12" w:customStyle="1">
    <w:name w:val="Подпись рисунка"/>
    <w:basedOn w:val="Style11"/>
    <w:next w:val="14151"/>
    <w:link w:val="Style7"/>
    <w:qFormat/>
    <w:rsid w:val="00004162"/>
    <w:pPr>
      <w:numPr>
        <w:ilvl w:val="0"/>
        <w:numId w:val="1"/>
      </w:numPr>
      <w:spacing w:lineRule="auto" w:line="240" w:before="0" w:after="360"/>
    </w:pPr>
    <w:rPr/>
  </w:style>
  <w:style w:type="paragraph" w:styleId="Style13" w:customStyle="1">
    <w:name w:val="Текст отчета"/>
    <w:basedOn w:val="Normal"/>
    <w:link w:val="Style8"/>
    <w:qFormat/>
    <w:rsid w:val="00004162"/>
    <w:pPr>
      <w:widowControl/>
      <w:spacing w:lineRule="auto" w:line="360" w:before="0" w:after="0"/>
      <w:ind w:firstLine="709"/>
      <w:contextualSpacing/>
      <w:jc w:val="both"/>
    </w:pPr>
    <w:rPr>
      <w:rFonts w:eastAsia="Calibri" w:cs="Calibri"/>
      <w:sz w:val="28"/>
      <w:lang w:val="en-US" w:eastAsia="ru-RU"/>
    </w:rPr>
  </w:style>
  <w:style w:type="paragraph" w:styleId="31" w:customStyle="1">
    <w:name w:val="3 Заголовок"/>
    <w:basedOn w:val="Heading3"/>
    <w:next w:val="14151"/>
    <w:link w:val="3"/>
    <w:qFormat/>
    <w:rsid w:val="00004162"/>
    <w:pPr>
      <w:widowControl/>
      <w:spacing w:lineRule="auto" w:line="240" w:before="40" w:after="120"/>
    </w:pPr>
    <w:rPr>
      <w:color w:val="000000" w:themeColor="text1"/>
    </w:rPr>
  </w:style>
  <w:style w:type="paragraph" w:styleId="Style14" w:customStyle="1">
    <w:name w:val="Тело"/>
    <w:basedOn w:val="Normal"/>
    <w:qFormat/>
    <w:rsid w:val="00004162"/>
    <w:pPr>
      <w:widowControl/>
      <w:tabs>
        <w:tab w:val="clear" w:pos="708"/>
        <w:tab w:val="left" w:pos="3402" w:leader="none"/>
      </w:tabs>
      <w:spacing w:lineRule="auto" w:line="360"/>
      <w:ind w:firstLine="709"/>
      <w:jc w:val="both"/>
    </w:pPr>
    <w:rPr>
      <w:bCs/>
      <w:sz w:val="28"/>
      <w:szCs w:val="27"/>
      <w:lang w:val="en-US" w:eastAsia="ru-RU"/>
    </w:rPr>
  </w:style>
  <w:style w:type="paragraph" w:styleId="Style15" w:customStyle="1">
    <w:name w:val="ОСН_Т"/>
    <w:basedOn w:val="Normal"/>
    <w:qFormat/>
    <w:rsid w:val="00004162"/>
    <w:pPr>
      <w:widowControl/>
      <w:spacing w:lineRule="auto" w:line="360"/>
      <w:ind w:firstLine="709"/>
      <w:jc w:val="both"/>
    </w:pPr>
    <w:rPr>
      <w:rFonts w:eastAsia="Droid Sans Fallback"/>
      <w:kern w:val="2"/>
      <w:sz w:val="28"/>
      <w:szCs w:val="28"/>
      <w:lang w:eastAsia="zh-CN" w:bidi="hi-IN"/>
    </w:rPr>
  </w:style>
  <w:style w:type="paragraph" w:styleId="Style16" w:customStyle="1">
    <w:name w:val="РИС"/>
    <w:basedOn w:val="Style15"/>
    <w:qFormat/>
    <w:rsid w:val="00004162"/>
    <w:pPr>
      <w:ind w:hanging="0"/>
      <w:jc w:val="center"/>
    </w:pPr>
    <w:rPr>
      <w:b/>
      <w:sz w:val="24"/>
    </w:rPr>
  </w:style>
  <w:style w:type="paragraph" w:styleId="Style17" w:customStyle="1">
    <w:name w:val="ТАБ_ТЕКСТ"/>
    <w:link w:val="Style9"/>
    <w:qFormat/>
    <w:rsid w:val="00004162"/>
    <w:pPr>
      <w:widowControl/>
      <w:bidi w:val="0"/>
      <w:spacing w:lineRule="auto" w:line="240" w:before="0" w:after="0"/>
      <w:ind w:firstLine="567"/>
      <w:jc w:val="center"/>
    </w:pPr>
    <w:rPr>
      <w:rFonts w:ascii="Times New Roman" w:hAnsi="Times New Roman" w:eastAsia="Times New Roman" w:cs="Times New Roman"/>
      <w:color w:val="auto"/>
      <w:kern w:val="2"/>
      <w:sz w:val="24"/>
      <w:szCs w:val="24"/>
      <w:lang w:eastAsia="ru-RU" w:bidi="hi-IN" w:val="ru-RU"/>
      <w14:ligatures w14:val="none"/>
    </w:rPr>
  </w:style>
  <w:style w:type="paragraph" w:styleId="Style18" w:customStyle="1">
    <w:name w:val="ТАБ_ПОД"/>
    <w:next w:val="Style17"/>
    <w:qFormat/>
    <w:rsid w:val="00004162"/>
    <w:pPr>
      <w:widowControl/>
      <w:bidi w:val="0"/>
      <w:spacing w:lineRule="auto" w:line="240" w:before="340" w:after="0"/>
      <w:contextualSpacing/>
      <w:jc w:val="left"/>
    </w:pPr>
    <w:rPr>
      <w:rFonts w:ascii="Times New Roman" w:hAnsi="Times New Roman" w:eastAsia="Times New Roman" w:cs="Times New Roman"/>
      <w:i/>
      <w:color w:val="auto"/>
      <w:kern w:val="0"/>
      <w:sz w:val="24"/>
      <w:szCs w:val="24"/>
      <w:lang w:eastAsia="ru-RU" w:val="ru-RU" w:bidi="ar-SA"/>
      <w14:ligatures w14:val="none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004162"/>
    <w:pPr>
      <w:widowControl/>
      <w:spacing w:before="0" w:after="160"/>
    </w:pPr>
    <w:rPr>
      <w:rFonts w:ascii="Calibri" w:hAnsi="Calibri" w:eastAsia="Calibri" w:cs="Arial" w:asciiTheme="minorHAnsi" w:cstheme="minorBidi" w:eastAsiaTheme="minorHAnsi" w:hAnsiTheme="minorHAnsi"/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04162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f0522d"/>
  </w:style>
  <w:style w:type="numbering" w:styleId="CurrentList2" w:customStyle="1">
    <w:name w:val="Current List2"/>
    <w:uiPriority w:val="99"/>
    <w:qFormat/>
    <w:rsid w:val="00f0522d"/>
  </w:style>
  <w:style w:type="numbering" w:styleId="CurrentList3" w:customStyle="1">
    <w:name w:val="Current List3"/>
    <w:uiPriority w:val="99"/>
    <w:qFormat/>
    <w:rsid w:val="00f0522d"/>
  </w:style>
  <w:style w:type="numbering" w:styleId="CurrentList4" w:customStyle="1">
    <w:name w:val="Current List4"/>
    <w:uiPriority w:val="99"/>
    <w:qFormat/>
    <w:rsid w:val="00f0522d"/>
  </w:style>
  <w:style w:type="numbering" w:styleId="CurrentList5" w:customStyle="1">
    <w:name w:val="Current List5"/>
    <w:uiPriority w:val="99"/>
    <w:qFormat/>
    <w:rsid w:val="00f0522d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77e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qFormat/>
    <w:rsid w:val="00377e7a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PlainTable2">
    <w:name w:val="Plain Table 2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PlainTable4">
    <w:name w:val="Plain Table 4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PlainTable5">
    <w:name w:val="Plain Table 5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GridTable1Light">
    <w:name w:val="Grid Table 1 Light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GridTable2">
    <w:name w:val="Grid Table 2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GridTable3">
    <w:name w:val="Grid Table 3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GridTable4">
    <w:name w:val="Grid Table 4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1">
    <w:name w:val="Grid Table 6 Colorful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1">
    <w:name w:val="Grid Table 6 Colorful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1">
    <w:name w:val="Grid Table 6 Colorful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1">
    <w:name w:val="Grid Table 6 Colorful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1">
    <w:name w:val="Grid Table 6 Colorful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1">
    <w:name w:val="Grid Table 6 Colorful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GridTable7Colorful">
    <w:name w:val="Grid Table 7 Colorful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1">
    <w:name w:val="Grid Table 7 Colorful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1">
    <w:name w:val="Grid Table 7 Colorful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1">
    <w:name w:val="Grid Table 7 Colorful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1">
    <w:name w:val="Grid Table 7 Colorful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1">
    <w:name w:val="Grid Table 7 Colorful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1">
    <w:name w:val="Grid Table 7 Colorful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ListTable1Light">
    <w:name w:val="List Table 1 Light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ListTable2">
    <w:name w:val="List Table 2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ListTable3">
    <w:name w:val="List Table 3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1">
    <w:name w:val="List Table 3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1">
    <w:name w:val="List Table 3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1">
    <w:name w:val="List Table 3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1">
    <w:name w:val="List Table 3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1">
    <w:name w:val="List Table 3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1">
    <w:name w:val="List Table 3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ListTable4">
    <w:name w:val="List Table 4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1">
    <w:name w:val="List Table 6 Colorful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1">
    <w:name w:val="List Table 6 Colorful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1">
    <w:name w:val="List Table 6 Colorful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1">
    <w:name w:val="List Table 6 Colorful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1">
    <w:name w:val="List Table 6 Colorful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1">
    <w:name w:val="List Table 6 Colorful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ListTable7Colorful">
    <w:name w:val="List Table 7 Colorful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1">
    <w:name w:val="List Table 7 Colorful - Accent 1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1">
    <w:name w:val="List Table 7 Colorful - Accent 2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1">
    <w:name w:val="List Table 7 Colorful - Accent 3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1">
    <w:name w:val="List Table 7 Colorful - Accent 4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1">
    <w:name w:val="List Table 7 Colorful - Accent 5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1">
    <w:name w:val="List Table 7 Colorful - Accent 6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004162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1">
    <w:name w:val="Сетка таблицы1"/>
    <w:basedOn w:val="TableNormal"/>
    <w:uiPriority w:val="39"/>
    <w:rsid w:val="00004162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Сетка таблицы9"/>
    <w:basedOn w:val="TableNormal"/>
    <w:uiPriority w:val="39"/>
    <w:rsid w:val="00004162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Сетка таблицы21"/>
    <w:basedOn w:val="TableNormal"/>
    <w:uiPriority w:val="39"/>
    <w:rsid w:val="00004162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chart" Target="charts/chart1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ayout>
        <c:manualLayout>
          <c:layoutTarget val="inner"/>
          <c:xMode val="edge"/>
          <c:yMode val="edge"/>
          <c:x val="0.2669375"/>
          <c:y val="0.129888888888889"/>
          <c:w val="0.43025"/>
          <c:h val="0.5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Затраты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ed7d31"/>
              </a:solidFill>
              <a:ln w="0">
                <a:noFill/>
              </a:ln>
            </c:spPr>
          </c:dPt>
          <c:dPt>
            <c:idx val="1"/>
            <c:spPr>
              <a:solidFill>
                <a:srgbClr val="ffc000"/>
              </a:solidFill>
              <a:ln w="0">
                <a:noFill/>
              </a:ln>
            </c:spPr>
          </c:dPt>
          <c:dPt>
            <c:idx val="2"/>
            <c:spPr>
              <a:solidFill>
                <a:srgbClr val="70ad47"/>
              </a:solidFill>
              <a:ln w="0">
                <a:noFill/>
              </a:ln>
            </c:spPr>
          </c:dPt>
          <c:dPt>
            <c:idx val="3"/>
            <c:spPr>
              <a:solidFill>
                <a:srgbClr val="9e480e"/>
              </a:solidFill>
              <a:ln w="0">
                <a:noFill/>
              </a:ln>
            </c:spPr>
          </c:dPt>
          <c:dPt>
            <c:idx val="4"/>
            <c:spPr>
              <a:solidFill>
                <a:srgbClr val="997300"/>
              </a:solidFill>
              <a:ln w="0">
                <a:noFill/>
              </a:ln>
            </c:spPr>
          </c:dPt>
          <c:dPt>
            <c:idx val="5"/>
            <c:spPr>
              <a:solidFill>
                <a:srgbClr val="43682b"/>
              </a:solidFill>
              <a:ln w="0">
                <a:noFill/>
              </a:ln>
            </c:spPr>
          </c:dPt>
          <c:dPt>
            <c:idx val="6"/>
            <c:spPr>
              <a:solidFill>
                <a:srgbClr val="f1975a"/>
              </a:solidFill>
              <a:ln w="0">
                <a:noFill/>
              </a:ln>
            </c:spPr>
          </c:dPt>
          <c:dLbls>
            <c:numFmt formatCode="General" sourceLinked="0"/>
            <c:dLbl>
              <c:idx val="0"/>
              <c:spPr>
                <a:solidFill>
                  <a:srgbClr val="FFFFFF"/>
                </a:solidFill>
                <a:ln w="9360">
                  <a:solidFill>
                    <a:srgbClr val="BFBFBF"/>
                  </a:solidFill>
                </a:ln>
              </c:spPr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595959"/>
                      </a:solidFill>
                      <a:latin typeface="Calibri"/>
                    </a:defRPr>
                  </a:pPr>
                </a:p>
              </c:txPr>
              <c:tx>
                <c:rich>
                  <a:bodyPr/>
                  <a:p>
                    <a:r>
                      <a:rPr b="0" sz="900" spc="-1" strike="noStrike">
                        <a:solidFill>
                          <a:srgbClr val="595959"/>
                        </a:solidFill>
                        <a:latin typeface="Calibri"/>
                      </a:rPr>
                      <a:t>36,29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eparator>; </c:separator>
            </c:dLbl>
            <c:dLbl>
              <c:idx val="1"/>
              <c:spPr>
                <a:solidFill>
                  <a:srgbClr val="FFFFFF"/>
                </a:solidFill>
              </c:spPr>
              <c:txPr>
                <a:bodyPr wrap="square"/>
                <a:lstStyle/>
                <a:p>
                  <a:pPr>
                    <a:defRPr b="0" sz="1000" spc="-1" strike="noStrike">
                      <a:solidFill>
                        <a:srgbClr val="595959"/>
                      </a:solidFill>
                      <a:latin typeface="Calibri"/>
                    </a:defRPr>
                  </a:pPr>
                </a:p>
              </c:txPr>
              <c:tx>
                <c:rich>
                  <a:bodyPr/>
                  <a:p>
                    <a:r>
                      <a:rPr b="0" sz="1000" spc="-1" strike="noStrike">
                        <a:solidFill>
                          <a:srgbClr val="595959"/>
                        </a:solidFill>
                        <a:latin typeface="Calibri"/>
                      </a:rPr>
                      <a:t>7,26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eparator>; </c:separator>
            </c:dLbl>
            <c:dLbl>
              <c:idx val="2"/>
              <c:spPr>
                <a:solidFill>
                  <a:srgbClr val="FFFFFF"/>
                </a:solidFill>
              </c:spPr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595959"/>
                      </a:solidFill>
                      <a:latin typeface="Calibri"/>
                    </a:defRPr>
                  </a:pPr>
                </a:p>
              </c:txPr>
              <c:tx>
                <c:rich>
                  <a:bodyPr/>
                  <a:p>
                    <a:r>
                      <a:rPr b="0" sz="900" spc="-1" strike="noStrike">
                        <a:solidFill>
                          <a:srgbClr val="595959"/>
                        </a:solidFill>
                        <a:latin typeface="Calibri"/>
                      </a:rPr>
                      <a:t>13,15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eparator>; </c:separator>
            </c:dLbl>
            <c:dLbl>
              <c:idx val="3"/>
              <c:spPr>
                <a:solidFill>
                  <a:srgbClr val="FFFFFF"/>
                </a:solidFill>
              </c:spPr>
              <c:txPr>
                <a:bodyPr wrap="square"/>
                <a:lstStyle/>
                <a:p>
                  <a:pPr>
                    <a:defRPr b="0" sz="1000" spc="-1" strike="noStrike">
                      <a:solidFill>
                        <a:srgbClr val="595959"/>
                      </a:solidFill>
                      <a:latin typeface="Calibri"/>
                    </a:defRPr>
                  </a:pPr>
                </a:p>
              </c:txPr>
              <c:tx>
                <c:rich>
                  <a:bodyPr/>
                  <a:p>
                    <a:r>
                      <a:rPr b="0" sz="1000" spc="-1" strike="noStrike">
                        <a:solidFill>
                          <a:srgbClr val="595959"/>
                        </a:solidFill>
                        <a:latin typeface="Calibri"/>
                      </a:rPr>
                      <a:t>0,41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eparator>; </c:separator>
            </c:dLbl>
            <c:dLbl>
              <c:idx val="4"/>
              <c:spPr>
                <a:solidFill>
                  <a:srgbClr val="FFFFFF"/>
                </a:solidFill>
              </c:spPr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595959"/>
                      </a:solidFill>
                      <a:latin typeface="Calibri"/>
                    </a:defRPr>
                  </a:pPr>
                </a:p>
              </c:txPr>
              <c:tx>
                <c:rich>
                  <a:bodyPr/>
                  <a:p>
                    <a:r>
                      <a:rPr b="0" sz="900" spc="-1" strike="noStrike">
                        <a:solidFill>
                          <a:srgbClr val="595959"/>
                        </a:solidFill>
                        <a:latin typeface="Calibri"/>
                      </a:rPr>
                      <a:t>5,67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eparator>; </c:separator>
            </c:dLbl>
            <c:dLbl>
              <c:idx val="5"/>
              <c:spPr>
                <a:solidFill>
                  <a:srgbClr val="FFFFFF"/>
                </a:solidFill>
              </c:spPr>
              <c:txPr>
                <a:bodyPr wrap="square"/>
                <a:lstStyle/>
                <a:p>
                  <a:pPr>
                    <a:defRPr b="0" sz="1000" spc="-1" strike="noStrike">
                      <a:solidFill>
                        <a:srgbClr val="595959"/>
                      </a:solidFill>
                      <a:latin typeface="Calibri"/>
                    </a:defRPr>
                  </a:pPr>
                </a:p>
              </c:txPr>
              <c:tx>
                <c:rich>
                  <a:bodyPr/>
                  <a:p>
                    <a:r>
                      <a:rPr b="0" sz="1000" spc="-1" strike="noStrike">
                        <a:solidFill>
                          <a:srgbClr val="595959"/>
                        </a:solidFill>
                        <a:latin typeface="Calibri"/>
                      </a:rPr>
                      <a:t>0,93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eparator>; </c:separator>
            </c:dLbl>
            <c:dLbl>
              <c:idx val="6"/>
              <c:spPr>
                <a:solidFill>
                  <a:srgbClr val="FFFFFF"/>
                </a:solidFill>
                <a:ln w="9360">
                  <a:solidFill>
                    <a:srgbClr val="BFBFBF"/>
                  </a:solidFill>
                </a:ln>
              </c:spPr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595959"/>
                      </a:solidFill>
                      <a:latin typeface="Calibri"/>
                    </a:defRPr>
                  </a:pPr>
                </a:p>
              </c:txPr>
              <c:tx>
                <c:rich>
                  <a:bodyPr/>
                  <a:p>
                    <a:r>
                      <a:rPr b="0" sz="900" spc="-1" strike="noStrike">
                        <a:solidFill>
                          <a:srgbClr val="595959"/>
                        </a:solidFill>
                        <a:latin typeface="Calibri"/>
                      </a:rPr>
                      <a:t>36,29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eparator>; </c:separator>
            </c:dLbl>
            <c:spPr>
              <a:solidFill>
                <a:srgbClr val="FFFFFF"/>
              </a:solidFill>
            </c:spPr>
            <c:txPr>
              <a:bodyPr wrap="square"/>
              <a:lstStyle/>
              <a:p>
                <a:pPr>
                  <a:defRPr b="0" sz="700" spc="-1" strike="noStrike">
                    <a:solidFill>
                      <a:srgbClr val="595959"/>
                    </a:solidFill>
                    <a:latin typeface="Calibri"/>
                  </a:defRPr>
                </a:pPr>
              </a:p>
            </c:txPr>
            <c:dLblPos val="outEnd"/>
            <c:showLegendKey val="1"/>
            <c:showVal val="1"/>
            <c:showCatName val="0"/>
            <c:showSerName val="0"/>
            <c:showPercent val="0"/>
            <c:separator>; </c:separator>
            <c:showLeaderLines val="0"/>
          </c:dLbls>
          <c:cat>
            <c:strRef>
              <c:f>categories</c:f>
              <c:strCache>
                <c:ptCount val="7"/>
                <c:pt idx="0">
                  <c:v>Основная заработная плата научного и производственного персонала </c:v>
                </c:pt>
                <c:pt idx="1">
                  <c:v>Дополнительная заработная плата научного и производственного персонала </c:v>
                </c:pt>
                <c:pt idx="2">
                  <c:v>Страховые взносы во внебюджетные фонды</c:v>
                </c:pt>
                <c:pt idx="3">
                  <c:v>Материалы, покупные изделия и полуфабрикаты</c:v>
                </c:pt>
                <c:pt idx="4">
                  <c:v>Амортизационные отчисления</c:v>
                </c:pt>
                <c:pt idx="5">
                  <c:v>Эксплуатационные расходы, связанные с использованием компьютерной техники</c:v>
                </c:pt>
                <c:pt idx="6">
                  <c:v>Накладные расходы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7"/>
                <c:pt idx="0">
                  <c:v>36.29</c:v>
                </c:pt>
                <c:pt idx="1">
                  <c:v>7.26</c:v>
                </c:pt>
                <c:pt idx="2">
                  <c:v>13.15</c:v>
                </c:pt>
                <c:pt idx="3">
                  <c:v>0.41</c:v>
                </c:pt>
                <c:pt idx="4">
                  <c:v>5.67</c:v>
                </c:pt>
                <c:pt idx="5">
                  <c:v>0.93</c:v>
                </c:pt>
                <c:pt idx="6">
                  <c:v>36.29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l"/>
      <c:layout>
        <c:manualLayout>
          <c:xMode val="edge"/>
          <c:yMode val="edge"/>
          <c:x val="0"/>
          <c:y val="0.0802222222222222"/>
          <c:w val="0.278642415150947"/>
          <c:h val="0.916657406378487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b="0" sz="800" spc="-1" strike="noStrike">
              <a:solidFill>
                <a:srgbClr val="595959"/>
              </a:solidFill>
              <a:latin typeface="Calibri Light"/>
            </a:defRPr>
          </a:pPr>
        </a:p>
      </c:txPr>
    </c:legend>
    <c:plotVisOnly val="1"/>
    <c:dispBlanksAs val="zero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E68D09-163A-5846-9D97-56CC45B4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Application>LibreOffice/7.4.0.3$MacOSX_AARCH64 LibreOffice_project/f85e47c08ddd19c015c0114a68350214f7066f5a</Application>
  <AppVersion>15.0000</AppVersion>
  <Pages>13</Pages>
  <Words>2194</Words>
  <Characters>15284</Characters>
  <CharactersWithSpaces>17224</CharactersWithSpaces>
  <Paragraphs>512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2026-06-03T22:58:00Z</dcterms:created>
  <dc:creator>mishgan325</dc:creator>
  <dc:description/>
  <dc:language>ru-RU</dc:language>
  <cp:lastModifiedBy/>
  <cp:lastPrinted>2026-06-03T22:58:00Z</cp:lastPrinted>
  <dcterms:modified xsi:type="dcterms:W3CDTF">2026-06-06T22:20:03Z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