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7BF4" w14:textId="77777777" w:rsidR="00FD72BA" w:rsidRDefault="00FD72BA" w:rsidP="00FD72BA">
      <w:pPr>
        <w:spacing w:before="100" w:beforeAutospacing="1" w:after="100" w:afterAutospacing="1"/>
        <w:outlineLvl w:val="0"/>
        <w:rPr>
          <w:b/>
          <w:bCs/>
          <w:color w:val="000000"/>
          <w:kern w:val="36"/>
        </w:rPr>
      </w:pPr>
      <w:r w:rsidRPr="00FD72BA">
        <w:rPr>
          <w:b/>
          <w:bCs/>
          <w:color w:val="000000"/>
          <w:kern w:val="36"/>
        </w:rPr>
        <w:t>Effect of Extreme Risk Protection Order Laws on Firearm Mortality: A State-Level Analysis, 2001-2023</w:t>
      </w:r>
    </w:p>
    <w:p w14:paraId="0E27938E" w14:textId="65F50CF1" w:rsidR="00FA437C" w:rsidRPr="00FD72BA" w:rsidRDefault="00FA437C" w:rsidP="00FD72BA">
      <w:pPr>
        <w:spacing w:before="100" w:beforeAutospacing="1" w:after="100" w:afterAutospacing="1"/>
        <w:outlineLvl w:val="0"/>
        <w:rPr>
          <w:color w:val="000000"/>
          <w:kern w:val="36"/>
        </w:rPr>
      </w:pPr>
      <w:r w:rsidRPr="00FA437C">
        <w:rPr>
          <w:color w:val="000000"/>
          <w:kern w:val="36"/>
        </w:rPr>
        <w:t>Jacob Jameson</w:t>
      </w:r>
    </w:p>
    <w:p w14:paraId="028EF18C" w14:textId="77777777" w:rsidR="00FD72BA" w:rsidRPr="00FD72BA" w:rsidRDefault="00FD72BA" w:rsidP="00FD72BA">
      <w:pPr>
        <w:spacing w:before="100" w:beforeAutospacing="1" w:after="100" w:afterAutospacing="1"/>
        <w:outlineLvl w:val="1"/>
        <w:rPr>
          <w:b/>
          <w:bCs/>
          <w:color w:val="000000"/>
        </w:rPr>
      </w:pPr>
      <w:r w:rsidRPr="00FD72BA">
        <w:rPr>
          <w:b/>
          <w:bCs/>
          <w:color w:val="000000"/>
        </w:rPr>
        <w:t>Introduction</w:t>
      </w:r>
    </w:p>
    <w:p w14:paraId="3320DE83" w14:textId="17BB677A" w:rsidR="00DB748A" w:rsidRPr="00DB748A" w:rsidRDefault="00DB748A" w:rsidP="00DB748A">
      <w:pPr>
        <w:spacing w:before="100" w:beforeAutospacing="1" w:after="100" w:afterAutospacing="1"/>
        <w:rPr>
          <w:color w:val="000000"/>
        </w:rPr>
      </w:pPr>
      <w:r w:rsidRPr="00DB748A">
        <w:rPr>
          <w:color w:val="000000"/>
        </w:rPr>
        <w:t>Firearm-related deaths constitute a persistent and escalating public health crisis in the United States, accounting for over 48,000 fatalities annually, with approximately 60% attributable to suicides</w:t>
      </w:r>
      <w:r w:rsidR="00263FB3">
        <w:rPr>
          <w:color w:val="000000"/>
        </w:rPr>
        <w:fldChar w:fldCharType="begin"/>
      </w:r>
      <w:r w:rsidR="00263FB3">
        <w:rPr>
          <w:color w:val="000000"/>
        </w:rPr>
        <w:instrText xml:space="preserve"> ADDIN ZOTERO_ITEM CSL_CITATION {"citationID":"HVfdU32R","properties":{"formattedCitation":"\\super 1\\nosupersub{}","plainCitation":"1","noteIndex":0},"citationItems":[{"id":1703,"uris":["http://zotero.org/users/10131437/items/5L25YMP7"],"itemData":{"id":1703,"type":"webpage","abstract":"This page presents the latest stats on firearm injuries, deaths, affected people, and consequences.","container-title":"Firearm Injury and Death Prevention","language":"en-us","title":"Fast Facts: Firearm Injury and Death","title-short":"Fast Facts","URL":"https://www.cdc.gov/firearm-violence/data-research/facts-stats/index.html","author":[{"family":"CDC","given":""}],"accessed":{"date-parts":[["2025",5,8]]},"issued":{"date-parts":[["2024",7,22]]}}}],"schema":"https://github.com/citation-style-language/schema/raw/master/csl-citation.json"} </w:instrText>
      </w:r>
      <w:r w:rsidR="00263FB3">
        <w:rPr>
          <w:color w:val="000000"/>
        </w:rPr>
        <w:fldChar w:fldCharType="separate"/>
      </w:r>
      <w:r w:rsidR="00263FB3" w:rsidRPr="00263FB3">
        <w:rPr>
          <w:color w:val="000000"/>
          <w:vertAlign w:val="superscript"/>
        </w:rPr>
        <w:t>1</w:t>
      </w:r>
      <w:r w:rsidR="00263FB3">
        <w:rPr>
          <w:color w:val="000000"/>
        </w:rPr>
        <w:fldChar w:fldCharType="end"/>
      </w:r>
      <w:r w:rsidRPr="00DB748A">
        <w:rPr>
          <w:color w:val="000000"/>
        </w:rPr>
        <w:t xml:space="preserve">. Despite extensive debate and legislative efforts, meaningful progress in reducing firearm-related mortality has remained elusive, underscoring an urgent need for effective policy interventions. Extreme Risk Protection Order (ERPO) laws—known as </w:t>
      </w:r>
      <w:r w:rsidR="00513EEE">
        <w:rPr>
          <w:color w:val="000000"/>
        </w:rPr>
        <w:t>"</w:t>
      </w:r>
      <w:r w:rsidRPr="00DB748A">
        <w:rPr>
          <w:color w:val="000000"/>
        </w:rPr>
        <w:t>red flag</w:t>
      </w:r>
      <w:r w:rsidR="00513EEE">
        <w:rPr>
          <w:color w:val="000000"/>
        </w:rPr>
        <w:t>"</w:t>
      </w:r>
      <w:r w:rsidRPr="00DB748A">
        <w:rPr>
          <w:color w:val="000000"/>
        </w:rPr>
        <w:t xml:space="preserve"> laws—have garnered significant attention</w:t>
      </w:r>
      <w:r w:rsidR="001B0F8A">
        <w:rPr>
          <w:color w:val="000000"/>
        </w:rPr>
        <w:t xml:space="preserve"> among various strategies</w:t>
      </w:r>
      <w:r w:rsidRPr="00DB748A">
        <w:rPr>
          <w:color w:val="000000"/>
        </w:rPr>
        <w:t>. These statutes empower law enforcement, family members, and</w:t>
      </w:r>
      <w:r w:rsidR="001B0F8A">
        <w:rPr>
          <w:color w:val="000000"/>
        </w:rPr>
        <w:t>,</w:t>
      </w:r>
      <w:r w:rsidRPr="00DB748A">
        <w:rPr>
          <w:color w:val="000000"/>
        </w:rPr>
        <w:t xml:space="preserve"> in certain states, healthcare providers or educators to petition courts to temporarily restrict firearm access for individuals exhibiting behaviors indicative of imminent harm to themselves or others.</w:t>
      </w:r>
    </w:p>
    <w:p w14:paraId="534D85B8" w14:textId="15489737" w:rsidR="00DB748A" w:rsidRPr="00DB748A" w:rsidRDefault="00DB748A" w:rsidP="00DB748A">
      <w:pPr>
        <w:spacing w:before="100" w:beforeAutospacing="1" w:after="100" w:afterAutospacing="1"/>
        <w:rPr>
          <w:color w:val="000000"/>
        </w:rPr>
      </w:pPr>
      <w:r w:rsidRPr="00DB748A">
        <w:rPr>
          <w:color w:val="000000"/>
        </w:rPr>
        <w:t xml:space="preserve">Unlike categorical prohibitions tied to static risk factors, such as criminal convictions or involuntary psychiatric commitments, ERPO laws uniquely address acute periods of elevated risk, thus targeting transient but critical windows of vulnerability. Since Connecticut enacted the first ERPO law in 1999, adoption of such laws accelerated significantly in response to prominent mass shootings, notably following the tragic events at Marjory Stoneman Douglas High School in Parkland, Florida, in 2018 (Figure 1). These incidents spurred bipartisan support and rapid legislative actions, reflecting the distinctive political landscape surrounding ERPO laws, </w:t>
      </w:r>
      <w:r w:rsidR="00513EEE">
        <w:rPr>
          <w:color w:val="000000"/>
        </w:rPr>
        <w:t>often transcending</w:t>
      </w:r>
      <w:r w:rsidRPr="00DB748A">
        <w:rPr>
          <w:color w:val="000000"/>
        </w:rPr>
        <w:t xml:space="preserve"> traditional partisan divides associated with firearm regulation debates</w:t>
      </w:r>
      <w:r w:rsidR="00263FB3">
        <w:rPr>
          <w:color w:val="000000"/>
        </w:rPr>
        <w:fldChar w:fldCharType="begin"/>
      </w:r>
      <w:r w:rsidR="00263FB3">
        <w:rPr>
          <w:color w:val="000000"/>
        </w:rPr>
        <w:instrText xml:space="preserve"> ADDIN ZOTERO_ITEM CSL_CITATION {"citationID":"5PfitGG0","properties":{"formattedCitation":"\\super 2\\nosupersub{}","plainCitation":"2","noteIndex":0},"citationItems":[{"id":1685,"uris":["http://zotero.org/users/10131437/items/NSZNVE3B"],"itemData":{"id":1685,"type":"webpage","abstract":"Analysis of the impact of extreme risk protection orders on suicide in the United States","language":"en","title":"Effects of Extreme Risk Protection Orders on Suicide","URL":"https://www.rand.org/research/gun-policy/analysis/extreme-risk-protection-orders/suicide.html","accessed":{"date-parts":[["2025",5,8]]}}}],"schema":"https://github.com/citation-style-language/schema/raw/master/csl-citation.json"} </w:instrText>
      </w:r>
      <w:r w:rsidR="00263FB3">
        <w:rPr>
          <w:color w:val="000000"/>
        </w:rPr>
        <w:fldChar w:fldCharType="separate"/>
      </w:r>
      <w:r w:rsidR="00263FB3" w:rsidRPr="00263FB3">
        <w:rPr>
          <w:color w:val="000000"/>
          <w:vertAlign w:val="superscript"/>
        </w:rPr>
        <w:t>2</w:t>
      </w:r>
      <w:r w:rsidR="00263FB3">
        <w:rPr>
          <w:color w:val="000000"/>
        </w:rPr>
        <w:fldChar w:fldCharType="end"/>
      </w:r>
      <w:r w:rsidRPr="00DB748A">
        <w:rPr>
          <w:color w:val="000000"/>
        </w:rPr>
        <w:t>.</w:t>
      </w:r>
    </w:p>
    <w:p w14:paraId="277933CA" w14:textId="23E73ABF" w:rsidR="00D623DE" w:rsidRDefault="00D623DE" w:rsidP="00D623DE">
      <w:pPr>
        <w:pStyle w:val="NormalWeb"/>
        <w:rPr>
          <w:color w:val="000000"/>
        </w:rPr>
      </w:pPr>
      <w:r>
        <w:rPr>
          <w:color w:val="000000"/>
        </w:rPr>
        <w:t xml:space="preserve">However, empirical evidence evaluating the effectiveness of ERPO laws on firearm suicide rates remains sparse and methodologically uneven. A recent RAND Corporation review summarized existing research as providing </w:t>
      </w:r>
      <w:r w:rsidR="00513EEE">
        <w:rPr>
          <w:color w:val="000000"/>
        </w:rPr>
        <w:t>"</w:t>
      </w:r>
      <w:r>
        <w:rPr>
          <w:color w:val="000000"/>
        </w:rPr>
        <w:t>limited evidence</w:t>
      </w:r>
      <w:r w:rsidR="00513EEE">
        <w:rPr>
          <w:color w:val="000000"/>
        </w:rPr>
        <w:t>"</w:t>
      </w:r>
      <w:r>
        <w:rPr>
          <w:color w:val="000000"/>
        </w:rPr>
        <w:t xml:space="preserve"> for these policies, citing mixed findings across studies employing traditional two-way fixed-effects difference-in-differences or synthetic control approaches</w:t>
      </w:r>
      <w:r w:rsidR="00263FB3">
        <w:rPr>
          <w:color w:val="000000"/>
        </w:rPr>
        <w:fldChar w:fldCharType="begin"/>
      </w:r>
      <w:r w:rsidR="00263FB3">
        <w:rPr>
          <w:color w:val="000000"/>
        </w:rPr>
        <w:instrText xml:space="preserve"> ADDIN ZOTERO_ITEM CSL_CITATION {"citationID":"fn2qwcB0","properties":{"formattedCitation":"\\super 3\\uc0\\u8211{}5\\nosupersub{}","plainCitation":"3–5","noteIndex":0},"citationItems":[{"id":1695,"uris":["http://zotero.org/users/10131437/items/SCI26F73"],"itemData":{"id":1695,"type":"article-journal","container-title":"Loyola University Chicago Law Journal","ISSN":"0024-7081","issue":"3","page":"867","title":"An Empirical Assessment of Homicide and Suicide Outcomes with Red Flag Laws","volume":"52","author":[{"family":"Delafave","given":"Rachel"}],"issued":{"date-parts":[["2021",1,1]]}}},{"id":1710,"uris":["http://zotero.org/users/10131437/items/U5AFD33K"],"itemData":{"id":1710,"type":"article-journal","abstract":"Extreme risk protection orders (ERPOs) provide a civil mechanism to temporarily remove firearm access from individuals at high risk of harming themselves or others. Evidence and theory suggest that ERPOs can prevent firearm-related harm, but the policy's impact on racial/ethnic equity is largely unknown. To examine potential inequities by race/ethnicity in public perceptions and use of California's ERPO law, we drew on two complementary data sources: 1) a 2020 state-representative survey of California adults, and 2) ERPO court documents for the first 3 years of policy implementation (2016-2018). Majorities (54-89%) of all racial/ethnic groups reported that ERPOs are at least sometimes appropriate, and 64-94% were willing to ask a judge for an ERPO for a family member. However, Black and Hispanic/Latinx survey participants less often perceived ERPOs as appropriate and were less willing to serve as petitioners, with Black participants citing lack of knowledge about ERPOs and not trusting the system to be fair as their top reasons for unwillingness. Similarly, review of ERPO court documents revealed that no family or household members served as petitioners for Black and Hispanic/Latinx ERPO respondents. Additionally, Black respondents were the least likely to have documented access to a firearm and legal representation in court. Racial/ethnic equity in ERPO use may be improved by reducing barriers to petitioning, incorporating non-law enforcement intervention professionals like behavioral health specialists into the ERPO process, providing legal assistance to respondents and petitioners, and investing in the social safety net.","container-title":"Preventive Medicine","DOI":"10.1016/j.ypmed.2022.107181","ISSN":"1096-0260","issue":"Pt A","journalAbbreviation":"Prev Med","language":"eng","note":"PMID: 35940474","page":"107181","source":"PubMed","title":"Extreme risk protection orders, race/ethnicity, and equity: Evidence from California","title-short":"Extreme risk protection orders, race/ethnicity, and equity","volume":"165","author":[{"family":"Pear","given":"V. A."},{"family":"Schleimer","given":"J. P."},{"family":"Aubel","given":"A. J."},{"family":"Buggs","given":"S."},{"family":"Knoepke","given":"C. E."},{"family":"Pallin","given":"R."},{"family":"Shev","given":"A. B."},{"family":"Tomsich","given":"E."},{"family":"Wintemute","given":"G. J."},{"family":"Kravitz-Wirtz","given":"N."}],"issued":{"date-parts":[["2022",12]]}}},{"id":1707,"uris":["http://zotero.org/users/10131437/items/JMG9NWZK"],"itemData":{"id":1707,"type":"article-journal","abstract":"OBJECTIVE: This study evaluated whether risk-based firearm seizure laws in Connecticut and Indiana affect suicide rates.\nMETHODS: A quasi-experimental design using annual state-level panel data from the 50 states between 1981 and 2015 was used. When analyses controlled for a range of risk factors for population-level suicide rates, the effects of Connecticut and Indiana's firearm seizure laws on firearm and nonfirearm suicide rates were evaluated by using the synthetic-control methodology and difference-in-place placebo tests. Sensitivity analyses employed regression-based difference-in-differences analyses with randomization inference.\nRESULTS: Indiana's firearm seizure law was associated with a 7.5% reduction in firearm suicides in the ten years following its enactment, an effect specific to suicides with firearms and larger than that seen in any comparison state by chance alone. Enactment of Connecticut's law was associated with a 1.6% reduction in firearm suicides immediately after its passage and a 13.7% reduction in firearm suicides in the post-Virginia Tech period, when enforcement of the law substantially increased. Regression-based sensitivity analyses showed that these findings were robust to alternative specifications. Whereas Indiana demonstrated an aggregate decrease in suicides, Connecticut's estimated reduction in firearm suicides was offset by increased nonfirearm suicides.\nCONCLUSIONS: Risk-based firearm seizure laws were associated with reduced population-level firearm suicide rates, and evidence for a replacement effect was mixed.","container-title":"Psychiatric Services (Washington, D.C.)","DOI":"10.1176/appi.ps.201700250","ISSN":"1557-9700","issue":"8","journalAbbreviation":"Psychiatr Serv","language":"eng","note":"PMID: 29852823","page":"855-862","source":"PubMed","title":"Effects of Risk-Based Firearm Seizure Laws in Connecticut and Indiana on Suicide Rates, 1981-2015","volume":"69","author":[{"family":"Kivisto","given":"Aaron J."},{"family":"Phalen","given":"Peter Lee"}],"issued":{"date-parts":[["2018",8,1]]}}}],"schema":"https://github.com/citation-style-language/schema/raw/master/csl-citation.json"} </w:instrText>
      </w:r>
      <w:r w:rsidR="00263FB3">
        <w:rPr>
          <w:color w:val="000000"/>
        </w:rPr>
        <w:fldChar w:fldCharType="separate"/>
      </w:r>
      <w:r w:rsidR="00263FB3" w:rsidRPr="00263FB3">
        <w:rPr>
          <w:color w:val="000000"/>
          <w:vertAlign w:val="superscript"/>
        </w:rPr>
        <w:t>3–5</w:t>
      </w:r>
      <w:r w:rsidR="00263FB3">
        <w:rPr>
          <w:color w:val="000000"/>
        </w:rPr>
        <w:fldChar w:fldCharType="end"/>
      </w:r>
      <w:r>
        <w:rPr>
          <w:color w:val="000000"/>
        </w:rPr>
        <w:t>. These studies have generally reported modest or uncertain effects, hindered by limited statistical power, insufficient control for confounding factors, and challenges isolating causal impacts from broader social trends or concurrent interventions</w:t>
      </w:r>
      <w:r w:rsidR="00263FB3">
        <w:rPr>
          <w:color w:val="000000"/>
        </w:rPr>
        <w:fldChar w:fldCharType="begin"/>
      </w:r>
      <w:r w:rsidR="00263FB3">
        <w:rPr>
          <w:color w:val="000000"/>
        </w:rPr>
        <w:instrText xml:space="preserve"> ADDIN ZOTERO_ITEM CSL_CITATION {"citationID":"hckuykC9","properties":{"formattedCitation":"\\super 2\\nosupersub{}","plainCitation":"2","noteIndex":0},"citationItems":[{"id":1685,"uris":["http://zotero.org/users/10131437/items/NSZNVE3B"],"itemData":{"id":1685,"type":"webpage","abstract":"Analysis of the impact of extreme risk protection orders on suicide in the United States","language":"en","title":"Effects of Extreme Risk Protection Orders on Suicide","URL":"https://www.rand.org/research/gun-policy/analysis/extreme-risk-protection-orders/suicide.html","accessed":{"date-parts":[["2025",5,8]]}}}],"schema":"https://github.com/citation-style-language/schema/raw/master/csl-citation.json"} </w:instrText>
      </w:r>
      <w:r w:rsidR="00263FB3">
        <w:rPr>
          <w:color w:val="000000"/>
        </w:rPr>
        <w:fldChar w:fldCharType="separate"/>
      </w:r>
      <w:r w:rsidR="00263FB3" w:rsidRPr="00263FB3">
        <w:rPr>
          <w:color w:val="000000"/>
          <w:vertAlign w:val="superscript"/>
        </w:rPr>
        <w:t>2</w:t>
      </w:r>
      <w:r w:rsidR="00263FB3">
        <w:rPr>
          <w:color w:val="000000"/>
        </w:rPr>
        <w:fldChar w:fldCharType="end"/>
      </w:r>
      <w:r>
        <w:rPr>
          <w:color w:val="000000"/>
        </w:rPr>
        <w:t>.</w:t>
      </w:r>
    </w:p>
    <w:p w14:paraId="5099BB58" w14:textId="63A06D8C" w:rsidR="00DB748A" w:rsidRDefault="00D623DE" w:rsidP="00CF2FC5">
      <w:pPr>
        <w:pStyle w:val="NormalWeb"/>
        <w:rPr>
          <w:color w:val="000000"/>
        </w:rPr>
      </w:pPr>
      <w:r>
        <w:rPr>
          <w:color w:val="000000"/>
        </w:rPr>
        <w:t>This study addresses these critical methodological gaps through a comprehensive state-level analysis from 2001 to 2023, utilizing a rigorous Bayesian autoregressive negative binomial framework designed explicitly for policy evaluation in contexts characterized by limited power and complex policy environments</w:t>
      </w:r>
      <w:r w:rsidR="00263FB3">
        <w:rPr>
          <w:color w:val="000000"/>
        </w:rPr>
        <w:fldChar w:fldCharType="begin"/>
      </w:r>
      <w:r w:rsidR="00263FB3">
        <w:rPr>
          <w:color w:val="000000"/>
        </w:rPr>
        <w:instrText xml:space="preserve"> ADDIN ZOTERO_ITEM CSL_CITATION {"citationID":"T4p8GAo2","properties":{"formattedCitation":"\\super 6\\nosupersub{}","plainCitation":"6","noteIndex":0},"citationItems":[{"id":1667,"uris":["http://zotero.org/users/10131437/items/B7BXDG89"],"itemData":{"id":1667,"type":"book","ISBN":"978-1-977401-55-7","language":"en","note":"DOI: 10.7249/RR2685","publisher":"RAND Corporation","source":"DOI.org (Crossref)","title":"Evaluating Methods to Estimate the Effect of State Laws on Firearm Deaths: A Simulation Study","title-short":"Evaluating Methods to Estimate the Effect of State Laws on Firearm Deaths","URL":"https://www.rand.org/pubs/research_reports/RR2685.html","author":[{"family":"Schell","given":"Terry"},{"family":"Griffin","given":"Beth Ann"},{"family":"Morral","given":"Andrew"}],"accessed":{"date-parts":[["2025",5,8]]},"issued":{"date-parts":[["2018"]]}}}],"schema":"https://github.com/citation-style-language/schema/raw/master/csl-citation.json"} </w:instrText>
      </w:r>
      <w:r w:rsidR="00263FB3">
        <w:rPr>
          <w:color w:val="000000"/>
        </w:rPr>
        <w:fldChar w:fldCharType="separate"/>
      </w:r>
      <w:r w:rsidR="00263FB3" w:rsidRPr="00263FB3">
        <w:rPr>
          <w:color w:val="000000"/>
          <w:vertAlign w:val="superscript"/>
        </w:rPr>
        <w:t>6</w:t>
      </w:r>
      <w:r w:rsidR="00263FB3">
        <w:rPr>
          <w:color w:val="000000"/>
        </w:rPr>
        <w:fldChar w:fldCharType="end"/>
      </w:r>
      <w:r w:rsidR="00E34B60">
        <w:rPr>
          <w:color w:val="000000"/>
          <w:vertAlign w:val="superscript"/>
        </w:rPr>
        <w:t>,</w:t>
      </w:r>
      <w:r w:rsidR="00263FB3">
        <w:rPr>
          <w:color w:val="000000"/>
        </w:rPr>
        <w:fldChar w:fldCharType="begin"/>
      </w:r>
      <w:r w:rsidR="00263FB3">
        <w:rPr>
          <w:color w:val="000000"/>
        </w:rPr>
        <w:instrText xml:space="preserve"> PRINTDATE  \* MERGEFORMAT </w:instrText>
      </w:r>
      <w:r w:rsidR="00263FB3">
        <w:rPr>
          <w:color w:val="000000"/>
        </w:rPr>
        <w:fldChar w:fldCharType="separate"/>
      </w:r>
      <w:r w:rsidR="003D1C0B" w:rsidRPr="003D1C0B">
        <w:rPr>
          <w:color w:val="000000"/>
          <w:vertAlign w:val="superscript"/>
        </w:rPr>
        <w:t>7</w:t>
      </w:r>
      <w:r w:rsidR="00263FB3">
        <w:rPr>
          <w:color w:val="000000"/>
        </w:rPr>
        <w:fldChar w:fldCharType="end"/>
      </w:r>
      <w:r>
        <w:rPr>
          <w:color w:val="000000"/>
        </w:rPr>
        <w:t>. By modeling both immediate and phased-in impacts of ERPO legislation while controlling for state-specific trends, demographic and economic factors, and firearm ownership rates, we aim to provide robust evidence regarding the association between ERPO implementation and firearm suicide rates. Our methodological approach advances beyond previous studies by explicitly correcting biases inherent in traditional difference-in-differences models and employing Bayesian inference to quantify uncertainty more accurately, ultimately offering clearer insights for policymakers aiming to reduce firearm suicide.</w:t>
      </w:r>
    </w:p>
    <w:p w14:paraId="373C9E7C" w14:textId="77777777" w:rsidR="00F5517F" w:rsidRPr="00F5517F" w:rsidRDefault="00F5517F" w:rsidP="00F5517F">
      <w:pPr>
        <w:spacing w:before="100" w:beforeAutospacing="1" w:after="100" w:afterAutospacing="1"/>
        <w:jc w:val="center"/>
        <w:rPr>
          <w:b/>
          <w:bCs/>
          <w:color w:val="000000"/>
        </w:rPr>
      </w:pPr>
      <w:r w:rsidRPr="00F5517F">
        <w:rPr>
          <w:b/>
          <w:bCs/>
          <w:color w:val="000000"/>
        </w:rPr>
        <w:lastRenderedPageBreak/>
        <w:t>Figure 1. State Implementation of Extreme Risk Protection Order (ERPO) Laws, 1999–2024</w:t>
      </w:r>
    </w:p>
    <w:p w14:paraId="2B98D137" w14:textId="1460DD94" w:rsidR="00F5517F" w:rsidRDefault="00F44AFF" w:rsidP="00F5517F">
      <w:pPr>
        <w:spacing w:before="100" w:beforeAutospacing="1" w:after="100" w:afterAutospacing="1"/>
        <w:rPr>
          <w:color w:val="000000"/>
        </w:rPr>
      </w:pPr>
      <w:r>
        <w:rPr>
          <w:noProof/>
          <w:color w:val="000000"/>
          <w14:ligatures w14:val="standardContextual"/>
        </w:rPr>
        <w:drawing>
          <wp:inline distT="0" distB="0" distL="0" distR="0" wp14:anchorId="6321291E" wp14:editId="42140CBA">
            <wp:extent cx="5943600" cy="4114800"/>
            <wp:effectExtent l="0" t="0" r="0" b="0"/>
            <wp:docPr id="597430316" name="Picture 10" descr="A group of squares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30316" name="Picture 10" descr="A group of squares with numbers and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48531AEC" w14:textId="757FB288" w:rsidR="00F5517F" w:rsidRPr="00FD72BA" w:rsidRDefault="00F5517F" w:rsidP="00FD72BA">
      <w:pPr>
        <w:spacing w:before="100" w:beforeAutospacing="1" w:after="100" w:afterAutospacing="1"/>
        <w:rPr>
          <w:i/>
          <w:iCs/>
          <w:color w:val="000000"/>
          <w:sz w:val="18"/>
          <w:szCs w:val="18"/>
        </w:rPr>
      </w:pPr>
      <w:r w:rsidRPr="00F5517F">
        <w:rPr>
          <w:i/>
          <w:iCs/>
          <w:color w:val="000000"/>
          <w:sz w:val="18"/>
          <w:szCs w:val="18"/>
        </w:rPr>
        <w:t>This figure shows the annual spread of ERPO laws across U.S. states from 1999 to 2024. States are color-coded by implementation status: orange indicates states that newly implemented an ERPO law that year, blue indicates states with previously implemented ERPO laws, and gray indicates states without such laws. ERPO laws allow for the temporary removal of firearms from individuals deemed to be at risk of harming themselves or others. By 2024, 22 states had enacted ERPO legislation.</w:t>
      </w:r>
    </w:p>
    <w:p w14:paraId="60AE8F2D" w14:textId="77777777" w:rsidR="00FD72BA" w:rsidRPr="00FD72BA" w:rsidRDefault="00FD72BA" w:rsidP="00FD72BA">
      <w:pPr>
        <w:spacing w:before="100" w:beforeAutospacing="1" w:after="100" w:afterAutospacing="1"/>
        <w:outlineLvl w:val="1"/>
        <w:rPr>
          <w:b/>
          <w:bCs/>
          <w:color w:val="000000"/>
        </w:rPr>
      </w:pPr>
      <w:r w:rsidRPr="00FD72BA">
        <w:rPr>
          <w:b/>
          <w:bCs/>
          <w:color w:val="000000"/>
        </w:rPr>
        <w:t>Methods</w:t>
      </w:r>
    </w:p>
    <w:p w14:paraId="23B7912F" w14:textId="77777777" w:rsidR="00FD72BA" w:rsidRPr="00FD72BA" w:rsidRDefault="00FD72BA" w:rsidP="00FD72BA">
      <w:pPr>
        <w:spacing w:before="100" w:beforeAutospacing="1" w:after="100" w:afterAutospacing="1"/>
        <w:outlineLvl w:val="2"/>
        <w:rPr>
          <w:b/>
          <w:bCs/>
          <w:color w:val="000000"/>
        </w:rPr>
      </w:pPr>
      <w:r w:rsidRPr="00FD72BA">
        <w:rPr>
          <w:b/>
          <w:bCs/>
          <w:color w:val="000000"/>
        </w:rPr>
        <w:t>Data Sources</w:t>
      </w:r>
    </w:p>
    <w:p w14:paraId="544977C3" w14:textId="6FF2D2E3" w:rsidR="00FD72BA" w:rsidRPr="00FD72BA" w:rsidRDefault="00FD72BA" w:rsidP="00FD72BA">
      <w:pPr>
        <w:spacing w:before="100" w:beforeAutospacing="1" w:after="100" w:afterAutospacing="1"/>
        <w:rPr>
          <w:color w:val="000000"/>
        </w:rPr>
      </w:pPr>
      <w:r w:rsidRPr="00FD72BA">
        <w:rPr>
          <w:color w:val="000000"/>
        </w:rPr>
        <w:t xml:space="preserve">We conducted a retrospective, state-level panel analysis using data from all 50 U.S. states </w:t>
      </w:r>
      <w:r w:rsidR="00B13901">
        <w:rPr>
          <w:color w:val="000000"/>
        </w:rPr>
        <w:t>from</w:t>
      </w:r>
      <w:r w:rsidRPr="00FD72BA">
        <w:rPr>
          <w:color w:val="000000"/>
        </w:rPr>
        <w:t xml:space="preserve"> 2001 through 2023. Annual counts of</w:t>
      </w:r>
      <w:r w:rsidR="00DE5A36">
        <w:rPr>
          <w:color w:val="000000"/>
        </w:rPr>
        <w:t xml:space="preserve"> adult (18+)</w:t>
      </w:r>
      <w:r w:rsidRPr="00FD72BA">
        <w:rPr>
          <w:color w:val="000000"/>
        </w:rPr>
        <w:t xml:space="preserve"> firearm-related </w:t>
      </w:r>
      <w:r w:rsidR="00D6330C">
        <w:rPr>
          <w:color w:val="000000"/>
        </w:rPr>
        <w:t>suicides</w:t>
      </w:r>
      <w:r w:rsidRPr="00FD72BA">
        <w:rPr>
          <w:color w:val="000000"/>
        </w:rPr>
        <w:t xml:space="preserve"> were obtained from the National Vital Statistics System, which captures near-complete records of coroner-determined causes of death across the United States. Corresponding annual</w:t>
      </w:r>
      <w:r w:rsidR="00DE5A36">
        <w:rPr>
          <w:color w:val="000000"/>
        </w:rPr>
        <w:t xml:space="preserve"> adult</w:t>
      </w:r>
      <w:r w:rsidRPr="00FD72BA">
        <w:rPr>
          <w:color w:val="000000"/>
        </w:rPr>
        <w:t xml:space="preserve"> state population data were acquired from intercensal estimates provided by the U.S. Census Bureau. Information regarding </w:t>
      </w:r>
      <w:r w:rsidR="001B0F8A">
        <w:rPr>
          <w:color w:val="000000"/>
        </w:rPr>
        <w:t>implementing</w:t>
      </w:r>
      <w:r w:rsidRPr="00FD72BA">
        <w:rPr>
          <w:color w:val="000000"/>
        </w:rPr>
        <w:t xml:space="preserve"> </w:t>
      </w:r>
      <w:r w:rsidR="00DE5A36">
        <w:rPr>
          <w:color w:val="000000"/>
        </w:rPr>
        <w:t>ERPO</w:t>
      </w:r>
      <w:r w:rsidRPr="00FD72BA">
        <w:rPr>
          <w:color w:val="000000"/>
        </w:rPr>
        <w:t xml:space="preserve"> laws was collected from the RAND State Firearm Law Database and cross-validated with data from the National ERPO Resource Center at Johns Hopkins University. We additionally assembled state-level covariates encompassing demographic</w:t>
      </w:r>
      <w:r w:rsidR="00DE5A36">
        <w:rPr>
          <w:color w:val="000000"/>
        </w:rPr>
        <w:t xml:space="preserve"> and </w:t>
      </w:r>
      <w:r w:rsidR="001B0F8A">
        <w:rPr>
          <w:color w:val="000000"/>
        </w:rPr>
        <w:t>economic</w:t>
      </w:r>
      <w:r w:rsidR="00DE5A36">
        <w:rPr>
          <w:color w:val="000000"/>
        </w:rPr>
        <w:t xml:space="preserve"> </w:t>
      </w:r>
      <w:r w:rsidRPr="00FD72BA">
        <w:rPr>
          <w:color w:val="000000"/>
        </w:rPr>
        <w:t>from the</w:t>
      </w:r>
      <w:r w:rsidR="00DE5A36">
        <w:rPr>
          <w:color w:val="000000"/>
        </w:rPr>
        <w:t xml:space="preserve"> U.S. Census,</w:t>
      </w:r>
      <w:r w:rsidRPr="00FD72BA">
        <w:rPr>
          <w:color w:val="000000"/>
        </w:rPr>
        <w:t xml:space="preserve"> </w:t>
      </w:r>
      <w:r w:rsidR="00DE5A36">
        <w:rPr>
          <w:color w:val="000000"/>
        </w:rPr>
        <w:t>American Community Survey, and validated firearm ownership estimates from The RAND State-Level Firearm Ownership Database</w:t>
      </w:r>
      <w:r w:rsidR="003D1C0B">
        <w:rPr>
          <w:color w:val="000000"/>
        </w:rPr>
        <w:fldChar w:fldCharType="begin"/>
      </w:r>
      <w:r w:rsidR="00FA3899">
        <w:rPr>
          <w:color w:val="000000"/>
        </w:rPr>
        <w:instrText xml:space="preserve"> ADDIN ZOTERO_ITEM CSL_CITATION {"citationID":"ghkD1qcc","properties":{"formattedCitation":"\\super 7,8\\nosupersub{}","plainCitation":"7,8","noteIndex":0},"citationItems":[{"id":1716,"uris":["http://zotero.org/users/10131437/items/27G23KBW"],"itemData":{"id":1716,"type":"report","abstract":"This document presents methods used to construct the RAND State Firearm Law Database, a longitudinal database of state firearm laws that is free to the public to support improved analysis and understanding of the effects of laws and provides definitions and other information that facilitates its use.","language":"en","source":"www.rand.org","title":"Development of the RAND State Firearm Law Database and Supporting Materials","URL":"https://www.rand.org/pubs/tools/TLA243-2-v3.html","author":[{"family":"Hoch","given":"Emily"},{"family":"Nabel","given":"Amy"},{"family":"Morral","given":"Andrew R."},{"family":"Schell","given":"Terry L."},{"family":"Smucker","given":"Sierra"}],"accessed":{"date-parts":[["2025",5,8]]},"issued":{"date-parts":[["2025",3,10]]}}},{"id":1664,"uris":["http://zotero.org/users/10131437/items/G6HHCG88"],"itemData":{"id":1664,"type":"webpage","abstract":"The Johns Hopkins Center for Gun Violence Solutions, in partnership with the U.S. Department of Justice, Bureau of Justice Assistance (BJA), established the National ERPO Resource Center (ERC) in 2023. The ERC is a training and technical assistance hub designed to support states and localities as they establish and implement ERPO programs to reduce gun violence and save lives.","container-title":"The National ERPO Resource Center","language":"en-US","title":"The National ERPO Resource Center","URL":"https://erpo.org/","accessed":{"date-parts":[["2025",5,5]]}}}],"schema":"https://github.com/citation-style-language/schema/raw/master/csl-citation.json"} </w:instrText>
      </w:r>
      <w:r w:rsidR="003D1C0B">
        <w:rPr>
          <w:color w:val="000000"/>
        </w:rPr>
        <w:fldChar w:fldCharType="separate"/>
      </w:r>
      <w:r w:rsidR="00FA3899" w:rsidRPr="00FA3899">
        <w:rPr>
          <w:color w:val="000000"/>
          <w:vertAlign w:val="superscript"/>
        </w:rPr>
        <w:t>7,8</w:t>
      </w:r>
      <w:r w:rsidR="003D1C0B">
        <w:rPr>
          <w:color w:val="000000"/>
        </w:rPr>
        <w:fldChar w:fldCharType="end"/>
      </w:r>
      <w:r w:rsidR="00DE5A36">
        <w:rPr>
          <w:color w:val="000000"/>
        </w:rPr>
        <w:t xml:space="preserve">. </w:t>
      </w:r>
    </w:p>
    <w:p w14:paraId="21845CD1" w14:textId="77777777" w:rsidR="00FD72BA" w:rsidRPr="00FD72BA" w:rsidRDefault="00FD72BA" w:rsidP="00FD72BA">
      <w:pPr>
        <w:spacing w:before="100" w:beforeAutospacing="1" w:after="100" w:afterAutospacing="1"/>
        <w:outlineLvl w:val="2"/>
        <w:rPr>
          <w:b/>
          <w:bCs/>
          <w:color w:val="000000"/>
        </w:rPr>
      </w:pPr>
      <w:r w:rsidRPr="00FD72BA">
        <w:rPr>
          <w:b/>
          <w:bCs/>
          <w:color w:val="000000"/>
        </w:rPr>
        <w:lastRenderedPageBreak/>
        <w:t>Measures</w:t>
      </w:r>
    </w:p>
    <w:p w14:paraId="6DE983C2" w14:textId="5EFE89FA" w:rsidR="00FD72BA" w:rsidRPr="00FD72BA" w:rsidRDefault="00FD72BA" w:rsidP="00FD72BA">
      <w:pPr>
        <w:spacing w:before="100" w:beforeAutospacing="1" w:after="100" w:afterAutospacing="1"/>
        <w:rPr>
          <w:color w:val="000000"/>
        </w:rPr>
      </w:pPr>
      <w:r w:rsidRPr="00FD72BA">
        <w:rPr>
          <w:color w:val="000000"/>
        </w:rPr>
        <w:t xml:space="preserve">The primary outcome was the state-level annual incidence rate of </w:t>
      </w:r>
      <w:r w:rsidR="001B0F8A">
        <w:rPr>
          <w:color w:val="000000"/>
        </w:rPr>
        <w:t>firearm-related</w:t>
      </w:r>
      <w:r w:rsidR="0070341A">
        <w:rPr>
          <w:color w:val="000000"/>
        </w:rPr>
        <w:t xml:space="preserve"> suicide</w:t>
      </w:r>
      <w:r w:rsidRPr="00FD72BA">
        <w:rPr>
          <w:color w:val="000000"/>
        </w:rPr>
        <w:t xml:space="preserve">. ERPO law implementation was operationalized through two policy variables to differentiate immediate and phased-in effects. The immediate-effect variable indicated the presence or absence of an ERPO law beginning </w:t>
      </w:r>
      <w:r w:rsidR="00B13901">
        <w:rPr>
          <w:color w:val="000000"/>
        </w:rPr>
        <w:t>in</w:t>
      </w:r>
      <w:r w:rsidRPr="00FD72BA">
        <w:rPr>
          <w:color w:val="000000"/>
        </w:rPr>
        <w:t xml:space="preserve"> the year of implementation. The phase-in variable represented a gradual policy effect modeled linearly over the subsequent five years, capturing potential incremental impacts as implementation proceeds, awareness increases, and utilization grows. This dual-parameter approach accommodates the possibility that the effects of policy implementation may manifest gradually rather than instantaneously</w:t>
      </w:r>
      <w:r w:rsidR="00FA3899">
        <w:rPr>
          <w:color w:val="000000"/>
        </w:rPr>
        <w:fldChar w:fldCharType="begin"/>
      </w:r>
      <w:r w:rsidR="00FA3899">
        <w:rPr>
          <w:color w:val="000000"/>
        </w:rPr>
        <w:instrText xml:space="preserve"> ADDIN ZOTERO_ITEM CSL_CITATION {"citationID":"GMHNCe8K","properties":{"formattedCitation":"\\super 6,9\\nosupersub{}","plainCitation":"6,9","noteIndex":0},"citationItems":[{"id":1667,"uris":["http://zotero.org/users/10131437/items/B7BXDG89"],"itemData":{"id":1667,"type":"book","ISBN":"978-1-977401-55-7","language":"en","note":"DOI: 10.7249/RR2685","publisher":"RAND Corporation","source":"DOI.org (Crossref)","title":"Evaluating Methods to Estimate the Effect of State Laws on Firearm Deaths: A Simulation Study","title-short":"Evaluating Methods to Estimate the Effect of State Laws on Firearm Deaths","URL":"https://www.rand.org/pubs/research_reports/RR2685.html","author":[{"family":"Schell","given":"Terry"},{"family":"Griffin","given":"Beth Ann"},{"family":"Morral","given":"Andrew"}],"accessed":{"date-parts":[["2025",5,8]]},"issued":{"date-parts":[["2018"]]}}},{"id":1661,"uris":["http://zotero.org/users/10131437/items/KUKH3V83"],"itemData":{"id":1661,"type":"article-journal","abstract":"Despite high social and public health costs of firearm violence in the United States, the effects of many policies designed to reduce firearm mortality remain uncertain.To estimate the individual and joint effect sizes of state firearm policies on firearm-related mortality.In this comparative effectiveness study, bayesian methods were used to model panel data of annual, state-level mortality rates (1979-2019) for all US firearm decedents, with analyses conducted in October 2023.Six classes of firearms policies: background checks, minimum age, waiting periods, child access, concealed carry, and stand-your-ground laws.Primary outcomes (total firearm deaths, firearm homicide deaths, and firearm suicide deaths) were assessed using the National Vital Statistics System. Bayesian estimation was used to estimate the partial association of changes in firearms policies with subsequent changes in firearm mortality.The estimated effect sizes of individual policies 5 or more years after implementation were generally small in magnitude and had considerable uncertainty. The policy class with the highest probability of reducing firearm deaths was child-access prevention laws, estimated to reduce overall firearm mortality by 6% (80% credible interval [CrI], −2% to −9%). The policy class with the highest probability of increasing firearm deaths was stand-your-ground laws, estimated to increase firearm homicides by 6% (80% CrI, 0% to 13% increase). Estimates of association of implementing multiple firearm restrictions with subsequent changes in firearm mortality yielded larger effect sizes. Moving from the most permissive to most restrictive set of firearm policies was associated with an estimated 20% reduction in firearm deaths (80% CrI, 10% to 28% reduction), with a 0.99 probability of any reductions in firearm death rates.In this comparative effectiveness study of state firearm policies, the joint effect estimates of combinations of firearm laws were calculated, showing that restrictive firearm policies were associated with substantial reductions in firearm mortality. Although policymakers would benefit from knowing the effects of individual policies, the estimated changes in firearm mortality following implementation of individual policies were often small and uncertain.","container-title":"JAMA Network Open","DOI":"10.1001/jamanetworkopen.2024.22948","ISSN":"2574-3805","issue":"7","journalAbbreviation":"JAMA Network Open","page":"e2422948","source":"Silverchair","title":"State Policies Regulating Firearms and Changes in Firearm Mortality","volume":"7","author":[{"family":"Schell","given":"Terry L."},{"family":"Smart","given":"Rosanna"},{"family":"Cefalu","given":"Matthew"},{"family":"Griffin","given":"Beth Ann"},{"family":"Morral","given":"Andrew R."}],"issued":{"date-parts":[["2024",7,31]]}}}],"schema":"https://github.com/citation-style-language/schema/raw/master/csl-citation.json"} </w:instrText>
      </w:r>
      <w:r w:rsidR="00FA3899">
        <w:rPr>
          <w:color w:val="000000"/>
        </w:rPr>
        <w:fldChar w:fldCharType="separate"/>
      </w:r>
      <w:r w:rsidR="00FA3899" w:rsidRPr="00FA3899">
        <w:rPr>
          <w:color w:val="000000"/>
          <w:vertAlign w:val="superscript"/>
        </w:rPr>
        <w:t>6,9</w:t>
      </w:r>
      <w:r w:rsidR="00FA3899">
        <w:rPr>
          <w:color w:val="000000"/>
        </w:rPr>
        <w:fldChar w:fldCharType="end"/>
      </w:r>
      <w:r w:rsidRPr="00FD72BA">
        <w:rPr>
          <w:color w:val="000000"/>
        </w:rPr>
        <w:t>.</w:t>
      </w:r>
    </w:p>
    <w:p w14:paraId="32708E68" w14:textId="77777777" w:rsidR="00FD72BA" w:rsidRPr="00FD72BA" w:rsidRDefault="00FD72BA" w:rsidP="00FD72BA">
      <w:pPr>
        <w:spacing w:before="100" w:beforeAutospacing="1" w:after="100" w:afterAutospacing="1"/>
        <w:rPr>
          <w:color w:val="000000"/>
        </w:rPr>
      </w:pPr>
      <w:r w:rsidRPr="00FD72BA">
        <w:rPr>
          <w:color w:val="000000"/>
        </w:rPr>
        <w:t>For placebo analyses, we examined non-firearm suicide rates and motor vehicle accident (MVA) fatality rates, neither of which would be expected to be directly affected by ERPO legislation. These outcomes were obtained from the same National Vital Statistics System database as our primary outcomes.</w:t>
      </w:r>
    </w:p>
    <w:p w14:paraId="2313F909" w14:textId="77777777" w:rsidR="00FD72BA" w:rsidRPr="00FD72BA" w:rsidRDefault="00FD72BA" w:rsidP="00FD72BA">
      <w:pPr>
        <w:spacing w:before="100" w:beforeAutospacing="1" w:after="100" w:afterAutospacing="1"/>
        <w:outlineLvl w:val="2"/>
        <w:rPr>
          <w:b/>
          <w:bCs/>
          <w:color w:val="000000"/>
        </w:rPr>
      </w:pPr>
      <w:r w:rsidRPr="00FD72BA">
        <w:rPr>
          <w:b/>
          <w:bCs/>
          <w:color w:val="000000"/>
        </w:rPr>
        <w:t>Statistical Analysis</w:t>
      </w:r>
    </w:p>
    <w:p w14:paraId="675EBAB7" w14:textId="2B487805" w:rsidR="00AE2B3E" w:rsidRPr="00AE2B3E" w:rsidRDefault="00AE2B3E" w:rsidP="00AE2B3E">
      <w:pPr>
        <w:spacing w:before="100" w:beforeAutospacing="1" w:after="100" w:afterAutospacing="1"/>
      </w:pPr>
      <w:r w:rsidRPr="00AE2B3E">
        <w:t xml:space="preserve">We utilized a Bayesian autoregressive negative binomial regression framework to estimate the causal association between </w:t>
      </w:r>
      <w:r w:rsidR="00FA3899">
        <w:t>ERPO</w:t>
      </w:r>
      <w:r w:rsidRPr="00AE2B3E">
        <w:t xml:space="preserve"> laws and state-level firearm suicide rates. This methodological approach was </w:t>
      </w:r>
      <w:r w:rsidR="001B0F8A">
        <w:t>selected explicitly</w:t>
      </w:r>
      <w:r w:rsidRPr="00AE2B3E">
        <w:t xml:space="preserve"> due to the complexities inherent in state-level policy evaluation, including limited statistical power, heterogeneous policy implementation, and potential temporal dependencies in firearm mortality rates. Recent simulation studies by the RAND Corporation demonstrated that autoregressive negative binomial models significantly outperform conventional methods</w:t>
      </w:r>
      <w:r w:rsidR="001B0F8A">
        <w:t>,</w:t>
      </w:r>
      <w:r w:rsidRPr="00AE2B3E">
        <w:t xml:space="preserve"> such as two-way fixed-effects and difference-in-differences models</w:t>
      </w:r>
      <w:r w:rsidR="001B0F8A">
        <w:t>,</w:t>
      </w:r>
      <w:r w:rsidRPr="00AE2B3E">
        <w:t xml:space="preserve"> in controlling false-positive rates, minimizing bias, and accurately quantifying statistical uncertainty in policy impact estimates</w:t>
      </w:r>
      <w:r w:rsidR="00775F6E">
        <w:fldChar w:fldCharType="begin"/>
      </w:r>
      <w:r w:rsidR="00775F6E">
        <w:instrText xml:space="preserve"> ADDIN ZOTERO_ITEM CSL_CITATION {"citationID":"I8Pvj3j4","properties":{"formattedCitation":"\\super 6\\nosupersub{}","plainCitation":"6","noteIndex":0},"citationItems":[{"id":1667,"uris":["http://zotero.org/users/10131437/items/B7BXDG89"],"itemData":{"id":1667,"type":"book","ISBN":"978-1-977401-55-7","language":"en","note":"DOI: 10.7249/RR2685","publisher":"RAND Corporation","source":"DOI.org (Crossref)","title":"Evaluating Methods to Estimate the Effect of State Laws on Firearm Deaths: A Simulation Study","title-short":"Evaluating Methods to Estimate the Effect of State Laws on Firearm Deaths","URL":"https://www.rand.org/pubs/research_reports/RR2685.html","author":[{"family":"Schell","given":"Terry"},{"family":"Griffin","given":"Beth Ann"},{"family":"Morral","given":"Andrew"}],"accessed":{"date-parts":[["2025",5,8]]},"issued":{"date-parts":[["2018"]]}}}],"schema":"https://github.com/citation-style-language/schema/raw/master/csl-citation.json"} </w:instrText>
      </w:r>
      <w:r w:rsidR="00775F6E">
        <w:fldChar w:fldCharType="separate"/>
      </w:r>
      <w:r w:rsidR="00775F6E" w:rsidRPr="00775F6E">
        <w:rPr>
          <w:vertAlign w:val="superscript"/>
        </w:rPr>
        <w:t>6</w:t>
      </w:r>
      <w:r w:rsidR="00775F6E">
        <w:fldChar w:fldCharType="end"/>
      </w:r>
      <w:r w:rsidRPr="00AE2B3E">
        <w:t xml:space="preserve">. </w:t>
      </w:r>
      <w:r w:rsidR="001B0F8A">
        <w:t>Unlike</w:t>
      </w:r>
      <w:r w:rsidRPr="00AE2B3E">
        <w:t xml:space="preserve"> traditional difference-in-differences approaches, which rely heavily on assumptions of parallel trends between treated and untreated states, our autoregressive approach explicitly models state-specific temporal trends. This allows more accurate identification of the </w:t>
      </w:r>
      <w:r w:rsidR="001B0F8A">
        <w:t>actual</w:t>
      </w:r>
      <w:r w:rsidRPr="00AE2B3E">
        <w:t xml:space="preserve"> policy effect by capturing inherent state-level variations in firearm suicide trends over time.</w:t>
      </w:r>
    </w:p>
    <w:p w14:paraId="573FD4DE" w14:textId="6CE96723" w:rsidR="00AE2B3E" w:rsidRPr="00AE2B3E" w:rsidRDefault="00AE2B3E" w:rsidP="00AE2B3E">
      <w:pPr>
        <w:spacing w:before="100" w:beforeAutospacing="1" w:after="100" w:afterAutospacing="1"/>
      </w:pPr>
      <w:r w:rsidRPr="00AE2B3E">
        <w:t xml:space="preserve">Our Bayesian regression model incorporated several key components to improve causal inference and ensure robust results. First, we included an offset term representing the natural logarithm of the annual state adult population </w:t>
      </w:r>
      <w:r w:rsidR="001B0F8A">
        <w:t>to scale suicide counts to rates properly</w:t>
      </w:r>
      <w:r w:rsidRPr="00AE2B3E">
        <w:t>. To explicitly account for the autoregressive structure inherent in longitudinal state-level mortality data, we introduced first- and second-order autoregressive terms derived from the natural logarithm of state-specific firearm suicide rates from the preceding two years. We also integrated fixed effects for each calendar year to control for broader secular trends influencing firearm suicides across all states</w:t>
      </w:r>
      <w:r w:rsidR="001B0F8A">
        <w:t xml:space="preserve"> and</w:t>
      </w:r>
      <w:r w:rsidRPr="00AE2B3E">
        <w:t xml:space="preserve"> state-specific random effects to capture unmeasured heterogeneity and stable differences among states not fully captured by observed covariates. To further enhance the accuracy of our estimates, we included a set of state-level covariates, such as firearm ownership rates, demographic composition, and economic conditions. The policy effects themselves were modeled through two distinct parameters: an immediate effect at the time of ERPO law implementation and </w:t>
      </w:r>
      <w:r w:rsidR="001B0F8A">
        <w:t>a phase-in gradual impact</w:t>
      </w:r>
      <w:r w:rsidRPr="00AE2B3E">
        <w:t xml:space="preserve"> spanning the subsequent five-year </w:t>
      </w:r>
      <w:r w:rsidRPr="00AE2B3E">
        <w:lastRenderedPageBreak/>
        <w:t>period, thereby allowing for a realistic representation of how policy impacts may strengthen over time due to increased awareness, utilization, and implementation effectiveness.</w:t>
      </w:r>
    </w:p>
    <w:p w14:paraId="1FF02758" w14:textId="5126AA71" w:rsidR="00AE2B3E" w:rsidRPr="00AE2B3E" w:rsidRDefault="00AE2B3E" w:rsidP="00AE2B3E">
      <w:pPr>
        <w:spacing w:before="100" w:beforeAutospacing="1" w:after="100" w:afterAutospacing="1"/>
      </w:pPr>
      <w:r w:rsidRPr="00AE2B3E">
        <w:t>Bayesian estimation was performed using Markov chain Monte Carlo (MCMC) methods to derive posterior distributions for each parameter of interest. Three MCMC chains were executed, each with 10,000 iterations, including a warm-up period of 2,000 iterations and thinning at intervals of five iterations to ensure independent posterior samples. Initial parameter values for each chain were systematically derived from an optimization-based approach using the LBFGS algorithm, facilitating efficient convergence of the sampling process.</w:t>
      </w:r>
    </w:p>
    <w:p w14:paraId="45BBEFA3" w14:textId="05160960" w:rsidR="00AE2B3E" w:rsidRPr="00AE2B3E" w:rsidRDefault="00AE2B3E" w:rsidP="00AE2B3E">
      <w:pPr>
        <w:spacing w:before="100" w:beforeAutospacing="1" w:after="100" w:afterAutospacing="1"/>
      </w:pPr>
      <w:r w:rsidRPr="00AE2B3E">
        <w:t xml:space="preserve">The Bayesian approach employed here offers critical advantages for policy evaluation relative to traditional frequentist inference. Prior research and methodological simulation studies have consistently demonstrated that Bayesian estimation provides more accurate quantification of parameter uncertainty and better statistical performance in complex, autoregressive models like ours. Furthermore, Bayesian methods yield intuitive probability-based metrics that directly quantify the strength and direction of policy effects, such as the posterior probability that ERPO laws reduce firearm suicide rates. Such probabilistic interpretations can offer policymakers </w:t>
      </w:r>
      <w:r w:rsidR="00513EEE">
        <w:t>more precise</w:t>
      </w:r>
      <w:r w:rsidRPr="00AE2B3E">
        <w:t xml:space="preserve"> guidance than conventional p-values, especially when evaluating interventions </w:t>
      </w:r>
      <w:r w:rsidR="001B0F8A">
        <w:t>with</w:t>
      </w:r>
      <w:r w:rsidRPr="00AE2B3E">
        <w:t xml:space="preserve"> small but substantively meaningful effects</w:t>
      </w:r>
      <w:r w:rsidR="00F2655F">
        <w:fldChar w:fldCharType="begin"/>
      </w:r>
      <w:r w:rsidR="00F2655F">
        <w:instrText xml:space="preserve"> ADDIN ZOTERO_ITEM CSL_CITATION {"citationID":"vsPsSjAE","properties":{"formattedCitation":"\\super 10\\nosupersub{}","plainCitation":"10","noteIndex":0},"citationItems":[{"id":1717,"uris":["http://zotero.org/users/10131437/items/M5N98GU6"],"itemData":{"id":1717,"type":"article-journal","abstract":"In classical statistics, the significance of comparisons (e.g., θ1− θ2) is calibrated using the Type 1 error rate, relying on the assumption that the true difference is zero, which makes no sense in many applications. We set up a more relevant framework in which a true comparison can be positive or negative, and, based on the data, you can state “θ1 &gt; θ2 with confidence,” “θ2 &gt; θ1 with confidence,” or “no claim with confidence.” We focus on the Type S (for sign) error, which occurs when you claim “θ1 &gt; θ2 with confidence” when θ2&gt; θ1 (or vice-versa). We compute the Type S error rates for classical and Bayesian confidence statements and find that classical Type S error rates can be extremely high (up to 50%). Bayesian confidence statements are conservative, in the sense that claims based on 95% posterior intervals have Type S error rates between 0 and 2.5%. For multiple comparison situations, the conclusions are similar.","container-title":"Computational Statistics","DOI":"10.1007/s001800000040","ISSN":"1613-9658","issue":"3","journalAbbreviation":"Computational Statistics","language":"en","page":"373-390","source":"Springer Link","title":"Type S error rates for classical and Bayesian single and multiple comparison procedures","volume":"15","author":[{"family":"Gelman","given":"Andrew"},{"family":"Tuerlinckx","given":"Francis"}],"issued":{"date-parts":[["2000",9,1]]}}}],"schema":"https://github.com/citation-style-language/schema/raw/master/csl-citation.json"} </w:instrText>
      </w:r>
      <w:r w:rsidR="00F2655F">
        <w:fldChar w:fldCharType="separate"/>
      </w:r>
      <w:r w:rsidR="00F2655F" w:rsidRPr="00F2655F">
        <w:rPr>
          <w:vertAlign w:val="superscript"/>
        </w:rPr>
        <w:t>10</w:t>
      </w:r>
      <w:r w:rsidR="00F2655F">
        <w:fldChar w:fldCharType="end"/>
      </w:r>
      <w:r w:rsidRPr="00AE2B3E">
        <w:t>.</w:t>
      </w:r>
    </w:p>
    <w:p w14:paraId="23F0E749" w14:textId="67766FD2" w:rsidR="00163337" w:rsidRPr="00AE2B3E" w:rsidRDefault="00AE2B3E" w:rsidP="00AE2B3E">
      <w:pPr>
        <w:spacing w:before="100" w:beforeAutospacing="1" w:after="100" w:afterAutospacing="1"/>
      </w:pPr>
      <w:r w:rsidRPr="00AE2B3E">
        <w:t xml:space="preserve">Posterior distributions generated from the Bayesian model allowed us to estimate the immediate and cumulative five-year incidence rate ratios (IRRs) associated with ERPO laws, accompanied by 95% credible intervals. Additionally, we directly calculated the posterior probabilities that ERPO laws were associated with reductions in firearm suicide rates (IRR &lt; 1). To assess the robustness and validity of our findings, we conducted extensive sensitivity analyses, evaluating alternative model specifications, varying prior distributions, and exploring potential influence from individual states or observations. Comprehensive details regarding model specification, prior choices, initialization strategies, and sensitivity analyses are provided in the Supplementary </w:t>
      </w:r>
      <w:proofErr w:type="spellStart"/>
      <w:r w:rsidRPr="00AE2B3E">
        <w:t>eMethods</w:t>
      </w:r>
      <w:proofErr w:type="spellEnd"/>
      <w:r w:rsidRPr="00AE2B3E">
        <w:t xml:space="preserve"> Appendix.</w:t>
      </w:r>
    </w:p>
    <w:p w14:paraId="3755AAD3" w14:textId="77777777" w:rsidR="00FD72BA" w:rsidRPr="00FD72BA" w:rsidRDefault="00FD72BA" w:rsidP="00FD72BA">
      <w:pPr>
        <w:spacing w:before="100" w:beforeAutospacing="1" w:after="100" w:afterAutospacing="1"/>
        <w:outlineLvl w:val="1"/>
        <w:rPr>
          <w:b/>
          <w:bCs/>
          <w:color w:val="000000"/>
        </w:rPr>
      </w:pPr>
      <w:r w:rsidRPr="00FD72BA">
        <w:rPr>
          <w:b/>
          <w:bCs/>
          <w:color w:val="000000"/>
        </w:rPr>
        <w:t>Results</w:t>
      </w:r>
    </w:p>
    <w:p w14:paraId="6C87395D" w14:textId="77777777" w:rsidR="00FD72BA" w:rsidRPr="00FD72BA" w:rsidRDefault="00FD72BA" w:rsidP="00FD72BA">
      <w:pPr>
        <w:spacing w:before="100" w:beforeAutospacing="1" w:after="100" w:afterAutospacing="1"/>
        <w:outlineLvl w:val="2"/>
        <w:rPr>
          <w:b/>
          <w:bCs/>
          <w:color w:val="000000"/>
        </w:rPr>
      </w:pPr>
      <w:r w:rsidRPr="00FD72BA">
        <w:rPr>
          <w:b/>
          <w:bCs/>
          <w:color w:val="000000"/>
        </w:rPr>
        <w:t>Policy Effects on Firearm Mortality</w:t>
      </w:r>
    </w:p>
    <w:p w14:paraId="5D89971C" w14:textId="24EA0910" w:rsidR="00B1078D" w:rsidRPr="00B1078D" w:rsidRDefault="00B1078D" w:rsidP="00B1078D">
      <w:pPr>
        <w:spacing w:before="100" w:beforeAutospacing="1" w:after="100" w:afterAutospacing="1"/>
      </w:pPr>
      <w:r w:rsidRPr="00B1078D">
        <w:t>ERPO laws were associated with a significant reduction in overall firearm mortality rates. Figure 2 (left panel)</w:t>
      </w:r>
      <w:r w:rsidR="00513EEE">
        <w:t xml:space="preserve"> shows that</w:t>
      </w:r>
      <w:r w:rsidRPr="00B1078D">
        <w:t xml:space="preserve"> the estimated incidence-rate ratio (IRR) decreased progressively following ERPO implementation, </w:t>
      </w:r>
      <w:r w:rsidR="001B0F8A">
        <w:t>gradually strengthening</w:t>
      </w:r>
      <w:r w:rsidRPr="00B1078D">
        <w:t xml:space="preserve"> the policy effect. At implementation (year 0), the median IRR was 0.97 (95 % credible interval [CI], 0.95–1.00), representing an immediate 3 % reduction in firearm deaths. By year 5 post-implementation, the median IRR had decreased to 0.91 (95 % CI, 0.88–0.95), corresponding to a 9 % reduction in firearm mortality rates.</w:t>
      </w:r>
    </w:p>
    <w:p w14:paraId="261634F0" w14:textId="402D136A" w:rsidR="00B1078D" w:rsidRPr="00B1078D" w:rsidRDefault="00B1078D" w:rsidP="00B1078D">
      <w:pPr>
        <w:spacing w:before="100" w:beforeAutospacing="1" w:after="100" w:afterAutospacing="1"/>
      </w:pPr>
      <w:r w:rsidRPr="00B1078D">
        <w:t xml:space="preserve">The posterior distributions of the policy effect by year (Figure 2, right panel) demonstrate the accumulating evidence for ERPO effectiveness over time. The probability that ERPO laws reduce firearm mortality (IRR &lt; 1) was 90.8 % at implementation, increasing to &gt;99.9 % by year </w:t>
      </w:r>
      <w:r w:rsidRPr="00B1078D">
        <w:lastRenderedPageBreak/>
        <w:t>5. The gradual strengthening of the effect likely reflects increasing awareness, utilization, and implementation capacity of ERPO laws over time.</w:t>
      </w:r>
    </w:p>
    <w:p w14:paraId="3CF9999B" w14:textId="46CD3C6C" w:rsidR="00B1078D" w:rsidRDefault="00B1078D" w:rsidP="00B1078D">
      <w:pPr>
        <w:spacing w:before="100" w:beforeAutospacing="1" w:after="100" w:afterAutospacing="1"/>
      </w:pPr>
      <w:r w:rsidRPr="00B1078D">
        <w:t xml:space="preserve">The implementation of ERPO laws was associated with significant and progressively </w:t>
      </w:r>
      <w:r w:rsidR="001B0F8A">
        <w:t>more substantial</w:t>
      </w:r>
      <w:r w:rsidRPr="00B1078D">
        <w:t xml:space="preserve"> reductions in </w:t>
      </w:r>
      <w:r w:rsidR="001B0F8A">
        <w:t>firearm suicide</w:t>
      </w:r>
      <w:r w:rsidRPr="00B1078D">
        <w:t xml:space="preserve"> rates over time. At the year of implementation (year 0), ERPO laws were associated with an </w:t>
      </w:r>
      <w:r w:rsidR="001B0F8A">
        <w:t>incidence rate</w:t>
      </w:r>
      <w:r w:rsidRPr="00B1078D">
        <w:t xml:space="preserve"> ratio of 0.97 (95 % CI, 0.95–1.00), reflecting an estimated 3 % reduction. The effect strengthened gradually each subsequent year, reaching a 9 % reduction by the fifth year after implementation (IRR, 0.91; 95 % CI, 0.88–0.95). The probability that ERPO laws were associated with any reduction in firearm suicide (IRR &lt; 1) increased consistently, from 90.8 % at implementation to effectively 100 % by the third year and thereafter (Table 1 and Figure 2).</w:t>
      </w:r>
    </w:p>
    <w:p w14:paraId="53A09EB9" w14:textId="2D48A444" w:rsidR="00845674" w:rsidRPr="00B1078D" w:rsidRDefault="00845674" w:rsidP="00845674">
      <w:pPr>
        <w:pStyle w:val="p1"/>
        <w:jc w:val="center"/>
        <w:rPr>
          <w:rFonts w:ascii="Times New Roman" w:hAnsi="Times New Roman"/>
          <w:b/>
          <w:bCs/>
          <w:sz w:val="24"/>
          <w:szCs w:val="24"/>
        </w:rPr>
      </w:pPr>
      <w:r w:rsidRPr="00845674">
        <w:rPr>
          <w:rFonts w:ascii="Times New Roman" w:hAnsi="Times New Roman"/>
          <w:b/>
          <w:bCs/>
          <w:sz w:val="24"/>
          <w:szCs w:val="24"/>
        </w:rPr>
        <w:t>Figure 2</w:t>
      </w:r>
      <w:r>
        <w:rPr>
          <w:rFonts w:ascii="Times New Roman" w:hAnsi="Times New Roman"/>
          <w:b/>
          <w:bCs/>
          <w:sz w:val="24"/>
          <w:szCs w:val="24"/>
        </w:rPr>
        <w:t xml:space="preserve">: </w:t>
      </w:r>
      <w:r w:rsidRPr="00845674">
        <w:rPr>
          <w:rFonts w:ascii="Times New Roman" w:hAnsi="Times New Roman"/>
          <w:b/>
          <w:bCs/>
          <w:sz w:val="24"/>
          <w:szCs w:val="24"/>
        </w:rPr>
        <w:t>Time-varying effect of Extreme-Risk-Protection-Order laws on state firearm-suicide rates, 2001-2023</w:t>
      </w:r>
    </w:p>
    <w:p w14:paraId="5226B2BE" w14:textId="015AA3AE" w:rsidR="00CF2FC5" w:rsidRDefault="00DE04F0" w:rsidP="00DE04F0">
      <w:pPr>
        <w:spacing w:before="100" w:beforeAutospacing="1" w:after="100" w:afterAutospacing="1"/>
        <w:jc w:val="center"/>
        <w:rPr>
          <w:color w:val="000000"/>
        </w:rPr>
      </w:pPr>
      <w:r>
        <w:rPr>
          <w:noProof/>
          <w:color w:val="000000"/>
        </w:rPr>
        <w:drawing>
          <wp:inline distT="0" distB="0" distL="0" distR="0" wp14:anchorId="0D45E929" wp14:editId="07F97282">
            <wp:extent cx="6057668" cy="2524028"/>
            <wp:effectExtent l="0" t="0" r="635" b="3810"/>
            <wp:docPr id="2133629450" name="Picture 7" descr="A comparison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29450" name="Picture 7" descr="A comparison of graphs and diagram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4384" cy="2555993"/>
                    </a:xfrm>
                    <a:prstGeom prst="rect">
                      <a:avLst/>
                    </a:prstGeom>
                  </pic:spPr>
                </pic:pic>
              </a:graphicData>
            </a:graphic>
          </wp:inline>
        </w:drawing>
      </w:r>
    </w:p>
    <w:p w14:paraId="189769DE" w14:textId="6E02A16E" w:rsidR="00845674" w:rsidRPr="00845674" w:rsidRDefault="00845674" w:rsidP="00845674">
      <w:pPr>
        <w:pStyle w:val="p1"/>
        <w:jc w:val="both"/>
        <w:rPr>
          <w:rFonts w:ascii="Times New Roman" w:hAnsi="Times New Roman"/>
          <w:i/>
          <w:iCs/>
          <w:color w:val="auto"/>
          <w:sz w:val="18"/>
          <w:szCs w:val="18"/>
        </w:rPr>
      </w:pPr>
      <w:r w:rsidRPr="00845674">
        <w:rPr>
          <w:rFonts w:ascii="Times New Roman" w:hAnsi="Times New Roman"/>
          <w:i/>
          <w:iCs/>
          <w:sz w:val="18"/>
          <w:szCs w:val="18"/>
        </w:rPr>
        <w:t xml:space="preserve">Left panel: </w:t>
      </w:r>
      <w:r w:rsidRPr="00845674">
        <w:rPr>
          <w:rFonts w:ascii="Times New Roman" w:hAnsi="Times New Roman"/>
          <w:i/>
          <w:iCs/>
          <w:color w:val="auto"/>
          <w:sz w:val="18"/>
          <w:szCs w:val="18"/>
        </w:rPr>
        <w:t xml:space="preserve">Grey lines show every </w:t>
      </w:r>
      <w:r w:rsidR="00513EEE">
        <w:rPr>
          <w:rFonts w:ascii="Times New Roman" w:hAnsi="Times New Roman"/>
          <w:i/>
          <w:iCs/>
          <w:color w:val="auto"/>
          <w:sz w:val="18"/>
          <w:szCs w:val="18"/>
        </w:rPr>
        <w:t>20th</w:t>
      </w:r>
      <w:r w:rsidRPr="00845674">
        <w:rPr>
          <w:rFonts w:ascii="Times New Roman" w:hAnsi="Times New Roman"/>
          <w:i/>
          <w:iCs/>
          <w:color w:val="auto"/>
          <w:sz w:val="18"/>
          <w:szCs w:val="18"/>
        </w:rPr>
        <w:t xml:space="preserve"> posterior draw); the heavy black line is the posterior median.  The dashed line marks IRR = 1·0 (</w:t>
      </w:r>
      <w:r w:rsidR="00513EEE">
        <w:rPr>
          <w:rFonts w:ascii="Times New Roman" w:hAnsi="Times New Roman"/>
          <w:i/>
          <w:iCs/>
          <w:color w:val="auto"/>
          <w:sz w:val="18"/>
          <w:szCs w:val="18"/>
        </w:rPr>
        <w:t>"</w:t>
      </w:r>
      <w:r w:rsidRPr="00845674">
        <w:rPr>
          <w:rFonts w:ascii="Times New Roman" w:hAnsi="Times New Roman"/>
          <w:i/>
          <w:iCs/>
          <w:color w:val="auto"/>
          <w:sz w:val="18"/>
          <w:szCs w:val="18"/>
        </w:rPr>
        <w:t>no effect</w:t>
      </w:r>
      <w:r w:rsidR="00513EEE">
        <w:rPr>
          <w:rFonts w:ascii="Times New Roman" w:hAnsi="Times New Roman"/>
          <w:i/>
          <w:iCs/>
          <w:color w:val="auto"/>
          <w:sz w:val="18"/>
          <w:szCs w:val="18"/>
        </w:rPr>
        <w:t>"</w:t>
      </w:r>
      <w:r w:rsidRPr="00845674">
        <w:rPr>
          <w:rFonts w:ascii="Times New Roman" w:hAnsi="Times New Roman"/>
          <w:i/>
          <w:iCs/>
          <w:color w:val="auto"/>
          <w:sz w:val="18"/>
          <w:szCs w:val="18"/>
        </w:rPr>
        <w:t xml:space="preserve">).  The vertical drop at t = 0 reflects the immediate step change (β₁), followed by a linear phase-in driven by β₂.  Estimates derive from a Bayesian negative-binomial </w:t>
      </w:r>
      <w:proofErr w:type="gramStart"/>
      <w:r w:rsidRPr="00845674">
        <w:rPr>
          <w:rFonts w:ascii="Times New Roman" w:hAnsi="Times New Roman"/>
          <w:i/>
          <w:iCs/>
          <w:color w:val="auto"/>
          <w:sz w:val="18"/>
          <w:szCs w:val="18"/>
        </w:rPr>
        <w:t>AR(</w:t>
      </w:r>
      <w:proofErr w:type="gramEnd"/>
      <w:r w:rsidRPr="00845674">
        <w:rPr>
          <w:rFonts w:ascii="Times New Roman" w:hAnsi="Times New Roman"/>
          <w:i/>
          <w:iCs/>
          <w:color w:val="auto"/>
          <w:sz w:val="18"/>
          <w:szCs w:val="18"/>
        </w:rPr>
        <w:t xml:space="preserve">2) model fit to </w:t>
      </w:r>
      <w:r w:rsidRPr="00845674">
        <w:rPr>
          <w:rFonts w:ascii="Times New Roman" w:hAnsi="Times New Roman"/>
          <w:i/>
          <w:iCs/>
          <w:color w:val="auto"/>
          <w:sz w:val="18"/>
          <w:szCs w:val="18"/>
        </w:rPr>
        <w:t>49</w:t>
      </w:r>
      <w:r w:rsidRPr="00845674">
        <w:rPr>
          <w:rFonts w:ascii="Times New Roman" w:hAnsi="Times New Roman"/>
          <w:i/>
          <w:iCs/>
          <w:color w:val="auto"/>
          <w:sz w:val="18"/>
          <w:szCs w:val="18"/>
        </w:rPr>
        <w:t xml:space="preserve"> states × 23 years (2001-2023).</w:t>
      </w:r>
    </w:p>
    <w:p w14:paraId="681377EF" w14:textId="2D52B3BB" w:rsidR="00845674" w:rsidRPr="00845674" w:rsidRDefault="00845674" w:rsidP="00845674">
      <w:pPr>
        <w:pStyle w:val="p1"/>
        <w:jc w:val="both"/>
        <w:rPr>
          <w:rFonts w:ascii="Times New Roman" w:hAnsi="Times New Roman"/>
          <w:i/>
          <w:iCs/>
          <w:color w:val="auto"/>
          <w:sz w:val="18"/>
          <w:szCs w:val="18"/>
        </w:rPr>
      </w:pPr>
      <w:r w:rsidRPr="00845674">
        <w:rPr>
          <w:rFonts w:ascii="Times New Roman" w:hAnsi="Times New Roman"/>
          <w:i/>
          <w:iCs/>
          <w:color w:val="auto"/>
          <w:sz w:val="18"/>
          <w:szCs w:val="18"/>
        </w:rPr>
        <w:t xml:space="preserve">Right panel: </w:t>
      </w:r>
      <w:r w:rsidRPr="00845674">
        <w:rPr>
          <w:rFonts w:ascii="Times New Roman" w:hAnsi="Times New Roman"/>
          <w:i/>
          <w:iCs/>
          <w:color w:val="auto"/>
          <w:sz w:val="18"/>
          <w:szCs w:val="18"/>
        </w:rPr>
        <w:t>Kernel densities (</w:t>
      </w:r>
      <w:r w:rsidRPr="00845674">
        <w:rPr>
          <w:rFonts w:ascii="Times New Roman" w:hAnsi="Times New Roman"/>
          <w:i/>
          <w:iCs/>
          <w:color w:val="auto"/>
          <w:sz w:val="18"/>
          <w:szCs w:val="18"/>
        </w:rPr>
        <w:t>colors</w:t>
      </w:r>
      <w:r w:rsidRPr="00845674">
        <w:rPr>
          <w:rFonts w:ascii="Times New Roman" w:hAnsi="Times New Roman"/>
          <w:i/>
          <w:iCs/>
          <w:color w:val="auto"/>
          <w:sz w:val="18"/>
          <w:szCs w:val="18"/>
        </w:rPr>
        <w:t xml:space="preserve"> 0–5) correspond to posterior draws of IRR for elapsed years 0–5.  Rugs at the base mark individual draws.  The progressive </w:t>
      </w:r>
      <w:r w:rsidR="00513EEE">
        <w:rPr>
          <w:rFonts w:ascii="Times New Roman" w:hAnsi="Times New Roman"/>
          <w:i/>
          <w:iCs/>
          <w:color w:val="auto"/>
          <w:sz w:val="18"/>
          <w:szCs w:val="18"/>
        </w:rPr>
        <w:t>left shift</w:t>
      </w:r>
      <w:r w:rsidRPr="00845674">
        <w:rPr>
          <w:rFonts w:ascii="Times New Roman" w:hAnsi="Times New Roman"/>
          <w:i/>
          <w:iCs/>
          <w:color w:val="auto"/>
          <w:sz w:val="18"/>
          <w:szCs w:val="18"/>
        </w:rPr>
        <w:t xml:space="preserve"> indicates a strengthening reduction in firearm suicides as the policy matures; by year 5</w:t>
      </w:r>
      <w:r w:rsidR="00513EEE">
        <w:rPr>
          <w:rFonts w:ascii="Times New Roman" w:hAnsi="Times New Roman"/>
          <w:i/>
          <w:iCs/>
          <w:color w:val="auto"/>
          <w:sz w:val="18"/>
          <w:szCs w:val="18"/>
        </w:rPr>
        <w:t>,</w:t>
      </w:r>
      <w:r w:rsidRPr="00845674">
        <w:rPr>
          <w:rFonts w:ascii="Times New Roman" w:hAnsi="Times New Roman"/>
          <w:i/>
          <w:iCs/>
          <w:color w:val="auto"/>
          <w:sz w:val="18"/>
          <w:szCs w:val="18"/>
        </w:rPr>
        <w:t xml:space="preserve"> the mass of the distribution lies well below IRR = 1.  Credible intervals and exact probabilities are reported in Table 1.</w:t>
      </w:r>
    </w:p>
    <w:p w14:paraId="18F7DD5F" w14:textId="6433493A" w:rsidR="00CF2FC5" w:rsidRDefault="00B1078D" w:rsidP="00B1078D">
      <w:pPr>
        <w:pStyle w:val="NormalWeb"/>
        <w:rPr>
          <w:color w:val="000000"/>
        </w:rPr>
      </w:pPr>
      <w:r>
        <w:rPr>
          <w:color w:val="000000"/>
        </w:rPr>
        <w:t>The Bayesian autoregressive negative binomial model demonstrated excellent predictive accuracy and fit to observed data. The squared correlation between the posterior median predicted firearm suicide rates and the observed rates across all state-year observations was 0.95, indicating that the model reliably captured both between- and within-state variations in firearm suicide over the study period.</w:t>
      </w:r>
    </w:p>
    <w:p w14:paraId="26FB348C" w14:textId="77777777" w:rsidR="00845674" w:rsidRDefault="00845674" w:rsidP="00B1078D">
      <w:pPr>
        <w:pStyle w:val="NormalWeb"/>
        <w:rPr>
          <w:color w:val="000000"/>
        </w:rPr>
      </w:pPr>
    </w:p>
    <w:p w14:paraId="173AB97A" w14:textId="21542675" w:rsidR="00845674" w:rsidRPr="00845674" w:rsidRDefault="00845674" w:rsidP="00845674">
      <w:pPr>
        <w:pStyle w:val="Heading3"/>
        <w:jc w:val="center"/>
        <w:rPr>
          <w:b/>
          <w:bCs/>
          <w:color w:val="000000" w:themeColor="text1"/>
          <w:sz w:val="24"/>
          <w:szCs w:val="24"/>
        </w:rPr>
      </w:pPr>
      <w:r w:rsidRPr="00845674">
        <w:rPr>
          <w:b/>
          <w:bCs/>
          <w:color w:val="000000" w:themeColor="text1"/>
          <w:sz w:val="24"/>
          <w:szCs w:val="24"/>
        </w:rPr>
        <w:lastRenderedPageBreak/>
        <w:t>Table 1</w:t>
      </w:r>
      <w:r>
        <w:rPr>
          <w:b/>
          <w:bCs/>
          <w:color w:val="000000" w:themeColor="text1"/>
          <w:sz w:val="24"/>
          <w:szCs w:val="24"/>
        </w:rPr>
        <w:t xml:space="preserve">: </w:t>
      </w:r>
      <w:r w:rsidRPr="00845674">
        <w:rPr>
          <w:b/>
          <w:bCs/>
          <w:color w:val="000000" w:themeColor="text1"/>
          <w:sz w:val="24"/>
          <w:szCs w:val="24"/>
        </w:rPr>
        <w:t>Posterior incidence-rate ratios (IRRs) for firearm suicides in the five years following ERPO implementation</w:t>
      </w:r>
    </w:p>
    <w:tbl>
      <w:tblPr>
        <w:tblW w:w="95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1"/>
        <w:gridCol w:w="1470"/>
        <w:gridCol w:w="2583"/>
        <w:gridCol w:w="2251"/>
      </w:tblGrid>
      <w:tr w:rsidR="00931ACF" w:rsidRPr="00931ACF" w14:paraId="6049A1AD" w14:textId="77777777" w:rsidTr="00931ACF">
        <w:trPr>
          <w:tblCellSpacing w:w="15" w:type="dxa"/>
        </w:trPr>
        <w:tc>
          <w:tcPr>
            <w:tcW w:w="0" w:type="auto"/>
            <w:vAlign w:val="center"/>
            <w:hideMark/>
          </w:tcPr>
          <w:p w14:paraId="705F037C" w14:textId="77777777" w:rsidR="00931ACF" w:rsidRPr="00931ACF" w:rsidRDefault="00931ACF" w:rsidP="00931ACF">
            <w:pPr>
              <w:jc w:val="center"/>
              <w:rPr>
                <w:b/>
                <w:bCs/>
                <w:color w:val="000000"/>
              </w:rPr>
            </w:pPr>
            <w:r w:rsidRPr="00931ACF">
              <w:rPr>
                <w:b/>
                <w:bCs/>
                <w:color w:val="000000"/>
              </w:rPr>
              <w:t>Years Since Implementation</w:t>
            </w:r>
          </w:p>
        </w:tc>
        <w:tc>
          <w:tcPr>
            <w:tcW w:w="0" w:type="auto"/>
            <w:vAlign w:val="center"/>
            <w:hideMark/>
          </w:tcPr>
          <w:p w14:paraId="081591F4" w14:textId="77777777" w:rsidR="00931ACF" w:rsidRPr="00931ACF" w:rsidRDefault="00931ACF" w:rsidP="00931ACF">
            <w:pPr>
              <w:jc w:val="center"/>
              <w:rPr>
                <w:b/>
                <w:bCs/>
                <w:color w:val="000000"/>
              </w:rPr>
            </w:pPr>
            <w:r w:rsidRPr="00931ACF">
              <w:rPr>
                <w:b/>
                <w:bCs/>
                <w:color w:val="000000"/>
              </w:rPr>
              <w:t>Median IRR</w:t>
            </w:r>
          </w:p>
        </w:tc>
        <w:tc>
          <w:tcPr>
            <w:tcW w:w="0" w:type="auto"/>
            <w:vAlign w:val="center"/>
            <w:hideMark/>
          </w:tcPr>
          <w:p w14:paraId="3E8CF251" w14:textId="77777777" w:rsidR="00931ACF" w:rsidRPr="00931ACF" w:rsidRDefault="00931ACF" w:rsidP="00931ACF">
            <w:pPr>
              <w:jc w:val="center"/>
              <w:rPr>
                <w:b/>
                <w:bCs/>
                <w:color w:val="000000"/>
              </w:rPr>
            </w:pPr>
            <w:r w:rsidRPr="00931ACF">
              <w:rPr>
                <w:b/>
                <w:bCs/>
                <w:color w:val="000000"/>
              </w:rPr>
              <w:t>95% Credible Interval</w:t>
            </w:r>
          </w:p>
        </w:tc>
        <w:tc>
          <w:tcPr>
            <w:tcW w:w="2206" w:type="dxa"/>
            <w:vAlign w:val="center"/>
            <w:hideMark/>
          </w:tcPr>
          <w:p w14:paraId="4038DB80" w14:textId="77777777" w:rsidR="00931ACF" w:rsidRPr="00931ACF" w:rsidRDefault="00931ACF" w:rsidP="00931ACF">
            <w:pPr>
              <w:jc w:val="center"/>
              <w:rPr>
                <w:b/>
                <w:bCs/>
                <w:color w:val="000000"/>
              </w:rPr>
            </w:pPr>
            <w:r w:rsidRPr="00931ACF">
              <w:rPr>
                <w:b/>
                <w:bCs/>
                <w:color w:val="000000"/>
              </w:rPr>
              <w:t>Probability IRR &lt; 1</w:t>
            </w:r>
          </w:p>
        </w:tc>
      </w:tr>
      <w:tr w:rsidR="00B1078D" w:rsidRPr="00931ACF" w14:paraId="07E305A4" w14:textId="77777777" w:rsidTr="00931ACF">
        <w:trPr>
          <w:tblCellSpacing w:w="15" w:type="dxa"/>
        </w:trPr>
        <w:tc>
          <w:tcPr>
            <w:tcW w:w="0" w:type="auto"/>
            <w:vAlign w:val="center"/>
            <w:hideMark/>
          </w:tcPr>
          <w:p w14:paraId="03CC646F" w14:textId="30E96AB2" w:rsidR="00B1078D" w:rsidRPr="00931ACF" w:rsidRDefault="00B1078D" w:rsidP="00B1078D">
            <w:pPr>
              <w:rPr>
                <w:color w:val="000000"/>
              </w:rPr>
            </w:pPr>
            <w:r>
              <w:t>0 (implementation)</w:t>
            </w:r>
          </w:p>
        </w:tc>
        <w:tc>
          <w:tcPr>
            <w:tcW w:w="0" w:type="auto"/>
            <w:vAlign w:val="center"/>
            <w:hideMark/>
          </w:tcPr>
          <w:p w14:paraId="5335B018" w14:textId="2D04B81A" w:rsidR="00B1078D" w:rsidRPr="00931ACF" w:rsidRDefault="00B1078D" w:rsidP="00B1078D">
            <w:pPr>
              <w:rPr>
                <w:color w:val="000000"/>
              </w:rPr>
            </w:pPr>
            <w:r w:rsidRPr="00B1078D">
              <w:t>0.97</w:t>
            </w:r>
          </w:p>
        </w:tc>
        <w:tc>
          <w:tcPr>
            <w:tcW w:w="0" w:type="auto"/>
            <w:vAlign w:val="center"/>
            <w:hideMark/>
          </w:tcPr>
          <w:p w14:paraId="4DB16448" w14:textId="090AFD95" w:rsidR="00B1078D" w:rsidRPr="00931ACF" w:rsidRDefault="00B1078D" w:rsidP="00B1078D">
            <w:pPr>
              <w:rPr>
                <w:color w:val="000000"/>
              </w:rPr>
            </w:pPr>
            <w:r>
              <w:t>0.95 – 1.00</w:t>
            </w:r>
          </w:p>
        </w:tc>
        <w:tc>
          <w:tcPr>
            <w:tcW w:w="2206" w:type="dxa"/>
            <w:vAlign w:val="center"/>
            <w:hideMark/>
          </w:tcPr>
          <w:p w14:paraId="2960F6A6" w14:textId="251A476B" w:rsidR="00B1078D" w:rsidRPr="00931ACF" w:rsidRDefault="00B1078D" w:rsidP="00B1078D">
            <w:pPr>
              <w:rPr>
                <w:color w:val="000000"/>
              </w:rPr>
            </w:pPr>
            <w:r>
              <w:t>0.91</w:t>
            </w:r>
          </w:p>
        </w:tc>
      </w:tr>
      <w:tr w:rsidR="00B1078D" w:rsidRPr="00931ACF" w14:paraId="63CFED5E" w14:textId="77777777" w:rsidTr="00931ACF">
        <w:trPr>
          <w:tblCellSpacing w:w="15" w:type="dxa"/>
        </w:trPr>
        <w:tc>
          <w:tcPr>
            <w:tcW w:w="0" w:type="auto"/>
            <w:vAlign w:val="center"/>
            <w:hideMark/>
          </w:tcPr>
          <w:p w14:paraId="2B5C150F" w14:textId="3EB7D6DE" w:rsidR="00B1078D" w:rsidRPr="00931ACF" w:rsidRDefault="00B1078D" w:rsidP="00B1078D">
            <w:pPr>
              <w:rPr>
                <w:color w:val="000000"/>
              </w:rPr>
            </w:pPr>
            <w:r>
              <w:t>1</w:t>
            </w:r>
          </w:p>
        </w:tc>
        <w:tc>
          <w:tcPr>
            <w:tcW w:w="0" w:type="auto"/>
            <w:vAlign w:val="center"/>
            <w:hideMark/>
          </w:tcPr>
          <w:p w14:paraId="06A0A7EF" w14:textId="74E2F67E" w:rsidR="00B1078D" w:rsidRPr="00931ACF" w:rsidRDefault="00B1078D" w:rsidP="00B1078D">
            <w:pPr>
              <w:rPr>
                <w:color w:val="000000"/>
              </w:rPr>
            </w:pPr>
            <w:r w:rsidRPr="00B1078D">
              <w:t>0.96</w:t>
            </w:r>
          </w:p>
        </w:tc>
        <w:tc>
          <w:tcPr>
            <w:tcW w:w="0" w:type="auto"/>
            <w:vAlign w:val="center"/>
            <w:hideMark/>
          </w:tcPr>
          <w:p w14:paraId="5C573A3D" w14:textId="1012762D" w:rsidR="00B1078D" w:rsidRPr="00931ACF" w:rsidRDefault="00B1078D" w:rsidP="00B1078D">
            <w:pPr>
              <w:rPr>
                <w:color w:val="000000"/>
              </w:rPr>
            </w:pPr>
            <w:r>
              <w:t>0.94 – 0.98</w:t>
            </w:r>
          </w:p>
        </w:tc>
        <w:tc>
          <w:tcPr>
            <w:tcW w:w="2206" w:type="dxa"/>
            <w:vAlign w:val="center"/>
            <w:hideMark/>
          </w:tcPr>
          <w:p w14:paraId="19621BC4" w14:textId="1D7F84C0" w:rsidR="00B1078D" w:rsidRPr="00931ACF" w:rsidRDefault="00B1078D" w:rsidP="00B1078D">
            <w:pPr>
              <w:rPr>
                <w:color w:val="000000"/>
              </w:rPr>
            </w:pPr>
            <w:r>
              <w:t>0.99</w:t>
            </w:r>
          </w:p>
        </w:tc>
      </w:tr>
      <w:tr w:rsidR="00B1078D" w:rsidRPr="00931ACF" w14:paraId="1F20707F" w14:textId="77777777" w:rsidTr="00931ACF">
        <w:trPr>
          <w:tblCellSpacing w:w="15" w:type="dxa"/>
        </w:trPr>
        <w:tc>
          <w:tcPr>
            <w:tcW w:w="0" w:type="auto"/>
            <w:vAlign w:val="center"/>
            <w:hideMark/>
          </w:tcPr>
          <w:p w14:paraId="3AD20DB5" w14:textId="6BA9307D" w:rsidR="00B1078D" w:rsidRPr="00931ACF" w:rsidRDefault="00B1078D" w:rsidP="00B1078D">
            <w:pPr>
              <w:rPr>
                <w:color w:val="000000"/>
              </w:rPr>
            </w:pPr>
            <w:r>
              <w:t>2</w:t>
            </w:r>
          </w:p>
        </w:tc>
        <w:tc>
          <w:tcPr>
            <w:tcW w:w="0" w:type="auto"/>
            <w:vAlign w:val="center"/>
            <w:hideMark/>
          </w:tcPr>
          <w:p w14:paraId="2764BB70" w14:textId="69A5EF5F" w:rsidR="00B1078D" w:rsidRPr="00931ACF" w:rsidRDefault="00B1078D" w:rsidP="00B1078D">
            <w:pPr>
              <w:rPr>
                <w:color w:val="000000"/>
              </w:rPr>
            </w:pPr>
            <w:r w:rsidRPr="00B1078D">
              <w:t>0.95</w:t>
            </w:r>
          </w:p>
        </w:tc>
        <w:tc>
          <w:tcPr>
            <w:tcW w:w="0" w:type="auto"/>
            <w:vAlign w:val="center"/>
            <w:hideMark/>
          </w:tcPr>
          <w:p w14:paraId="5E7773A1" w14:textId="42A8688F" w:rsidR="00B1078D" w:rsidRPr="00931ACF" w:rsidRDefault="00B1078D" w:rsidP="00B1078D">
            <w:pPr>
              <w:rPr>
                <w:color w:val="000000"/>
              </w:rPr>
            </w:pPr>
            <w:r>
              <w:t>0.93 – 0.97</w:t>
            </w:r>
          </w:p>
        </w:tc>
        <w:tc>
          <w:tcPr>
            <w:tcW w:w="2206" w:type="dxa"/>
            <w:vAlign w:val="center"/>
            <w:hideMark/>
          </w:tcPr>
          <w:p w14:paraId="279BCD51" w14:textId="52A5CD79" w:rsidR="00B1078D" w:rsidRPr="00931ACF" w:rsidRDefault="00B1078D" w:rsidP="00B1078D">
            <w:pPr>
              <w:rPr>
                <w:color w:val="000000"/>
              </w:rPr>
            </w:pPr>
            <w:r>
              <w:t>&gt;0.999</w:t>
            </w:r>
          </w:p>
        </w:tc>
      </w:tr>
      <w:tr w:rsidR="00B1078D" w:rsidRPr="00931ACF" w14:paraId="64B94229" w14:textId="77777777" w:rsidTr="00931ACF">
        <w:trPr>
          <w:tblCellSpacing w:w="15" w:type="dxa"/>
        </w:trPr>
        <w:tc>
          <w:tcPr>
            <w:tcW w:w="0" w:type="auto"/>
            <w:vAlign w:val="center"/>
            <w:hideMark/>
          </w:tcPr>
          <w:p w14:paraId="3A888A55" w14:textId="4FA2975B" w:rsidR="00B1078D" w:rsidRPr="00931ACF" w:rsidRDefault="00B1078D" w:rsidP="00B1078D">
            <w:pPr>
              <w:rPr>
                <w:color w:val="000000"/>
              </w:rPr>
            </w:pPr>
            <w:r>
              <w:t>3</w:t>
            </w:r>
          </w:p>
        </w:tc>
        <w:tc>
          <w:tcPr>
            <w:tcW w:w="0" w:type="auto"/>
            <w:vAlign w:val="center"/>
            <w:hideMark/>
          </w:tcPr>
          <w:p w14:paraId="232FC2AF" w14:textId="1D56AD57" w:rsidR="00B1078D" w:rsidRPr="00931ACF" w:rsidRDefault="00B1078D" w:rsidP="00B1078D">
            <w:pPr>
              <w:rPr>
                <w:color w:val="000000"/>
              </w:rPr>
            </w:pPr>
            <w:r w:rsidRPr="00B1078D">
              <w:t>0.94</w:t>
            </w:r>
          </w:p>
        </w:tc>
        <w:tc>
          <w:tcPr>
            <w:tcW w:w="0" w:type="auto"/>
            <w:vAlign w:val="center"/>
            <w:hideMark/>
          </w:tcPr>
          <w:p w14:paraId="7A4C8B50" w14:textId="5F1916FB" w:rsidR="00B1078D" w:rsidRPr="00931ACF" w:rsidRDefault="00B1078D" w:rsidP="00B1078D">
            <w:pPr>
              <w:rPr>
                <w:color w:val="000000"/>
              </w:rPr>
            </w:pPr>
            <w:r>
              <w:t>0.91 – 0.96</w:t>
            </w:r>
          </w:p>
        </w:tc>
        <w:tc>
          <w:tcPr>
            <w:tcW w:w="2206" w:type="dxa"/>
            <w:vAlign w:val="center"/>
            <w:hideMark/>
          </w:tcPr>
          <w:p w14:paraId="658970CC" w14:textId="16337F61" w:rsidR="00B1078D" w:rsidRPr="00931ACF" w:rsidRDefault="00B1078D" w:rsidP="00B1078D">
            <w:pPr>
              <w:rPr>
                <w:color w:val="000000"/>
              </w:rPr>
            </w:pPr>
            <w:r>
              <w:t>&gt;0.999</w:t>
            </w:r>
          </w:p>
        </w:tc>
      </w:tr>
      <w:tr w:rsidR="00B1078D" w:rsidRPr="00931ACF" w14:paraId="7B249353" w14:textId="77777777" w:rsidTr="00931ACF">
        <w:trPr>
          <w:tblCellSpacing w:w="15" w:type="dxa"/>
        </w:trPr>
        <w:tc>
          <w:tcPr>
            <w:tcW w:w="0" w:type="auto"/>
            <w:vAlign w:val="center"/>
            <w:hideMark/>
          </w:tcPr>
          <w:p w14:paraId="322C08FF" w14:textId="3226ECAA" w:rsidR="00B1078D" w:rsidRPr="00931ACF" w:rsidRDefault="00B1078D" w:rsidP="00B1078D">
            <w:pPr>
              <w:rPr>
                <w:color w:val="000000"/>
              </w:rPr>
            </w:pPr>
            <w:r>
              <w:t>4</w:t>
            </w:r>
          </w:p>
        </w:tc>
        <w:tc>
          <w:tcPr>
            <w:tcW w:w="0" w:type="auto"/>
            <w:vAlign w:val="center"/>
            <w:hideMark/>
          </w:tcPr>
          <w:p w14:paraId="5E61D9E7" w14:textId="56953021" w:rsidR="00B1078D" w:rsidRPr="00931ACF" w:rsidRDefault="00B1078D" w:rsidP="00B1078D">
            <w:pPr>
              <w:rPr>
                <w:color w:val="000000"/>
              </w:rPr>
            </w:pPr>
            <w:r w:rsidRPr="00B1078D">
              <w:t>0.93</w:t>
            </w:r>
          </w:p>
        </w:tc>
        <w:tc>
          <w:tcPr>
            <w:tcW w:w="0" w:type="auto"/>
            <w:vAlign w:val="center"/>
            <w:hideMark/>
          </w:tcPr>
          <w:p w14:paraId="6AF166C1" w14:textId="0335B2C1" w:rsidR="00B1078D" w:rsidRPr="00931ACF" w:rsidRDefault="00B1078D" w:rsidP="00B1078D">
            <w:pPr>
              <w:rPr>
                <w:color w:val="000000"/>
              </w:rPr>
            </w:pPr>
            <w:r>
              <w:t>0.90 – 0.95</w:t>
            </w:r>
          </w:p>
        </w:tc>
        <w:tc>
          <w:tcPr>
            <w:tcW w:w="2206" w:type="dxa"/>
            <w:vAlign w:val="center"/>
            <w:hideMark/>
          </w:tcPr>
          <w:p w14:paraId="49FFF346" w14:textId="1D806244" w:rsidR="00B1078D" w:rsidRPr="00931ACF" w:rsidRDefault="00B1078D" w:rsidP="00B1078D">
            <w:pPr>
              <w:rPr>
                <w:color w:val="000000"/>
              </w:rPr>
            </w:pPr>
            <w:r>
              <w:t>&gt;0.999</w:t>
            </w:r>
          </w:p>
        </w:tc>
      </w:tr>
      <w:tr w:rsidR="00B1078D" w:rsidRPr="00931ACF" w14:paraId="1010FE8C" w14:textId="77777777" w:rsidTr="00931ACF">
        <w:trPr>
          <w:tblCellSpacing w:w="15" w:type="dxa"/>
        </w:trPr>
        <w:tc>
          <w:tcPr>
            <w:tcW w:w="0" w:type="auto"/>
            <w:vAlign w:val="center"/>
            <w:hideMark/>
          </w:tcPr>
          <w:p w14:paraId="4534E19F" w14:textId="6B491B04" w:rsidR="00B1078D" w:rsidRPr="00931ACF" w:rsidRDefault="00B1078D" w:rsidP="00B1078D">
            <w:pPr>
              <w:rPr>
                <w:color w:val="000000"/>
              </w:rPr>
            </w:pPr>
            <w:r>
              <w:t>5</w:t>
            </w:r>
          </w:p>
        </w:tc>
        <w:tc>
          <w:tcPr>
            <w:tcW w:w="0" w:type="auto"/>
            <w:vAlign w:val="center"/>
            <w:hideMark/>
          </w:tcPr>
          <w:p w14:paraId="18C05E04" w14:textId="49F476E3" w:rsidR="00B1078D" w:rsidRPr="00931ACF" w:rsidRDefault="00B1078D" w:rsidP="00B1078D">
            <w:pPr>
              <w:rPr>
                <w:color w:val="000000"/>
              </w:rPr>
            </w:pPr>
            <w:r w:rsidRPr="00B1078D">
              <w:t>0.91</w:t>
            </w:r>
          </w:p>
        </w:tc>
        <w:tc>
          <w:tcPr>
            <w:tcW w:w="0" w:type="auto"/>
            <w:vAlign w:val="center"/>
            <w:hideMark/>
          </w:tcPr>
          <w:p w14:paraId="26E37D59" w14:textId="06E54538" w:rsidR="00B1078D" w:rsidRPr="00931ACF" w:rsidRDefault="00B1078D" w:rsidP="00B1078D">
            <w:pPr>
              <w:rPr>
                <w:color w:val="000000"/>
              </w:rPr>
            </w:pPr>
            <w:r>
              <w:t>0.88 – 0.95</w:t>
            </w:r>
          </w:p>
        </w:tc>
        <w:tc>
          <w:tcPr>
            <w:tcW w:w="2206" w:type="dxa"/>
            <w:vAlign w:val="center"/>
            <w:hideMark/>
          </w:tcPr>
          <w:p w14:paraId="004C7429" w14:textId="3A6226EA" w:rsidR="00B1078D" w:rsidRPr="00931ACF" w:rsidRDefault="00B1078D" w:rsidP="00B1078D">
            <w:pPr>
              <w:rPr>
                <w:color w:val="000000"/>
              </w:rPr>
            </w:pPr>
            <w:r>
              <w:t>&gt;0.999</w:t>
            </w:r>
          </w:p>
        </w:tc>
      </w:tr>
    </w:tbl>
    <w:p w14:paraId="368655A5" w14:textId="33C76C85" w:rsidR="00BA3F3E" w:rsidRPr="00BA3F3E" w:rsidRDefault="00BA3F3E" w:rsidP="00BA3F3E">
      <w:pPr>
        <w:spacing w:before="100" w:beforeAutospacing="1" w:after="100" w:afterAutospacing="1"/>
        <w:rPr>
          <w:i/>
          <w:iCs/>
          <w:sz w:val="18"/>
          <w:szCs w:val="18"/>
        </w:rPr>
      </w:pPr>
      <w:r w:rsidRPr="00BA3F3E">
        <w:rPr>
          <w:i/>
          <w:iCs/>
          <w:sz w:val="18"/>
          <w:szCs w:val="18"/>
        </w:rPr>
        <w:t>IRR &lt; 1 indicates a reduction in firearm-suicide risk relative to the counterfactual of no ERPO.  Medians and credible intervals are the 50ᵗʰ, 2·5ᵗʰ, and 97·5ᵗʰ percentiles of posterior draws; probabilities are the proportion of draws with IRR &lt; 1.  Estimates come from the Bayesian NB-</w:t>
      </w:r>
      <w:proofErr w:type="gramStart"/>
      <w:r w:rsidRPr="00BA3F3E">
        <w:rPr>
          <w:i/>
          <w:iCs/>
          <w:sz w:val="18"/>
          <w:szCs w:val="18"/>
        </w:rPr>
        <w:t>AR(</w:t>
      </w:r>
      <w:proofErr w:type="gramEnd"/>
      <w:r w:rsidRPr="00BA3F3E">
        <w:rPr>
          <w:i/>
          <w:iCs/>
          <w:sz w:val="18"/>
          <w:szCs w:val="18"/>
        </w:rPr>
        <w:t xml:space="preserve">2) model described in </w:t>
      </w:r>
      <w:proofErr w:type="spellStart"/>
      <w:r w:rsidRPr="00BA3F3E">
        <w:rPr>
          <w:i/>
          <w:iCs/>
          <w:sz w:val="18"/>
          <w:szCs w:val="18"/>
        </w:rPr>
        <w:t>eMethods</w:t>
      </w:r>
      <w:proofErr w:type="spellEnd"/>
      <w:r w:rsidRPr="00BA3F3E">
        <w:rPr>
          <w:i/>
          <w:iCs/>
          <w:sz w:val="18"/>
          <w:szCs w:val="18"/>
        </w:rPr>
        <w:t xml:space="preserve"> </w:t>
      </w:r>
      <w:r w:rsidRPr="00BA3F3E">
        <w:rPr>
          <w:i/>
          <w:iCs/>
          <w:sz w:val="18"/>
          <w:szCs w:val="18"/>
        </w:rPr>
        <w:t>S</w:t>
      </w:r>
      <w:r w:rsidRPr="00BA3F3E">
        <w:rPr>
          <w:i/>
          <w:iCs/>
          <w:sz w:val="18"/>
          <w:szCs w:val="18"/>
        </w:rPr>
        <w:t>2, controlling for demographic covariates, year fixed effects, and state random effects.</w:t>
      </w:r>
    </w:p>
    <w:p w14:paraId="572B4A15" w14:textId="563125DC" w:rsidR="00FD72BA" w:rsidRPr="00FD72BA" w:rsidRDefault="00FD72BA" w:rsidP="00FD72BA">
      <w:pPr>
        <w:spacing w:before="100" w:beforeAutospacing="1" w:after="100" w:afterAutospacing="1"/>
        <w:outlineLvl w:val="2"/>
        <w:rPr>
          <w:b/>
          <w:bCs/>
          <w:color w:val="000000"/>
        </w:rPr>
      </w:pPr>
      <w:r w:rsidRPr="00FD72BA">
        <w:rPr>
          <w:b/>
          <w:bCs/>
          <w:color w:val="000000"/>
        </w:rPr>
        <w:t>Placebo Analyses</w:t>
      </w:r>
    </w:p>
    <w:p w14:paraId="32C5E5D1" w14:textId="77777777" w:rsidR="00FD72BA" w:rsidRPr="00FD72BA" w:rsidRDefault="00FD72BA" w:rsidP="00FD72BA">
      <w:pPr>
        <w:spacing w:before="100" w:beforeAutospacing="1" w:after="100" w:afterAutospacing="1"/>
        <w:rPr>
          <w:color w:val="000000"/>
        </w:rPr>
      </w:pPr>
      <w:r w:rsidRPr="00FD72BA">
        <w:rPr>
          <w:color w:val="000000"/>
        </w:rPr>
        <w:t>To strengthen causal inference, we conducted placebo analyses examining outcomes that should theoretically be unaffected by ERPO laws: non-firearm suicide rates and motor vehicle accident (MVA) fatality rates. These analyses revealed no significant association between ERPO implementation and either outcome. For non-firearm suicides, the 5-year IRR was 1.02 (95% CI, 0.93-1.10), with a 41.2% probability of IRR &lt; 1. For MVA deaths, the 5-year IRR was 0.99 (95% CI, 0.90-1.08), with a 52.3% probability of IRR &lt; 1.</w:t>
      </w:r>
    </w:p>
    <w:p w14:paraId="2CA6252D" w14:textId="6E0E93AB" w:rsidR="00F5517F" w:rsidRPr="00FD72BA" w:rsidRDefault="00FD72BA" w:rsidP="00FD72BA">
      <w:pPr>
        <w:spacing w:before="100" w:beforeAutospacing="1" w:after="100" w:afterAutospacing="1"/>
        <w:rPr>
          <w:color w:val="000000"/>
        </w:rPr>
      </w:pPr>
      <w:r w:rsidRPr="00FD72BA">
        <w:rPr>
          <w:color w:val="000000"/>
        </w:rPr>
        <w:t xml:space="preserve">These null findings for theoretically unrelated outcomes strengthen the specificity of our main </w:t>
      </w:r>
      <w:r w:rsidR="00B13901">
        <w:rPr>
          <w:color w:val="000000"/>
        </w:rPr>
        <w:t>conclusions</w:t>
      </w:r>
      <w:r w:rsidRPr="00FD72BA">
        <w:rPr>
          <w:color w:val="000000"/>
        </w:rPr>
        <w:t xml:space="preserve"> and reduce concerns about potential confounding from unobserved factors or secular trends that might influence mortality rates more broadly. The contrast between the substantial effect observed for firearm mortality and the null effects for non-firearm outcomes provides compelling evidence that the reductions in firearm deaths can be attributed to the causal impact of ERPO laws rather than to broader societal changes or methodological artifacts.</w:t>
      </w:r>
    </w:p>
    <w:p w14:paraId="58DBF5F7" w14:textId="77777777" w:rsidR="00FD72BA" w:rsidRPr="00FD72BA" w:rsidRDefault="00FD72BA" w:rsidP="00FD72BA">
      <w:pPr>
        <w:spacing w:before="100" w:beforeAutospacing="1" w:after="100" w:afterAutospacing="1"/>
        <w:outlineLvl w:val="2"/>
        <w:rPr>
          <w:b/>
          <w:bCs/>
          <w:color w:val="000000"/>
        </w:rPr>
      </w:pPr>
      <w:r w:rsidRPr="00FD72BA">
        <w:rPr>
          <w:b/>
          <w:bCs/>
          <w:color w:val="000000"/>
        </w:rPr>
        <w:t>Counterfactual Analysis</w:t>
      </w:r>
    </w:p>
    <w:p w14:paraId="0977D7FB" w14:textId="0EA1AD57" w:rsidR="00FD72BA" w:rsidRPr="00FD72BA" w:rsidRDefault="00FD72BA" w:rsidP="00FD72BA">
      <w:pPr>
        <w:spacing w:before="100" w:beforeAutospacing="1" w:after="100" w:afterAutospacing="1"/>
        <w:rPr>
          <w:color w:val="000000"/>
        </w:rPr>
      </w:pPr>
      <w:r w:rsidRPr="00FD72BA">
        <w:rPr>
          <w:color w:val="000000"/>
        </w:rPr>
        <w:t>To estimate the cumulative impact of ERPO laws, we conducted a counterfactual analysis comparing observed firearm mortality to the expected mortality in the absence of ERPO implementation. For each state-year with an ERPO law in effect, we back-calculated the counterfactual deaths using the time-specific IRR estimates from our model.</w:t>
      </w:r>
      <w:r w:rsidR="00047EF7">
        <w:rPr>
          <w:color w:val="000000"/>
        </w:rPr>
        <w:t xml:space="preserve"> This is explained in greater detail in the Appendix </w:t>
      </w:r>
      <w:proofErr w:type="spellStart"/>
      <w:r w:rsidR="00047EF7">
        <w:rPr>
          <w:color w:val="000000"/>
        </w:rPr>
        <w:t>eMethods</w:t>
      </w:r>
      <w:proofErr w:type="spellEnd"/>
      <w:r w:rsidR="00047EF7">
        <w:rPr>
          <w:color w:val="000000"/>
        </w:rPr>
        <w:t>.</w:t>
      </w:r>
    </w:p>
    <w:p w14:paraId="5885CE45" w14:textId="7C0AB1C8" w:rsidR="00020A18" w:rsidRDefault="00FD72BA" w:rsidP="00FD72BA">
      <w:pPr>
        <w:spacing w:before="100" w:beforeAutospacing="1" w:after="100" w:afterAutospacing="1"/>
        <w:rPr>
          <w:color w:val="000000"/>
        </w:rPr>
      </w:pPr>
      <w:r w:rsidRPr="00FD72BA">
        <w:rPr>
          <w:color w:val="000000"/>
        </w:rPr>
        <w:t xml:space="preserve">Our counterfactual analysis indicates that ERPO laws prevented approximately </w:t>
      </w:r>
      <w:r w:rsidR="0005065B">
        <w:rPr>
          <w:color w:val="000000"/>
        </w:rPr>
        <w:t>7,361</w:t>
      </w:r>
      <w:r w:rsidRPr="00FD72BA">
        <w:rPr>
          <w:color w:val="000000"/>
        </w:rPr>
        <w:t xml:space="preserve"> firearm deaths between their implementation in </w:t>
      </w:r>
      <w:r w:rsidR="00047EF7">
        <w:rPr>
          <w:color w:val="000000"/>
        </w:rPr>
        <w:t>2001</w:t>
      </w:r>
      <w:r w:rsidRPr="00FD72BA">
        <w:rPr>
          <w:color w:val="000000"/>
        </w:rPr>
        <w:t xml:space="preserve"> and 2023. This represents a </w:t>
      </w:r>
      <w:r w:rsidR="0005065B">
        <w:rPr>
          <w:color w:val="000000"/>
        </w:rPr>
        <w:t>1.5</w:t>
      </w:r>
      <w:r w:rsidRPr="00FD72BA">
        <w:rPr>
          <w:color w:val="000000"/>
        </w:rPr>
        <w:t xml:space="preserve">% reduction from the expected mortality </w:t>
      </w:r>
      <w:r w:rsidR="00B13901">
        <w:rPr>
          <w:color w:val="000000"/>
        </w:rPr>
        <w:t>without</w:t>
      </w:r>
      <w:r w:rsidRPr="00FD72BA">
        <w:rPr>
          <w:color w:val="000000"/>
        </w:rPr>
        <w:t xml:space="preserve"> these laws (4</w:t>
      </w:r>
      <w:r w:rsidR="0005065B">
        <w:rPr>
          <w:color w:val="000000"/>
        </w:rPr>
        <w:t>73</w:t>
      </w:r>
      <w:r w:rsidRPr="00FD72BA">
        <w:rPr>
          <w:color w:val="000000"/>
        </w:rPr>
        <w:t>,</w:t>
      </w:r>
      <w:r w:rsidR="0005065B">
        <w:rPr>
          <w:color w:val="000000"/>
        </w:rPr>
        <w:t>139</w:t>
      </w:r>
      <w:r w:rsidRPr="00FD72BA">
        <w:rPr>
          <w:color w:val="000000"/>
        </w:rPr>
        <w:t xml:space="preserve"> expected deaths without ERPO laws vs. 465,778 observed deaths). The preventive effect was particularly pronounced in states with longer-standing ERPO statutes and more recent years as implementation expanded to additional states.</w:t>
      </w:r>
    </w:p>
    <w:p w14:paraId="4DDFC8E2" w14:textId="2145D6F7" w:rsidR="00020A18" w:rsidRDefault="00020A18" w:rsidP="00FD72BA">
      <w:pPr>
        <w:spacing w:before="100" w:beforeAutospacing="1" w:after="100" w:afterAutospacing="1"/>
        <w:rPr>
          <w:color w:val="000000"/>
        </w:rPr>
      </w:pPr>
      <w:r w:rsidRPr="00FD72BA">
        <w:rPr>
          <w:color w:val="000000"/>
        </w:rPr>
        <w:lastRenderedPageBreak/>
        <w:t xml:space="preserve">The prevented deaths were not evenly distributed across states, with the </w:t>
      </w:r>
      <w:r>
        <w:rPr>
          <w:color w:val="000000"/>
        </w:rPr>
        <w:t>most significant</w:t>
      </w:r>
      <w:r w:rsidRPr="00FD72BA">
        <w:rPr>
          <w:color w:val="000000"/>
        </w:rPr>
        <w:t xml:space="preserve"> absolute reductions occurring in states with both high baseline firearm </w:t>
      </w:r>
      <w:r w:rsidR="00B565B3">
        <w:rPr>
          <w:color w:val="000000"/>
        </w:rPr>
        <w:t xml:space="preserve">suicide </w:t>
      </w:r>
      <w:r w:rsidRPr="00FD72BA">
        <w:rPr>
          <w:color w:val="000000"/>
        </w:rPr>
        <w:t>mortality and early ERPO implementation</w:t>
      </w:r>
      <w:r w:rsidR="00B565B3">
        <w:rPr>
          <w:color w:val="000000"/>
        </w:rPr>
        <w:t xml:space="preserve"> (Figure 3)</w:t>
      </w:r>
      <w:r w:rsidRPr="00FD72BA">
        <w:rPr>
          <w:color w:val="000000"/>
        </w:rPr>
        <w:t xml:space="preserve">. The magnitude of this effect underscores the potential population-level impact of broader ERPO adoption. If all remaining states had implemented ERPO laws in 2018 (when implementation accelerated), our model suggests an additional </w:t>
      </w:r>
      <w:r w:rsidR="00CB5C59">
        <w:rPr>
          <w:color w:val="000000"/>
        </w:rPr>
        <w:t>2,930</w:t>
      </w:r>
      <w:r w:rsidRPr="00FD72BA">
        <w:rPr>
          <w:color w:val="000000"/>
        </w:rPr>
        <w:t xml:space="preserve"> lives could have been saved </w:t>
      </w:r>
      <w:r w:rsidR="00CB5C59">
        <w:rPr>
          <w:color w:val="000000"/>
        </w:rPr>
        <w:t>by the end of 2023</w:t>
      </w:r>
      <w:r w:rsidRPr="00FD72BA">
        <w:rPr>
          <w:color w:val="000000"/>
        </w:rPr>
        <w:t>.</w:t>
      </w:r>
    </w:p>
    <w:p w14:paraId="3D6984AF" w14:textId="756F7DD0" w:rsidR="00020A18" w:rsidRPr="00020A18" w:rsidRDefault="00020A18" w:rsidP="00020A18">
      <w:pPr>
        <w:spacing w:before="100" w:beforeAutospacing="1" w:after="100" w:afterAutospacing="1"/>
        <w:jc w:val="center"/>
        <w:rPr>
          <w:b/>
          <w:bCs/>
          <w:color w:val="000000"/>
        </w:rPr>
      </w:pPr>
      <w:r w:rsidRPr="00020A18">
        <w:rPr>
          <w:b/>
          <w:bCs/>
          <w:color w:val="000000"/>
        </w:rPr>
        <w:t xml:space="preserve">Figure 2: Estimates </w:t>
      </w:r>
      <w:r w:rsidR="00513EEE">
        <w:rPr>
          <w:b/>
          <w:bCs/>
          <w:color w:val="000000"/>
        </w:rPr>
        <w:t xml:space="preserve">of </w:t>
      </w:r>
      <w:r w:rsidRPr="00020A18">
        <w:rPr>
          <w:b/>
          <w:bCs/>
          <w:color w:val="000000"/>
        </w:rPr>
        <w:t xml:space="preserve">Firearm </w:t>
      </w:r>
      <w:r w:rsidR="00513EEE">
        <w:rPr>
          <w:b/>
          <w:bCs/>
          <w:color w:val="000000"/>
        </w:rPr>
        <w:t>Suicide</w:t>
      </w:r>
      <w:r w:rsidRPr="00020A18">
        <w:rPr>
          <w:b/>
          <w:bCs/>
          <w:color w:val="000000"/>
        </w:rPr>
        <w:t xml:space="preserve"> Deaths Averted by ERPOs, 2018-2023</w:t>
      </w:r>
    </w:p>
    <w:p w14:paraId="5FD3AB98" w14:textId="4F76C754" w:rsidR="00ED5D32" w:rsidRDefault="00F44AFF" w:rsidP="00FD72BA">
      <w:pPr>
        <w:spacing w:before="100" w:beforeAutospacing="1" w:after="100" w:afterAutospacing="1"/>
        <w:rPr>
          <w:color w:val="000000"/>
        </w:rPr>
      </w:pPr>
      <w:r>
        <w:rPr>
          <w:noProof/>
          <w:color w:val="000000"/>
          <w14:ligatures w14:val="standardContextual"/>
        </w:rPr>
        <w:drawing>
          <wp:inline distT="0" distB="0" distL="0" distR="0" wp14:anchorId="1AC9B13E" wp14:editId="461F1E03">
            <wp:extent cx="5943577" cy="3239297"/>
            <wp:effectExtent l="0" t="0" r="0" b="0"/>
            <wp:docPr id="13473192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9213" name="Picture 1347319213"/>
                    <pic:cNvPicPr/>
                  </pic:nvPicPr>
                  <pic:blipFill rotWithShape="1">
                    <a:blip r:embed="rId10"/>
                    <a:srcRect t="4919" b="4084"/>
                    <a:stretch/>
                  </pic:blipFill>
                  <pic:spPr bwMode="auto">
                    <a:xfrm>
                      <a:off x="0" y="0"/>
                      <a:ext cx="5943600" cy="3239309"/>
                    </a:xfrm>
                    <a:prstGeom prst="rect">
                      <a:avLst/>
                    </a:prstGeom>
                    <a:ln>
                      <a:noFill/>
                    </a:ln>
                    <a:extLst>
                      <a:ext uri="{53640926-AAD7-44D8-BBD7-CCE9431645EC}">
                        <a14:shadowObscured xmlns:a14="http://schemas.microsoft.com/office/drawing/2010/main"/>
                      </a:ext>
                    </a:extLst>
                  </pic:spPr>
                </pic:pic>
              </a:graphicData>
            </a:graphic>
          </wp:inline>
        </w:drawing>
      </w:r>
    </w:p>
    <w:p w14:paraId="0538012D" w14:textId="77777777" w:rsidR="009946D7" w:rsidRPr="00FD72BA" w:rsidRDefault="009946D7" w:rsidP="009946D7">
      <w:pPr>
        <w:spacing w:before="100" w:beforeAutospacing="1" w:after="100" w:afterAutospacing="1"/>
        <w:outlineLvl w:val="1"/>
        <w:rPr>
          <w:b/>
          <w:bCs/>
          <w:color w:val="000000"/>
        </w:rPr>
      </w:pPr>
      <w:r w:rsidRPr="00FD72BA">
        <w:rPr>
          <w:b/>
          <w:bCs/>
          <w:color w:val="000000"/>
        </w:rPr>
        <w:t>Discussion</w:t>
      </w:r>
    </w:p>
    <w:p w14:paraId="6BDFD695" w14:textId="17BDBF09" w:rsidR="009946D7" w:rsidRPr="00FD72BA" w:rsidRDefault="009946D7" w:rsidP="00FD72BA">
      <w:pPr>
        <w:spacing w:before="100" w:beforeAutospacing="1" w:after="100" w:afterAutospacing="1"/>
        <w:rPr>
          <w:color w:val="000000"/>
        </w:rPr>
      </w:pPr>
      <w:r w:rsidRPr="00FD72BA">
        <w:rPr>
          <w:color w:val="000000"/>
        </w:rPr>
        <w:t xml:space="preserve">Our findings demonstrate that ERPO laws are associated with meaningful reductions in firearm mortality rates, with effects that strengthen over time following implementation. The </w:t>
      </w:r>
      <w:r w:rsidR="00CD1D9F">
        <w:rPr>
          <w:color w:val="000000"/>
        </w:rPr>
        <w:t>9</w:t>
      </w:r>
      <w:r w:rsidRPr="00FD72BA">
        <w:rPr>
          <w:color w:val="000000"/>
        </w:rPr>
        <w:t xml:space="preserve">% reduction in firearm deaths by year 5 post-implementation represents a substantial public health impact, particularly considering the gradual nature of policy diffusion and implementation. Our counterfactual analysis suggests that ERPO laws prevented approximately </w:t>
      </w:r>
      <w:r w:rsidR="00CD1D9F">
        <w:rPr>
          <w:color w:val="000000"/>
        </w:rPr>
        <w:t>7</w:t>
      </w:r>
      <w:r w:rsidRPr="00FD72BA">
        <w:rPr>
          <w:color w:val="000000"/>
        </w:rPr>
        <w:t>,3</w:t>
      </w:r>
      <w:r w:rsidR="00CD1D9F">
        <w:rPr>
          <w:color w:val="000000"/>
        </w:rPr>
        <w:t>61</w:t>
      </w:r>
      <w:r w:rsidRPr="00FD72BA">
        <w:rPr>
          <w:color w:val="000000"/>
        </w:rPr>
        <w:t xml:space="preserve"> firearm deaths between </w:t>
      </w:r>
      <w:r w:rsidR="00CD1D9F">
        <w:rPr>
          <w:color w:val="000000"/>
        </w:rPr>
        <w:t>2001</w:t>
      </w:r>
      <w:r w:rsidRPr="00FD72BA">
        <w:rPr>
          <w:color w:val="000000"/>
        </w:rPr>
        <w:t xml:space="preserve"> and 2023, representing a </w:t>
      </w:r>
      <w:r w:rsidR="00CD1D9F">
        <w:rPr>
          <w:color w:val="000000"/>
        </w:rPr>
        <w:t>1</w:t>
      </w:r>
      <w:r w:rsidRPr="00FD72BA">
        <w:rPr>
          <w:color w:val="000000"/>
        </w:rPr>
        <w:t>.</w:t>
      </w:r>
      <w:r w:rsidR="00CD1D9F">
        <w:rPr>
          <w:color w:val="000000"/>
        </w:rPr>
        <w:t>5</w:t>
      </w:r>
      <w:r w:rsidRPr="00FD72BA">
        <w:rPr>
          <w:color w:val="000000"/>
        </w:rPr>
        <w:t>% reduction from expected mortality in the absence of these laws.</w:t>
      </w:r>
    </w:p>
    <w:p w14:paraId="1EDD3A67" w14:textId="1CF05D6C" w:rsidR="00FD72BA" w:rsidRPr="00FD72BA" w:rsidRDefault="00FD72BA" w:rsidP="00FD72BA">
      <w:pPr>
        <w:spacing w:before="100" w:beforeAutospacing="1" w:after="100" w:afterAutospacing="1"/>
        <w:rPr>
          <w:color w:val="000000"/>
        </w:rPr>
      </w:pPr>
      <w:r w:rsidRPr="00FD72BA">
        <w:rPr>
          <w:color w:val="000000"/>
        </w:rPr>
        <w:t>The gradual strengthening of ERPO effects observed in our time-varying analysis aligns with implementation science principles</w:t>
      </w:r>
      <w:r w:rsidR="00B13901">
        <w:rPr>
          <w:color w:val="000000"/>
        </w:rPr>
        <w:t>,</w:t>
      </w:r>
      <w:r w:rsidRPr="00FD72BA">
        <w:rPr>
          <w:color w:val="000000"/>
        </w:rPr>
        <w:t xml:space="preserve"> suggesting that policy impact develops as awareness grows, systems adapt, and utilization increases. The immediate </w:t>
      </w:r>
      <w:r w:rsidR="00CD1D9F">
        <w:rPr>
          <w:color w:val="000000"/>
        </w:rPr>
        <w:t>3</w:t>
      </w:r>
      <w:r w:rsidRPr="00FD72BA">
        <w:rPr>
          <w:color w:val="000000"/>
        </w:rPr>
        <w:t>% reduction (IRR 0.9</w:t>
      </w:r>
      <w:r w:rsidR="00CD1D9F">
        <w:rPr>
          <w:color w:val="000000"/>
        </w:rPr>
        <w:t>7</w:t>
      </w:r>
      <w:r w:rsidRPr="00FD72BA">
        <w:rPr>
          <w:color w:val="000000"/>
        </w:rPr>
        <w:t xml:space="preserve">) at implementation represents </w:t>
      </w:r>
      <w:r w:rsidR="00B13901">
        <w:rPr>
          <w:color w:val="000000"/>
        </w:rPr>
        <w:t>a substantial</w:t>
      </w:r>
      <w:r w:rsidRPr="00FD72BA">
        <w:rPr>
          <w:color w:val="000000"/>
        </w:rPr>
        <w:t xml:space="preserve"> initial effect</w:t>
      </w:r>
      <w:r w:rsidR="00513EEE">
        <w:rPr>
          <w:color w:val="000000"/>
        </w:rPr>
        <w:t>. The</w:t>
      </w:r>
      <w:r w:rsidRPr="00FD72BA">
        <w:rPr>
          <w:color w:val="000000"/>
        </w:rPr>
        <w:t xml:space="preserve"> continued strengthening to a </w:t>
      </w:r>
      <w:r w:rsidR="00CD1D9F">
        <w:rPr>
          <w:color w:val="000000"/>
        </w:rPr>
        <w:t>9</w:t>
      </w:r>
      <w:r w:rsidRPr="00FD72BA">
        <w:rPr>
          <w:color w:val="000000"/>
        </w:rPr>
        <w:t>% reduction by year 5 suggests that ERPO laws may require sustained implementation efforts to achieve maximum benefit.</w:t>
      </w:r>
    </w:p>
    <w:p w14:paraId="281656EA" w14:textId="003B8B8E" w:rsidR="00FD72BA" w:rsidRPr="00FD72BA" w:rsidRDefault="00FD72BA" w:rsidP="00FD72BA">
      <w:pPr>
        <w:spacing w:before="100" w:beforeAutospacing="1" w:after="100" w:afterAutospacing="1"/>
        <w:rPr>
          <w:color w:val="000000"/>
        </w:rPr>
      </w:pPr>
      <w:r w:rsidRPr="00FD72BA">
        <w:rPr>
          <w:color w:val="000000"/>
        </w:rPr>
        <w:lastRenderedPageBreak/>
        <w:t xml:space="preserve">Our findings contribute to the limited but growing body of evidence suggesting ERPO laws may reduce suicide risk. While previous studies by Kivisto and Phalen and </w:t>
      </w:r>
      <w:proofErr w:type="spellStart"/>
      <w:r w:rsidRPr="00FD72BA">
        <w:rPr>
          <w:color w:val="000000"/>
        </w:rPr>
        <w:t>D</w:t>
      </w:r>
      <w:r w:rsidR="006E1DB1">
        <w:rPr>
          <w:color w:val="000000"/>
        </w:rPr>
        <w:t>e</w:t>
      </w:r>
      <w:r w:rsidRPr="00FD72BA">
        <w:rPr>
          <w:color w:val="000000"/>
        </w:rPr>
        <w:t>lafave</w:t>
      </w:r>
      <w:proofErr w:type="spellEnd"/>
      <w:r w:rsidRPr="00FD72BA">
        <w:rPr>
          <w:color w:val="000000"/>
        </w:rPr>
        <w:t xml:space="preserve"> found modest reductions in suicide rates following ERPO implementation</w:t>
      </w:r>
      <w:r w:rsidR="006E1DB1">
        <w:rPr>
          <w:color w:val="000000"/>
        </w:rPr>
        <w:fldChar w:fldCharType="begin"/>
      </w:r>
      <w:r w:rsidR="006E1DB1">
        <w:rPr>
          <w:color w:val="000000"/>
        </w:rPr>
        <w:instrText xml:space="preserve"> ADDIN ZOTERO_ITEM CSL_CITATION {"citationID":"QJ6HilSf","properties":{"formattedCitation":"\\super 3,5\\nosupersub{}","plainCitation":"3,5","noteIndex":0},"citationItems":[{"id":1695,"uris":["http://zotero.org/users/10131437/items/SCI26F73"],"itemData":{"id":1695,"type":"article-journal","container-title":"Loyola University Chicago Law Journal","ISSN":"0024-7081","issue":"3","page":"867","title":"An Empirical Assessment of Homicide and Suicide Outcomes with Red Flag Laws","volume":"52","author":[{"family":"Delafave","given":"Rachel"}],"issued":{"date-parts":[["2021",1,1]]}}},{"id":1707,"uris":["http://zotero.org/users/10131437/items/JMG9NWZK"],"itemData":{"id":1707,"type":"article-journal","abstract":"OBJECTIVE: This study evaluated whether risk-based firearm seizure laws in Connecticut and Indiana affect suicide rates.\nMETHODS: A quasi-experimental design using annual state-level panel data from the 50 states between 1981 and 2015 was used. When analyses controlled for a range of risk factors for population-level suicide rates, the effects of Connecticut and Indiana's firearm seizure laws on firearm and nonfirearm suicide rates were evaluated by using the synthetic-control methodology and difference-in-place placebo tests. Sensitivity analyses employed regression-based difference-in-differences analyses with randomization inference.\nRESULTS: Indiana's firearm seizure law was associated with a 7.5% reduction in firearm suicides in the ten years following its enactment, an effect specific to suicides with firearms and larger than that seen in any comparison state by chance alone. Enactment of Connecticut's law was associated with a 1.6% reduction in firearm suicides immediately after its passage and a 13.7% reduction in firearm suicides in the post-Virginia Tech period, when enforcement of the law substantially increased. Regression-based sensitivity analyses showed that these findings were robust to alternative specifications. Whereas Indiana demonstrated an aggregate decrease in suicides, Connecticut's estimated reduction in firearm suicides was offset by increased nonfirearm suicides.\nCONCLUSIONS: Risk-based firearm seizure laws were associated with reduced population-level firearm suicide rates, and evidence for a replacement effect was mixed.","container-title":"Psychiatric Services (Washington, D.C.)","DOI":"10.1176/appi.ps.201700250","ISSN":"1557-9700","issue":"8","journalAbbreviation":"Psychiatr Serv","language":"eng","note":"PMID: 29852823","page":"855-862","source":"PubMed","title":"Effects of Risk-Based Firearm Seizure Laws in Connecticut and Indiana on Suicide Rates, 1981-2015","volume":"69","author":[{"family":"Kivisto","given":"Aaron J."},{"family":"Phalen","given":"Peter Lee"}],"issued":{"date-parts":[["2018",8,1]]}}}],"schema":"https://github.com/citation-style-language/schema/raw/master/csl-citation.json"} </w:instrText>
      </w:r>
      <w:r w:rsidR="006E1DB1">
        <w:rPr>
          <w:color w:val="000000"/>
        </w:rPr>
        <w:fldChar w:fldCharType="separate"/>
      </w:r>
      <w:r w:rsidR="006E1DB1" w:rsidRPr="006E1DB1">
        <w:rPr>
          <w:color w:val="000000"/>
          <w:vertAlign w:val="superscript"/>
        </w:rPr>
        <w:t>3,5</w:t>
      </w:r>
      <w:r w:rsidR="006E1DB1">
        <w:rPr>
          <w:color w:val="000000"/>
        </w:rPr>
        <w:fldChar w:fldCharType="end"/>
      </w:r>
      <w:r w:rsidRPr="00FD72BA">
        <w:rPr>
          <w:color w:val="000000"/>
        </w:rPr>
        <w:t xml:space="preserve">, our analysis provides more robust evidence of a substantial preventive effect across multiple states with longer follow-up periods. The probability of beneficial </w:t>
      </w:r>
      <w:r w:rsidR="00B13901">
        <w:rPr>
          <w:color w:val="000000"/>
        </w:rPr>
        <w:t>effects</w:t>
      </w:r>
      <w:r w:rsidRPr="00FD72BA">
        <w:rPr>
          <w:color w:val="000000"/>
        </w:rPr>
        <w:t xml:space="preserve"> exceeding 99% by year 5 provides strong quantitative support for the effectiveness of these policies in reducing firearm mortality.</w:t>
      </w:r>
    </w:p>
    <w:p w14:paraId="7C110C25" w14:textId="77777777" w:rsidR="00FD72BA" w:rsidRPr="00FD72BA" w:rsidRDefault="00FD72BA" w:rsidP="00FD72BA">
      <w:pPr>
        <w:spacing w:before="100" w:beforeAutospacing="1" w:after="100" w:afterAutospacing="1"/>
        <w:rPr>
          <w:color w:val="000000"/>
        </w:rPr>
      </w:pPr>
      <w:r w:rsidRPr="00FD72BA">
        <w:rPr>
          <w:color w:val="000000"/>
        </w:rPr>
        <w:t>The placebo analyses examining non-firearm suicides and motor vehicle accident fatalities strengthen causal inference in our study. The absence of significant associations between ERPO laws and these theoretically unrelated outcomes reduces concerns about unobserved confounding factors or methodological artifacts driving our results. The specificity of effect—substantial reductions in firearm mortality with null effects on non-firearm outcomes—aligns with the hypothesized causal mechanism of ERPO laws, which specifically target firearm access during periods of elevated risk without directly affecting other mortality risks.</w:t>
      </w:r>
    </w:p>
    <w:p w14:paraId="350BF009" w14:textId="5771AF9E" w:rsidR="00FD72BA" w:rsidRPr="00FD72BA" w:rsidRDefault="00FD72BA" w:rsidP="00FD72BA">
      <w:pPr>
        <w:spacing w:before="100" w:beforeAutospacing="1" w:after="100" w:afterAutospacing="1"/>
        <w:rPr>
          <w:color w:val="000000"/>
        </w:rPr>
      </w:pPr>
      <w:r w:rsidRPr="00FD72BA">
        <w:rPr>
          <w:color w:val="000000"/>
        </w:rPr>
        <w:t xml:space="preserve">The magnitude of </w:t>
      </w:r>
      <w:r w:rsidR="00B13901">
        <w:rPr>
          <w:color w:val="000000"/>
        </w:rPr>
        <w:t xml:space="preserve">the </w:t>
      </w:r>
      <w:r w:rsidRPr="00FD72BA">
        <w:rPr>
          <w:color w:val="000000"/>
        </w:rPr>
        <w:t>effect we observed is consistent with the targeted nature of ERPO intervention. Unlike broad categorical prohibitions that may affect large populations, ERPOs target individuals specifically identified as at elevated risk. Given that ERPOs are typically issued in response to concerning behaviors such as suicidal ideation, threats of violence, or risk indicators for mass violence, even a relatively small number of interventions could prevent deaths that would otherwise be highly likely to occur. Case review studies from Connecticut and Indiana support this interpretation, finding substantially reduced suicide rates among individuals subject to ERPOs compared to expected rates.</w:t>
      </w:r>
      <w:r w:rsidR="006E1DB1">
        <w:rPr>
          <w:color w:val="000000"/>
        </w:rPr>
        <w:fldChar w:fldCharType="begin"/>
      </w:r>
      <w:r w:rsidR="006E1DB1">
        <w:rPr>
          <w:color w:val="000000"/>
        </w:rPr>
        <w:instrText xml:space="preserve"> ADDIN ZOTERO_ITEM CSL_CITATION {"citationID":"3YjGUS6N","properties":{"formattedCitation":"\\super 11\\nosupersub{}","plainCitation":"11","noteIndex":0},"citationItems":[{"id":1705,"uris":["http://zotero.org/users/10131437/items/ERMESLQK"],"itemData":{"id":1705,"type":"webpage","abstract":"Study: Red Flag Laws, Originated in Connecticut, Effective in Preventing Suicides By Lawrence Cook December 18 @ 5:00 am Credit: FotoDuets / Canva   A recent study has found that risk protection orders – those so-called ‘Red Flag’ laws that temporarily remove firearms from a person who may be a danger to themselves or others – can be an effective…","container-title":"Connecticut Senate Democrats","language":"en-US","title":"Study: Red Flag Laws, Originated in Connecticut, Effective in Preventing Suicides","title-short":"Study","URL":"https://www.senatedems.ct.gov/study-red-flag-laws-originated-in-connecticut-effective-in-preventing-suicides","accessed":{"date-parts":[["2025",5,8]]}}}],"schema":"https://github.com/citation-style-language/schema/raw/master/csl-citation.json"} </w:instrText>
      </w:r>
      <w:r w:rsidR="006E1DB1">
        <w:rPr>
          <w:color w:val="000000"/>
        </w:rPr>
        <w:fldChar w:fldCharType="separate"/>
      </w:r>
      <w:r w:rsidR="006E1DB1" w:rsidRPr="006E1DB1">
        <w:rPr>
          <w:color w:val="000000"/>
          <w:vertAlign w:val="superscript"/>
        </w:rPr>
        <w:t>11</w:t>
      </w:r>
      <w:r w:rsidR="006E1DB1">
        <w:rPr>
          <w:color w:val="000000"/>
        </w:rPr>
        <w:fldChar w:fldCharType="end"/>
      </w:r>
    </w:p>
    <w:p w14:paraId="121E720D" w14:textId="1F7AC220" w:rsidR="00FD72BA" w:rsidRPr="00FD72BA" w:rsidRDefault="00FD72BA" w:rsidP="00FD72BA">
      <w:pPr>
        <w:spacing w:before="100" w:beforeAutospacing="1" w:after="100" w:afterAutospacing="1"/>
        <w:rPr>
          <w:color w:val="000000"/>
        </w:rPr>
      </w:pPr>
      <w:r w:rsidRPr="00FD72BA">
        <w:rPr>
          <w:color w:val="000000"/>
        </w:rPr>
        <w:t>The effectiveness of ERPO laws likely depends on implementation factors</w:t>
      </w:r>
      <w:r w:rsidR="00B13901">
        <w:rPr>
          <w:color w:val="000000"/>
        </w:rPr>
        <w:t>,</w:t>
      </w:r>
      <w:r w:rsidRPr="00FD72BA">
        <w:rPr>
          <w:color w:val="000000"/>
        </w:rPr>
        <w:t xml:space="preserve"> including petition processes, adjudication procedures, firearm removal protocols, and post-removal supports. Studies of state implementation patterns reveal substantial variation in utilization rates, with some states issuing hundreds of orders annually while others issue fewer than fifty. Our findings suggest that even with this heterogeneous implementation, the aggregate effect of these laws is substantive and statistically robust.</w:t>
      </w:r>
      <w:r w:rsidR="009C077E">
        <w:rPr>
          <w:color w:val="000000"/>
        </w:rPr>
        <w:t xml:space="preserve"> </w:t>
      </w:r>
      <w:r w:rsidRPr="00FD72BA">
        <w:rPr>
          <w:color w:val="000000"/>
        </w:rPr>
        <w:t xml:space="preserve">From a policy perspective, our findings support </w:t>
      </w:r>
      <w:r w:rsidR="00B13901">
        <w:rPr>
          <w:color w:val="000000"/>
        </w:rPr>
        <w:t xml:space="preserve">the </w:t>
      </w:r>
      <w:r w:rsidRPr="00FD72BA">
        <w:rPr>
          <w:color w:val="000000"/>
        </w:rPr>
        <w:t xml:space="preserve">continued expansion and implementation of ERPO laws as part of a comprehensive approach to firearm violence prevention. The counterfactual analysis suggests substantial additional lives could be saved if ERPO laws were adopted nationwide. </w:t>
      </w:r>
    </w:p>
    <w:p w14:paraId="350A2A6D" w14:textId="77777777" w:rsidR="00FD72BA" w:rsidRPr="00FD72BA" w:rsidRDefault="00FD72BA" w:rsidP="00FD72BA">
      <w:pPr>
        <w:spacing w:before="100" w:beforeAutospacing="1" w:after="100" w:afterAutospacing="1"/>
        <w:outlineLvl w:val="1"/>
        <w:rPr>
          <w:b/>
          <w:bCs/>
          <w:color w:val="000000"/>
        </w:rPr>
      </w:pPr>
      <w:r w:rsidRPr="00FD72BA">
        <w:rPr>
          <w:b/>
          <w:bCs/>
          <w:color w:val="000000"/>
        </w:rPr>
        <w:t>Limitations</w:t>
      </w:r>
    </w:p>
    <w:p w14:paraId="620A58EF" w14:textId="1DCA29C1" w:rsidR="00FD72BA" w:rsidRPr="00FD72BA" w:rsidRDefault="00FD72BA" w:rsidP="00FD72BA">
      <w:pPr>
        <w:spacing w:before="100" w:beforeAutospacing="1" w:after="100" w:afterAutospacing="1"/>
        <w:rPr>
          <w:color w:val="000000"/>
        </w:rPr>
      </w:pPr>
      <w:r w:rsidRPr="00FD72BA">
        <w:rPr>
          <w:color w:val="000000"/>
        </w:rPr>
        <w:t>Our study has several important limitations that warrant consideration. First, despite using sophisticated Bayesian methods designed to address challenges in policy evaluation, our analysis remains subject to potential confounding from unobserved factors that may correlate with ERPO implementation and changes in firearm mortality. While our model controls for numerous state-level demographic, economic, and firearm ownership characteristics, as well as state</w:t>
      </w:r>
      <w:r w:rsidR="00B13901">
        <w:rPr>
          <w:color w:val="000000"/>
        </w:rPr>
        <w:t xml:space="preserve"> random effects</w:t>
      </w:r>
      <w:r w:rsidRPr="00FD72BA">
        <w:rPr>
          <w:color w:val="000000"/>
        </w:rPr>
        <w:t xml:space="preserve"> and year fixed effects, we cannot rule out the influence of unmeasured confounders.</w:t>
      </w:r>
    </w:p>
    <w:p w14:paraId="4202B1A6" w14:textId="77777777" w:rsidR="00FD72BA" w:rsidRPr="00FD72BA" w:rsidRDefault="00FD72BA" w:rsidP="00FD72BA">
      <w:pPr>
        <w:spacing w:before="100" w:beforeAutospacing="1" w:after="100" w:afterAutospacing="1"/>
        <w:rPr>
          <w:color w:val="000000"/>
        </w:rPr>
      </w:pPr>
      <w:r w:rsidRPr="00FD72BA">
        <w:rPr>
          <w:color w:val="000000"/>
        </w:rPr>
        <w:t xml:space="preserve">Second, our analysis relies on state-level data and cannot directly measure the impact of ERPOs on individuals subject to the orders. The effectiveness of ERPOs depends on appropriate targeting - removing firearms from those truly at elevated risk while minimizing unnecessary </w:t>
      </w:r>
      <w:r w:rsidRPr="00FD72BA">
        <w:rPr>
          <w:color w:val="000000"/>
        </w:rPr>
        <w:lastRenderedPageBreak/>
        <w:t>removals. Our state-level analysis cannot assess targeting accuracy, which is better addressed through case-level studies. The counterfactual analyses we present depend on modeling assumptions that, while empirically grounded, introduce additional uncertainty beyond the statistical uncertainty captured in our credible intervals.</w:t>
      </w:r>
    </w:p>
    <w:p w14:paraId="71D6807B" w14:textId="3E8FAC53" w:rsidR="00FD72BA" w:rsidRPr="00FD72BA" w:rsidRDefault="00380ED5" w:rsidP="00FD72BA">
      <w:pPr>
        <w:spacing w:before="100" w:beforeAutospacing="1" w:after="100" w:afterAutospacing="1"/>
        <w:rPr>
          <w:color w:val="000000"/>
        </w:rPr>
      </w:pPr>
      <w:r>
        <w:rPr>
          <w:color w:val="000000"/>
        </w:rPr>
        <w:t>Third</w:t>
      </w:r>
      <w:r w:rsidR="00FD72BA" w:rsidRPr="00FD72BA">
        <w:rPr>
          <w:color w:val="000000"/>
        </w:rPr>
        <w:t xml:space="preserve">, our study period captures relatively recent policy implementation in many states. Of the 22 jurisdictions with ERPO laws, 17 enacted them after 2016, with many </w:t>
      </w:r>
      <w:proofErr w:type="gramStart"/>
      <w:r w:rsidRPr="00FD72BA">
        <w:rPr>
          <w:color w:val="000000"/>
        </w:rPr>
        <w:t>implementation</w:t>
      </w:r>
      <w:proofErr w:type="gramEnd"/>
      <w:r>
        <w:rPr>
          <w:color w:val="000000"/>
        </w:rPr>
        <w:t xml:space="preserve"> </w:t>
      </w:r>
      <w:r w:rsidR="00FD72BA" w:rsidRPr="00FD72BA">
        <w:rPr>
          <w:color w:val="000000"/>
        </w:rPr>
        <w:t>dates clustering in 2018-2020. This recency limits our ability to assess longer-term effects and introduces greater uncertainty in estimates for states with the most recent implementations. Additional follow-up will be necessary to determine whether the observed effects persist or strengthen over longer periods.</w:t>
      </w:r>
    </w:p>
    <w:p w14:paraId="5BD8A33B" w14:textId="6FB09A8A" w:rsidR="00FD72BA" w:rsidRPr="00FD72BA" w:rsidRDefault="00FD72BA" w:rsidP="00FD72BA">
      <w:pPr>
        <w:spacing w:before="100" w:beforeAutospacing="1" w:after="100" w:afterAutospacing="1"/>
        <w:rPr>
          <w:color w:val="000000"/>
        </w:rPr>
      </w:pPr>
      <w:r w:rsidRPr="00FD72BA">
        <w:rPr>
          <w:color w:val="000000"/>
        </w:rPr>
        <w:t>Finally, our analysis focuses on the relationship between ERPO laws and firearm mortality. We do not assess potential adverse effects such as inappropriate applications, due process concerns, or disproportionate impacts on marginalized communities. A comprehensive evaluation of these policies requires consideration of both benefits and potential harms across multiple domains.</w:t>
      </w:r>
    </w:p>
    <w:p w14:paraId="20FAF370" w14:textId="77777777" w:rsidR="00FD72BA" w:rsidRPr="00FD72BA" w:rsidRDefault="00FD72BA" w:rsidP="00FD72BA">
      <w:pPr>
        <w:spacing w:before="100" w:beforeAutospacing="1" w:after="100" w:afterAutospacing="1"/>
        <w:outlineLvl w:val="1"/>
        <w:rPr>
          <w:b/>
          <w:bCs/>
          <w:color w:val="000000"/>
        </w:rPr>
      </w:pPr>
      <w:r w:rsidRPr="00FD72BA">
        <w:rPr>
          <w:b/>
          <w:bCs/>
          <w:color w:val="000000"/>
        </w:rPr>
        <w:t>Conclusion</w:t>
      </w:r>
    </w:p>
    <w:p w14:paraId="5659E3D5" w14:textId="1C8DC7B8" w:rsidR="00FD72BA" w:rsidRPr="00FD72BA" w:rsidRDefault="00FD72BA" w:rsidP="00FD72BA">
      <w:pPr>
        <w:spacing w:before="100" w:beforeAutospacing="1" w:after="100" w:afterAutospacing="1"/>
        <w:rPr>
          <w:color w:val="000000"/>
        </w:rPr>
      </w:pPr>
      <w:r w:rsidRPr="00FD72BA">
        <w:rPr>
          <w:color w:val="000000"/>
        </w:rPr>
        <w:t>Our findings provide evidence that Extreme Risk Protection Order laws are associated with significant reductions in firearm mortality rates, with effects strengthening over time following implementation. By year 5 post-implementation, these laws were associated with a 9% reduction in firearm deaths</w:t>
      </w:r>
      <w:r w:rsidR="00380ED5">
        <w:rPr>
          <w:color w:val="000000"/>
        </w:rPr>
        <w:t xml:space="preserve">. </w:t>
      </w:r>
      <w:r w:rsidRPr="00FD72BA">
        <w:rPr>
          <w:color w:val="000000"/>
        </w:rPr>
        <w:t xml:space="preserve">The counterfactual analysis suggests that ERPO laws prevented approximately </w:t>
      </w:r>
      <w:r w:rsidR="00380ED5">
        <w:rPr>
          <w:color w:val="000000"/>
        </w:rPr>
        <w:t>7,361</w:t>
      </w:r>
      <w:r w:rsidRPr="00FD72BA">
        <w:rPr>
          <w:color w:val="000000"/>
        </w:rPr>
        <w:t xml:space="preserve"> deaths between </w:t>
      </w:r>
      <w:r w:rsidR="00380ED5">
        <w:rPr>
          <w:color w:val="000000"/>
        </w:rPr>
        <w:t>2001</w:t>
      </w:r>
      <w:r w:rsidRPr="00FD72BA">
        <w:rPr>
          <w:color w:val="000000"/>
        </w:rPr>
        <w:t xml:space="preserve"> and 2023.</w:t>
      </w:r>
    </w:p>
    <w:p w14:paraId="51863B8B" w14:textId="5F8637FB" w:rsidR="00FD72BA" w:rsidRPr="00FD72BA" w:rsidRDefault="00FD72BA" w:rsidP="00FD72BA">
      <w:pPr>
        <w:spacing w:before="100" w:beforeAutospacing="1" w:after="100" w:afterAutospacing="1"/>
        <w:rPr>
          <w:color w:val="000000"/>
        </w:rPr>
      </w:pPr>
      <w:r w:rsidRPr="00FD72BA">
        <w:rPr>
          <w:color w:val="000000"/>
        </w:rPr>
        <w:t xml:space="preserve">The specificity of effect—with substantial reductions in firearm mortality but no significant changes in theoretically unrelated outcomes such as non-firearm suicides and motor vehicle fatalities—strengthens causal inference regarding ERPO effectiveness. These results suggest that temporary, risk-based firearm removal represents </w:t>
      </w:r>
      <w:r w:rsidR="00B13901">
        <w:rPr>
          <w:color w:val="000000"/>
        </w:rPr>
        <w:t>a practical</w:t>
      </w:r>
      <w:r w:rsidRPr="00FD72BA">
        <w:rPr>
          <w:color w:val="000000"/>
        </w:rPr>
        <w:t xml:space="preserve"> approach to reducing firearm mortality that complements existing categorical prohibitions by addressing acute periods of elevated risk. The gradual strengthening of effect over time highlights the importance of sustained implementation efforts and suggests that </w:t>
      </w:r>
      <w:r w:rsidR="00B13901">
        <w:rPr>
          <w:color w:val="000000"/>
        </w:rPr>
        <w:t>recently implemented</w:t>
      </w:r>
      <w:r w:rsidRPr="00FD72BA">
        <w:rPr>
          <w:color w:val="000000"/>
        </w:rPr>
        <w:t xml:space="preserve"> laws may achieve greater impact as implementation matures.</w:t>
      </w:r>
    </w:p>
    <w:p w14:paraId="25A7232E" w14:textId="1B9E6F9E" w:rsidR="00FD72BA" w:rsidRPr="00FD72BA" w:rsidRDefault="00FD72BA" w:rsidP="00FD72BA">
      <w:pPr>
        <w:spacing w:before="100" w:beforeAutospacing="1" w:after="100" w:afterAutospacing="1"/>
        <w:rPr>
          <w:color w:val="000000"/>
        </w:rPr>
      </w:pPr>
      <w:r w:rsidRPr="00FD72BA">
        <w:rPr>
          <w:color w:val="000000"/>
        </w:rPr>
        <w:t xml:space="preserve">Future research should examine implementation factors that influence ERPO effectiveness, integrate individual-level outcomes data with population-level analyses, assess potential differential impacts across demographic groups, and evaluate longer-term effects as more post-implementation data become available. Additionally, studies should examine the relationship between specific ERPO law provisions (e.g., allowable petitioners, duration, </w:t>
      </w:r>
      <w:r w:rsidR="00B13901">
        <w:rPr>
          <w:color w:val="000000"/>
        </w:rPr>
        <w:t xml:space="preserve">and </w:t>
      </w:r>
      <w:r w:rsidRPr="00FD72BA">
        <w:rPr>
          <w:color w:val="000000"/>
        </w:rPr>
        <w:t>due process protections) and effectiveness.</w:t>
      </w:r>
    </w:p>
    <w:p w14:paraId="1EC62F05" w14:textId="41241592" w:rsidR="00020A18" w:rsidRPr="00AF7814" w:rsidRDefault="00FD72BA" w:rsidP="00AF7814">
      <w:pPr>
        <w:spacing w:before="100" w:beforeAutospacing="1" w:after="100" w:afterAutospacing="1"/>
        <w:rPr>
          <w:color w:val="000000"/>
        </w:rPr>
      </w:pPr>
      <w:r w:rsidRPr="00FD72BA">
        <w:rPr>
          <w:color w:val="000000"/>
        </w:rPr>
        <w:t xml:space="preserve">In conclusion, ERPO laws appear to offer a promising policy approach for reducing firearm mortality while targeting interventions specifically </w:t>
      </w:r>
      <w:r w:rsidR="00B13901">
        <w:rPr>
          <w:color w:val="000000"/>
        </w:rPr>
        <w:t>for</w:t>
      </w:r>
      <w:r w:rsidRPr="00FD72BA">
        <w:rPr>
          <w:color w:val="000000"/>
        </w:rPr>
        <w:t xml:space="preserve"> those at elevated risk. These findings support continued policy diffusion, implementation improvement efforts, and ongoing evaluation to maximize public health benefits while ensuring appropriate civil liberties protections.</w:t>
      </w:r>
    </w:p>
    <w:p w14:paraId="49496D88" w14:textId="7A948D8B" w:rsidR="004B4759" w:rsidRDefault="00513EEE" w:rsidP="004B4759">
      <w:pPr>
        <w:spacing w:before="100" w:beforeAutospacing="1" w:after="100" w:afterAutospacing="1"/>
        <w:jc w:val="center"/>
        <w:outlineLvl w:val="0"/>
        <w:rPr>
          <w:b/>
          <w:bCs/>
          <w:color w:val="000000"/>
          <w:kern w:val="36"/>
        </w:rPr>
      </w:pPr>
      <w:r>
        <w:rPr>
          <w:b/>
          <w:bCs/>
          <w:color w:val="000000"/>
          <w:kern w:val="36"/>
        </w:rPr>
        <w:lastRenderedPageBreak/>
        <w:t>References</w:t>
      </w:r>
    </w:p>
    <w:p w14:paraId="122633C4" w14:textId="77777777" w:rsidR="009C077E" w:rsidRPr="009C077E" w:rsidRDefault="009C077E" w:rsidP="009C077E">
      <w:pPr>
        <w:pStyle w:val="Bibliography"/>
        <w:rPr>
          <w:color w:val="000000"/>
        </w:rPr>
      </w:pPr>
      <w:r>
        <w:rPr>
          <w:b/>
          <w:bCs/>
          <w:color w:val="000000"/>
          <w:kern w:val="36"/>
        </w:rPr>
        <w:fldChar w:fldCharType="begin"/>
      </w:r>
      <w:r>
        <w:rPr>
          <w:b/>
          <w:bCs/>
          <w:color w:val="000000"/>
          <w:kern w:val="36"/>
        </w:rPr>
        <w:instrText xml:space="preserve"> ADDIN ZOTERO_BIBL {"uncited":[],"omitted":[],"custom":[]} CSL_BIBLIOGRAPHY </w:instrText>
      </w:r>
      <w:r>
        <w:rPr>
          <w:b/>
          <w:bCs/>
          <w:color w:val="000000"/>
          <w:kern w:val="36"/>
        </w:rPr>
        <w:fldChar w:fldCharType="separate"/>
      </w:r>
      <w:r w:rsidRPr="009C077E">
        <w:rPr>
          <w:color w:val="000000"/>
        </w:rPr>
        <w:t>1.</w:t>
      </w:r>
      <w:r w:rsidRPr="009C077E">
        <w:rPr>
          <w:color w:val="000000"/>
        </w:rPr>
        <w:tab/>
        <w:t>CDC. Fast Facts: Firearm Injury and Death. Firearm Injury and Death Prevention. July 22, 2024. Accessed May 8, 2025. https://www.cdc.gov/firearm-violence/data-research/facts-stats/index.html</w:t>
      </w:r>
    </w:p>
    <w:p w14:paraId="5E9CB121" w14:textId="77777777" w:rsidR="009C077E" w:rsidRPr="009C077E" w:rsidRDefault="009C077E" w:rsidP="009C077E">
      <w:pPr>
        <w:pStyle w:val="Bibliography"/>
        <w:rPr>
          <w:color w:val="000000"/>
        </w:rPr>
      </w:pPr>
      <w:r w:rsidRPr="009C077E">
        <w:rPr>
          <w:color w:val="000000"/>
        </w:rPr>
        <w:t>2.</w:t>
      </w:r>
      <w:r w:rsidRPr="009C077E">
        <w:rPr>
          <w:color w:val="000000"/>
        </w:rPr>
        <w:tab/>
        <w:t>Effects of Extreme Risk Protection Orders on Suicide. Accessed May 8, 2025. https://www.rand.org/research/gun-policy/analysis/extreme-risk-protection-orders/suicide.html</w:t>
      </w:r>
    </w:p>
    <w:p w14:paraId="3C443168" w14:textId="77777777" w:rsidR="009C077E" w:rsidRPr="009C077E" w:rsidRDefault="009C077E" w:rsidP="009C077E">
      <w:pPr>
        <w:pStyle w:val="Bibliography"/>
        <w:rPr>
          <w:color w:val="000000"/>
        </w:rPr>
      </w:pPr>
      <w:r w:rsidRPr="009C077E">
        <w:rPr>
          <w:color w:val="000000"/>
        </w:rPr>
        <w:t>3.</w:t>
      </w:r>
      <w:r w:rsidRPr="009C077E">
        <w:rPr>
          <w:color w:val="000000"/>
        </w:rPr>
        <w:tab/>
      </w:r>
      <w:proofErr w:type="spellStart"/>
      <w:r w:rsidRPr="009C077E">
        <w:rPr>
          <w:color w:val="000000"/>
        </w:rPr>
        <w:t>Delafave</w:t>
      </w:r>
      <w:proofErr w:type="spellEnd"/>
      <w:r w:rsidRPr="009C077E">
        <w:rPr>
          <w:color w:val="000000"/>
        </w:rPr>
        <w:t xml:space="preserve"> R. An Empirical Assessment of Homicide and Suicide Outcomes with Red Flag Laws. </w:t>
      </w:r>
      <w:r w:rsidRPr="009C077E">
        <w:rPr>
          <w:i/>
          <w:iCs/>
          <w:color w:val="000000"/>
        </w:rPr>
        <w:t>Loyola University Chicago Law Journal</w:t>
      </w:r>
      <w:r w:rsidRPr="009C077E">
        <w:rPr>
          <w:color w:val="000000"/>
        </w:rPr>
        <w:t>. 2021;52(3):867.</w:t>
      </w:r>
    </w:p>
    <w:p w14:paraId="1F282445" w14:textId="77777777" w:rsidR="009C077E" w:rsidRPr="009C077E" w:rsidRDefault="009C077E" w:rsidP="009C077E">
      <w:pPr>
        <w:pStyle w:val="Bibliography"/>
        <w:rPr>
          <w:color w:val="000000"/>
        </w:rPr>
      </w:pPr>
      <w:r w:rsidRPr="009C077E">
        <w:rPr>
          <w:color w:val="000000"/>
        </w:rPr>
        <w:t>4.</w:t>
      </w:r>
      <w:r w:rsidRPr="009C077E">
        <w:rPr>
          <w:color w:val="000000"/>
        </w:rPr>
        <w:tab/>
        <w:t xml:space="preserve">Pear VA, Schleimer JP, Aubel AJ, et al. Extreme risk protection orders, race/ethnicity, and equity: Evidence from California. </w:t>
      </w:r>
      <w:r w:rsidRPr="009C077E">
        <w:rPr>
          <w:i/>
          <w:iCs/>
          <w:color w:val="000000"/>
        </w:rPr>
        <w:t>Prev Med</w:t>
      </w:r>
      <w:r w:rsidRPr="009C077E">
        <w:rPr>
          <w:color w:val="000000"/>
        </w:rPr>
        <w:t xml:space="preserve">. 2022;165(Pt A):107181. </w:t>
      </w:r>
      <w:proofErr w:type="gramStart"/>
      <w:r w:rsidRPr="009C077E">
        <w:rPr>
          <w:color w:val="000000"/>
        </w:rPr>
        <w:t>doi:10.1016/j.ypmed</w:t>
      </w:r>
      <w:proofErr w:type="gramEnd"/>
      <w:r w:rsidRPr="009C077E">
        <w:rPr>
          <w:color w:val="000000"/>
        </w:rPr>
        <w:t>.2022.107181</w:t>
      </w:r>
    </w:p>
    <w:p w14:paraId="62043B76" w14:textId="77777777" w:rsidR="009C077E" w:rsidRPr="009C077E" w:rsidRDefault="009C077E" w:rsidP="009C077E">
      <w:pPr>
        <w:pStyle w:val="Bibliography"/>
        <w:rPr>
          <w:color w:val="000000"/>
        </w:rPr>
      </w:pPr>
      <w:r w:rsidRPr="009C077E">
        <w:rPr>
          <w:color w:val="000000"/>
        </w:rPr>
        <w:t>5.</w:t>
      </w:r>
      <w:r w:rsidRPr="009C077E">
        <w:rPr>
          <w:color w:val="000000"/>
        </w:rPr>
        <w:tab/>
        <w:t xml:space="preserve">Kivisto AJ, Phalen PL. Effects of Risk-Based Firearm Seizure Laws in Connecticut and Indiana on Suicide Rates, 1981-2015. </w:t>
      </w:r>
      <w:proofErr w:type="spellStart"/>
      <w:r w:rsidRPr="009C077E">
        <w:rPr>
          <w:i/>
          <w:iCs/>
          <w:color w:val="000000"/>
        </w:rPr>
        <w:t>Psychiatr</w:t>
      </w:r>
      <w:proofErr w:type="spellEnd"/>
      <w:r w:rsidRPr="009C077E">
        <w:rPr>
          <w:i/>
          <w:iCs/>
          <w:color w:val="000000"/>
        </w:rPr>
        <w:t xml:space="preserve"> Serv</w:t>
      </w:r>
      <w:r w:rsidRPr="009C077E">
        <w:rPr>
          <w:color w:val="000000"/>
        </w:rPr>
        <w:t xml:space="preserve">. 2018;69(8):855-862. </w:t>
      </w:r>
      <w:proofErr w:type="gramStart"/>
      <w:r w:rsidRPr="009C077E">
        <w:rPr>
          <w:color w:val="000000"/>
        </w:rPr>
        <w:t>doi:10.1176/appi.ps</w:t>
      </w:r>
      <w:proofErr w:type="gramEnd"/>
      <w:r w:rsidRPr="009C077E">
        <w:rPr>
          <w:color w:val="000000"/>
        </w:rPr>
        <w:t>.201700250</w:t>
      </w:r>
    </w:p>
    <w:p w14:paraId="576A1A3F" w14:textId="77777777" w:rsidR="009C077E" w:rsidRPr="009C077E" w:rsidRDefault="009C077E" w:rsidP="009C077E">
      <w:pPr>
        <w:pStyle w:val="Bibliography"/>
        <w:rPr>
          <w:color w:val="000000"/>
        </w:rPr>
      </w:pPr>
      <w:r w:rsidRPr="009C077E">
        <w:rPr>
          <w:color w:val="000000"/>
        </w:rPr>
        <w:t>6.</w:t>
      </w:r>
      <w:r w:rsidRPr="009C077E">
        <w:rPr>
          <w:color w:val="000000"/>
        </w:rPr>
        <w:tab/>
        <w:t xml:space="preserve">Schell T, Griffin BA, Morral A. </w:t>
      </w:r>
      <w:r w:rsidRPr="009C077E">
        <w:rPr>
          <w:i/>
          <w:iCs/>
          <w:color w:val="000000"/>
        </w:rPr>
        <w:t>Evaluating Methods to Estimate the Effect of State Laws on Firearm Deaths: A Simulation Study</w:t>
      </w:r>
      <w:r w:rsidRPr="009C077E">
        <w:rPr>
          <w:color w:val="000000"/>
        </w:rPr>
        <w:t>. RAND Corporation; 2018. doi:10.7249/RR2685</w:t>
      </w:r>
    </w:p>
    <w:p w14:paraId="1C7DD0CF" w14:textId="77777777" w:rsidR="009C077E" w:rsidRPr="009C077E" w:rsidRDefault="009C077E" w:rsidP="009C077E">
      <w:pPr>
        <w:pStyle w:val="Bibliography"/>
        <w:rPr>
          <w:color w:val="000000"/>
        </w:rPr>
      </w:pPr>
      <w:r w:rsidRPr="009C077E">
        <w:rPr>
          <w:color w:val="000000"/>
        </w:rPr>
        <w:t>7.</w:t>
      </w:r>
      <w:r w:rsidRPr="009C077E">
        <w:rPr>
          <w:color w:val="000000"/>
        </w:rPr>
        <w:tab/>
        <w:t xml:space="preserve">Hoch E, Nabel A, Morral AR, Schell TL, Smucker S. </w:t>
      </w:r>
      <w:r w:rsidRPr="009C077E">
        <w:rPr>
          <w:i/>
          <w:iCs/>
          <w:color w:val="000000"/>
        </w:rPr>
        <w:t>Development of the RAND State Firearm Law Database and Supporting Materials</w:t>
      </w:r>
      <w:r w:rsidRPr="009C077E">
        <w:rPr>
          <w:color w:val="000000"/>
        </w:rPr>
        <w:t>.; 2025. Accessed May 8, 2025. https://www.rand.org/pubs/tools/TLA243-2-v3.html</w:t>
      </w:r>
    </w:p>
    <w:p w14:paraId="21C05A96" w14:textId="77777777" w:rsidR="009C077E" w:rsidRPr="009C077E" w:rsidRDefault="009C077E" w:rsidP="009C077E">
      <w:pPr>
        <w:pStyle w:val="Bibliography"/>
        <w:rPr>
          <w:color w:val="000000"/>
        </w:rPr>
      </w:pPr>
      <w:r w:rsidRPr="009C077E">
        <w:rPr>
          <w:color w:val="000000"/>
        </w:rPr>
        <w:t>8.</w:t>
      </w:r>
      <w:r w:rsidRPr="009C077E">
        <w:rPr>
          <w:color w:val="000000"/>
        </w:rPr>
        <w:tab/>
        <w:t>The National ERPO Resource Center. The National ERPO Resource Center. Accessed May 5, 2025. https://erpo.org/</w:t>
      </w:r>
    </w:p>
    <w:p w14:paraId="6B5FE79C" w14:textId="77777777" w:rsidR="009C077E" w:rsidRPr="009C077E" w:rsidRDefault="009C077E" w:rsidP="009C077E">
      <w:pPr>
        <w:pStyle w:val="Bibliography"/>
        <w:rPr>
          <w:color w:val="000000"/>
        </w:rPr>
      </w:pPr>
      <w:r w:rsidRPr="009C077E">
        <w:rPr>
          <w:color w:val="000000"/>
        </w:rPr>
        <w:t>9.</w:t>
      </w:r>
      <w:r w:rsidRPr="009C077E">
        <w:rPr>
          <w:color w:val="000000"/>
        </w:rPr>
        <w:tab/>
        <w:t xml:space="preserve">Schell TL, Smart R, Cefalu M, Griffin BA, Morral AR. State Policies Regulating Firearms and Changes in Firearm Mortality. </w:t>
      </w:r>
      <w:r w:rsidRPr="009C077E">
        <w:rPr>
          <w:i/>
          <w:iCs/>
          <w:color w:val="000000"/>
        </w:rPr>
        <w:t>JAMA Network Open</w:t>
      </w:r>
      <w:r w:rsidRPr="009C077E">
        <w:rPr>
          <w:color w:val="000000"/>
        </w:rPr>
        <w:t>. 2024;7(7</w:t>
      </w:r>
      <w:proofErr w:type="gramStart"/>
      <w:r w:rsidRPr="009C077E">
        <w:rPr>
          <w:color w:val="000000"/>
        </w:rPr>
        <w:t>):e</w:t>
      </w:r>
      <w:proofErr w:type="gramEnd"/>
      <w:r w:rsidRPr="009C077E">
        <w:rPr>
          <w:color w:val="000000"/>
        </w:rPr>
        <w:t>2422948. doi:10.1001/jamanetworkopen.2024.22948</w:t>
      </w:r>
    </w:p>
    <w:p w14:paraId="59453193" w14:textId="77777777" w:rsidR="009C077E" w:rsidRPr="009C077E" w:rsidRDefault="009C077E" w:rsidP="009C077E">
      <w:pPr>
        <w:pStyle w:val="Bibliography"/>
        <w:rPr>
          <w:color w:val="000000"/>
        </w:rPr>
      </w:pPr>
      <w:r w:rsidRPr="009C077E">
        <w:rPr>
          <w:color w:val="000000"/>
        </w:rPr>
        <w:t>10.</w:t>
      </w:r>
      <w:r w:rsidRPr="009C077E">
        <w:rPr>
          <w:color w:val="000000"/>
        </w:rPr>
        <w:tab/>
        <w:t xml:space="preserve">Gelman A, </w:t>
      </w:r>
      <w:proofErr w:type="spellStart"/>
      <w:r w:rsidRPr="009C077E">
        <w:rPr>
          <w:color w:val="000000"/>
        </w:rPr>
        <w:t>Tuerlinckx</w:t>
      </w:r>
      <w:proofErr w:type="spellEnd"/>
      <w:r w:rsidRPr="009C077E">
        <w:rPr>
          <w:color w:val="000000"/>
        </w:rPr>
        <w:t xml:space="preserve"> F. Type S error rates for classical and Bayesian single and multiple comparison procedures. </w:t>
      </w:r>
      <w:r w:rsidRPr="009C077E">
        <w:rPr>
          <w:i/>
          <w:iCs/>
          <w:color w:val="000000"/>
        </w:rPr>
        <w:t>Computational Statistics</w:t>
      </w:r>
      <w:r w:rsidRPr="009C077E">
        <w:rPr>
          <w:color w:val="000000"/>
        </w:rPr>
        <w:t>. 2000;15(3):373-390. doi:10.1007/s001800000040</w:t>
      </w:r>
    </w:p>
    <w:p w14:paraId="4E8BAF71" w14:textId="77777777" w:rsidR="009C077E" w:rsidRPr="009C077E" w:rsidRDefault="009C077E" w:rsidP="009C077E">
      <w:pPr>
        <w:pStyle w:val="Bibliography"/>
        <w:rPr>
          <w:color w:val="000000"/>
        </w:rPr>
      </w:pPr>
      <w:r w:rsidRPr="009C077E">
        <w:rPr>
          <w:color w:val="000000"/>
        </w:rPr>
        <w:t>11.</w:t>
      </w:r>
      <w:r w:rsidRPr="009C077E">
        <w:rPr>
          <w:color w:val="000000"/>
        </w:rPr>
        <w:tab/>
        <w:t xml:space="preserve">Study: Red Flag Laws, </w:t>
      </w:r>
      <w:proofErr w:type="gramStart"/>
      <w:r w:rsidRPr="009C077E">
        <w:rPr>
          <w:color w:val="000000"/>
        </w:rPr>
        <w:t>Originated</w:t>
      </w:r>
      <w:proofErr w:type="gramEnd"/>
      <w:r w:rsidRPr="009C077E">
        <w:rPr>
          <w:color w:val="000000"/>
        </w:rPr>
        <w:t xml:space="preserve"> in Connecticut, Effective in Preventing Suicides. Connecticut Senate Democrats. Accessed May 8, 2025. https://www.senatedems.ct.gov/study-red-flag-laws-originated-in-connecticut-effective-in-preventing-suicides</w:t>
      </w:r>
    </w:p>
    <w:p w14:paraId="4B843A71" w14:textId="74777732" w:rsidR="009C077E" w:rsidRDefault="009C077E" w:rsidP="00F02117">
      <w:pPr>
        <w:spacing w:before="100" w:beforeAutospacing="1" w:after="100" w:afterAutospacing="1"/>
        <w:outlineLvl w:val="0"/>
        <w:rPr>
          <w:b/>
          <w:bCs/>
          <w:color w:val="000000"/>
          <w:kern w:val="36"/>
        </w:rPr>
      </w:pPr>
      <w:r>
        <w:rPr>
          <w:b/>
          <w:bCs/>
          <w:color w:val="000000"/>
          <w:kern w:val="36"/>
        </w:rPr>
        <w:fldChar w:fldCharType="end"/>
      </w:r>
    </w:p>
    <w:p w14:paraId="6AFEF046" w14:textId="77777777" w:rsidR="004B4759" w:rsidRDefault="004B4759" w:rsidP="00F02117">
      <w:pPr>
        <w:spacing w:before="100" w:beforeAutospacing="1" w:after="100" w:afterAutospacing="1"/>
        <w:outlineLvl w:val="0"/>
        <w:rPr>
          <w:b/>
          <w:bCs/>
          <w:color w:val="000000"/>
          <w:kern w:val="36"/>
        </w:rPr>
      </w:pPr>
    </w:p>
    <w:p w14:paraId="66E5AF59" w14:textId="745606F7" w:rsidR="00DA0F4B" w:rsidRDefault="00DA0F4B" w:rsidP="00DA0F4B">
      <w:pPr>
        <w:spacing w:before="100" w:beforeAutospacing="1" w:after="100" w:afterAutospacing="1"/>
        <w:jc w:val="center"/>
        <w:outlineLvl w:val="0"/>
        <w:rPr>
          <w:b/>
          <w:bCs/>
          <w:color w:val="000000"/>
          <w:kern w:val="36"/>
        </w:rPr>
      </w:pPr>
      <w:r>
        <w:rPr>
          <w:b/>
          <w:bCs/>
          <w:color w:val="000000"/>
          <w:kern w:val="36"/>
        </w:rPr>
        <w:lastRenderedPageBreak/>
        <w:t>Appendix</w:t>
      </w:r>
    </w:p>
    <w:p w14:paraId="4ACAF1EA" w14:textId="4A041900" w:rsidR="0003329C" w:rsidRDefault="00B40769" w:rsidP="00B40769">
      <w:pPr>
        <w:spacing w:before="100" w:beforeAutospacing="1" w:after="100" w:afterAutospacing="1"/>
        <w:outlineLvl w:val="0"/>
        <w:rPr>
          <w:b/>
          <w:bCs/>
          <w:color w:val="000000"/>
          <w:kern w:val="36"/>
        </w:rPr>
      </w:pPr>
      <w:proofErr w:type="spellStart"/>
      <w:r>
        <w:rPr>
          <w:b/>
          <w:bCs/>
          <w:color w:val="000000"/>
          <w:kern w:val="36"/>
        </w:rPr>
        <w:t>eMethods</w:t>
      </w:r>
      <w:proofErr w:type="spellEnd"/>
    </w:p>
    <w:p w14:paraId="2CCB9341" w14:textId="0E9C624A" w:rsidR="0003329C" w:rsidRPr="0003329C" w:rsidRDefault="009C077E" w:rsidP="0003329C">
      <w:pPr>
        <w:spacing w:before="100" w:beforeAutospacing="1" w:after="100" w:afterAutospacing="1"/>
        <w:outlineLvl w:val="3"/>
        <w:rPr>
          <w:b/>
          <w:bCs/>
        </w:rPr>
      </w:pPr>
      <w:r>
        <w:rPr>
          <w:b/>
          <w:bCs/>
        </w:rPr>
        <w:t>1</w:t>
      </w:r>
      <w:r w:rsidR="0003329C" w:rsidRPr="0003329C">
        <w:rPr>
          <w:b/>
          <w:bCs/>
        </w:rPr>
        <w:t>. Statistical Model</w:t>
      </w:r>
    </w:p>
    <w:p w14:paraId="6F123138" w14:textId="084DB309" w:rsidR="0003329C" w:rsidRPr="0003329C" w:rsidRDefault="009C077E" w:rsidP="0003329C">
      <w:pPr>
        <w:spacing w:before="100" w:beforeAutospacing="1" w:after="100" w:afterAutospacing="1"/>
        <w:outlineLvl w:val="4"/>
        <w:rPr>
          <w:b/>
          <w:bCs/>
          <w:sz w:val="20"/>
          <w:szCs w:val="20"/>
        </w:rPr>
      </w:pPr>
      <w:r>
        <w:rPr>
          <w:b/>
          <w:bCs/>
          <w:sz w:val="20"/>
          <w:szCs w:val="20"/>
        </w:rPr>
        <w:t>1</w:t>
      </w:r>
      <w:r w:rsidR="0003329C" w:rsidRPr="0003329C">
        <w:rPr>
          <w:b/>
          <w:bCs/>
          <w:sz w:val="20"/>
          <w:szCs w:val="20"/>
        </w:rPr>
        <w:t>.1 Model form</w:t>
      </w:r>
    </w:p>
    <w:p w14:paraId="3EB0733B" w14:textId="22B9B93D" w:rsidR="00AE3B7A" w:rsidRPr="00AE3B7A" w:rsidRDefault="00AE3B7A" w:rsidP="00AE3B7A">
      <w:pPr>
        <w:spacing w:before="100" w:beforeAutospacing="1" w:after="100" w:afterAutospacing="1"/>
      </w:pPr>
      <w:r w:rsidRPr="00AE3B7A">
        <w:t xml:space="preserve">Consistent with the extensive simulation work of Schell et al. and colleagues, we modeled annual state-level counts of firearm suicides with a second-order autoregressive negative-binomial model.  The form combines the over-dispersion needed for rare-event counts with an explicit adjustment for the tight year-to-year correlation in state mortality rates—features that two-way fixed-effects and conventional difference-in-differences estimators handle poorly.  In every simulation scenario examined by Cefalu et al., this class of model maintained nominal type-I error, </w:t>
      </w:r>
      <w:r w:rsidRPr="00AE3B7A">
        <w:t>maximized</w:t>
      </w:r>
      <w:r w:rsidRPr="00AE3B7A">
        <w:t xml:space="preserve"> statistical power, and produced effect estimates with minimal bias</w:t>
      </w:r>
    </w:p>
    <w:p w14:paraId="142056A7" w14:textId="5CFA436C" w:rsidR="00B40769" w:rsidRPr="00B40769" w:rsidRDefault="00AE3B7A" w:rsidP="00DE04F0">
      <w:pPr>
        <w:jc w:val="center"/>
      </w:pPr>
      <w:r>
        <w:rPr>
          <w:noProof/>
        </w:rPr>
        <w:drawing>
          <wp:inline distT="0" distB="0" distL="0" distR="0" wp14:anchorId="3C2D617E" wp14:editId="0F40523B">
            <wp:extent cx="4822031" cy="2450169"/>
            <wp:effectExtent l="0" t="0" r="4445" b="1270"/>
            <wp:docPr id="2014593629" name="Picture 6" descr="A white paper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3629" name="Picture 6" descr="A white paper with black text and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60167" cy="2469547"/>
                    </a:xfrm>
                    <a:prstGeom prst="rect">
                      <a:avLst/>
                    </a:prstGeom>
                  </pic:spPr>
                </pic:pic>
              </a:graphicData>
            </a:graphic>
          </wp:inline>
        </w:drawing>
      </w:r>
    </w:p>
    <w:p w14:paraId="77B14389" w14:textId="016F1324" w:rsidR="00AE3B7A" w:rsidRPr="00AE3B7A" w:rsidRDefault="00AE3B7A" w:rsidP="00AE3B7A">
      <w:pPr>
        <w:numPr>
          <w:ilvl w:val="0"/>
          <w:numId w:val="1"/>
        </w:numPr>
        <w:spacing w:before="100" w:beforeAutospacing="1" w:after="100" w:afterAutospacing="1"/>
      </w:pPr>
      <w:r w:rsidRPr="00AE3B7A">
        <w:rPr>
          <w:b/>
          <w:bCs/>
        </w:rPr>
        <w:t>Outcome and offset.</w:t>
      </w:r>
      <w:r w:rsidRPr="00AE3B7A">
        <w:t xml:space="preserve"> </w:t>
      </w:r>
      <m:oMath>
        <m:sSub>
          <m:sSubPr>
            <m:ctrlPr>
              <w:rPr>
                <w:rFonts w:ascii="Cambria Math" w:hAnsi="Cambria Math"/>
                <w:i/>
                <w:iCs/>
              </w:rPr>
            </m:ctrlPr>
          </m:sSubPr>
          <m:e>
            <m:r>
              <w:rPr>
                <w:rFonts w:ascii="Cambria Math" w:hAnsi="Cambria Math"/>
              </w:rPr>
              <m:t>Y</m:t>
            </m:r>
          </m:e>
          <m:sub>
            <m:r>
              <w:rPr>
                <w:rFonts w:ascii="Cambria Math" w:hAnsi="Cambria Math"/>
              </w:rPr>
              <m:t>st</m:t>
            </m:r>
          </m:sub>
        </m:sSub>
      </m:oMath>
      <w:r w:rsidRPr="00AE3B7A">
        <w:t xml:space="preserve"> is the number of firearm-suicide deaths in state s and year t; </w:t>
      </w:r>
      <m:oMath>
        <m:sSub>
          <m:sSubPr>
            <m:ctrlPr>
              <w:rPr>
                <w:rFonts w:ascii="Cambria Math" w:hAnsi="Cambria Math"/>
                <w:i/>
                <w:iCs/>
              </w:rPr>
            </m:ctrlPr>
          </m:sSubPr>
          <m:e>
            <m:r>
              <w:rPr>
                <w:rFonts w:ascii="Cambria Math" w:hAnsi="Cambria Math"/>
              </w:rPr>
              <m:t>N</m:t>
            </m:r>
          </m:e>
          <m:sub>
            <m:r>
              <w:rPr>
                <w:rFonts w:ascii="Cambria Math" w:hAnsi="Cambria Math"/>
              </w:rPr>
              <m:t>st</m:t>
            </m:r>
          </m:sub>
        </m:sSub>
      </m:oMath>
      <w:r w:rsidRPr="00AE3B7A">
        <w:t xml:space="preserve"> is the corresponding adult population, supplied as a log offset.</w:t>
      </w:r>
    </w:p>
    <w:p w14:paraId="6678DF92" w14:textId="4EF4DC71" w:rsidR="00AE3B7A" w:rsidRPr="00AE3B7A" w:rsidRDefault="00AE3B7A" w:rsidP="00AE3B7A">
      <w:pPr>
        <w:numPr>
          <w:ilvl w:val="0"/>
          <w:numId w:val="1"/>
        </w:numPr>
        <w:spacing w:before="100" w:beforeAutospacing="1" w:after="100" w:afterAutospacing="1"/>
      </w:pPr>
      <w:r w:rsidRPr="00AE3B7A">
        <w:rPr>
          <w:b/>
          <w:bCs/>
        </w:rPr>
        <w:t>Autoregressive terms.</w:t>
      </w:r>
      <w:r w:rsidRPr="00AE3B7A">
        <w:t xml:space="preserve"> </w:t>
      </w:r>
      <m:oMath>
        <m:sSub>
          <m:sSubPr>
            <m:ctrlPr>
              <w:rPr>
                <w:rFonts w:ascii="Cambria Math" w:hAnsi="Cambria Math"/>
                <w:i/>
                <w:iCs/>
              </w:rPr>
            </m:ctrlPr>
          </m:sSubPr>
          <m:e>
            <m:r>
              <w:rPr>
                <w:rFonts w:ascii="Cambria Math" w:hAnsi="Cambria Math"/>
              </w:rPr>
              <m:t>δ</m:t>
            </m:r>
          </m:e>
          <m:sub>
            <m:r>
              <w:rPr>
                <w:rFonts w:ascii="Cambria Math" w:hAnsi="Cambria Math"/>
              </w:rPr>
              <m:t>1</m:t>
            </m:r>
          </m:sub>
        </m:sSub>
      </m:oMath>
      <w:r w:rsidRPr="00AE3B7A">
        <w:t xml:space="preserve"> and</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Pr="00AE3B7A">
        <w:t xml:space="preserve"> capture first- and second-order persistence in log mortality rates.</w:t>
      </w:r>
    </w:p>
    <w:p w14:paraId="4625C72B" w14:textId="77777777" w:rsidR="00AE3B7A" w:rsidRPr="00AE3B7A" w:rsidRDefault="00AE3B7A" w:rsidP="00AE3B7A">
      <w:pPr>
        <w:numPr>
          <w:ilvl w:val="0"/>
          <w:numId w:val="1"/>
        </w:numPr>
        <w:spacing w:before="100" w:beforeAutospacing="1" w:after="100" w:afterAutospacing="1"/>
      </w:pPr>
      <w:r w:rsidRPr="00AE3B7A">
        <w:rPr>
          <w:b/>
          <w:bCs/>
        </w:rPr>
        <w:t>Policy splines.</w:t>
      </w:r>
    </w:p>
    <w:p w14:paraId="3256A260" w14:textId="2552EBFD" w:rsidR="00AE3B7A" w:rsidRPr="00AE3B7A" w:rsidRDefault="00DE04F0" w:rsidP="00AE3B7A">
      <w:pPr>
        <w:numPr>
          <w:ilvl w:val="1"/>
          <w:numId w:val="1"/>
        </w:numPr>
        <w:spacing w:before="100" w:beforeAutospacing="1" w:after="100" w:afterAutospacing="1"/>
      </w:pP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st</m:t>
            </m:r>
          </m:sub>
        </m:sSub>
      </m:oMath>
      <w:r w:rsidR="00AE3B7A" w:rsidRPr="00AE3B7A">
        <w:t xml:space="preserve"> is a step indicator that turns from 0 to 1 in the first calendar year an ERPO statute is operative for &gt;6 months.</w:t>
      </w:r>
    </w:p>
    <w:p w14:paraId="40A009FA" w14:textId="5B09A315" w:rsidR="00AE3B7A" w:rsidRPr="00AE3B7A" w:rsidRDefault="00DE04F0" w:rsidP="00AE3B7A">
      <w:pPr>
        <w:numPr>
          <w:ilvl w:val="1"/>
          <w:numId w:val="1"/>
        </w:numPr>
        <w:spacing w:before="100" w:beforeAutospacing="1" w:after="100" w:afterAutospacing="1"/>
      </w:pP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st</m:t>
            </m:r>
          </m:sub>
        </m:sSub>
      </m:oMath>
      <w:r w:rsidR="00AE3B7A" w:rsidRPr="00AE3B7A">
        <w:t xml:space="preserve"> rises linearly from 0 to 1 over the first five post-implementation years, allowing gradual </w:t>
      </w:r>
      <w:r w:rsidR="001B0F8A">
        <w:t>program</w:t>
      </w:r>
      <w:r w:rsidR="00AE3B7A" w:rsidRPr="00AE3B7A">
        <w:t xml:space="preserve"> uptake.</w:t>
      </w:r>
    </w:p>
    <w:p w14:paraId="56AB9223" w14:textId="14439078" w:rsidR="00AE3B7A" w:rsidRPr="00AE3B7A" w:rsidRDefault="00DE04F0" w:rsidP="00AE3B7A">
      <w:pPr>
        <w:numPr>
          <w:ilvl w:val="1"/>
          <w:numId w:val="1"/>
        </w:numPr>
        <w:spacing w:before="100" w:beforeAutospacing="1" w:after="100" w:afterAutospacing="1"/>
      </w:pP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st</m:t>
            </m:r>
          </m:sub>
        </m:sSub>
      </m:oMath>
      <w:r w:rsidR="00AE3B7A" w:rsidRPr="00AE3B7A">
        <w:t xml:space="preserve"> begins five years after implementation and rises linearly to 1 by year 10; its coefficient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rsidR="00AE3B7A" w:rsidRPr="00AE3B7A">
        <w:t xml:space="preserve">is </w:t>
      </w:r>
      <w:r w:rsidR="00AE3B7A" w:rsidRPr="00AE3B7A">
        <w:rPr>
          <w:i/>
          <w:iCs/>
        </w:rPr>
        <w:t>not</w:t>
      </w:r>
      <w:r w:rsidR="00AE3B7A" w:rsidRPr="00AE3B7A">
        <w:t xml:space="preserve"> included in the five-year effect we report but absorbs longer-run drift that could otherwise bias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AE3B7A" w:rsidRPr="00AE3B7A">
        <w:t>.</w:t>
      </w:r>
    </w:p>
    <w:p w14:paraId="0F122C26" w14:textId="1672228F" w:rsidR="00AE3B7A" w:rsidRPr="00AE3B7A" w:rsidRDefault="00AE3B7A" w:rsidP="00AE3B7A">
      <w:pPr>
        <w:numPr>
          <w:ilvl w:val="0"/>
          <w:numId w:val="1"/>
        </w:numPr>
        <w:spacing w:before="100" w:beforeAutospacing="1" w:after="100" w:afterAutospacing="1"/>
      </w:pPr>
      <w:r w:rsidRPr="00AE3B7A">
        <w:rPr>
          <w:b/>
          <w:bCs/>
        </w:rPr>
        <w:t xml:space="preserve">Covariates </w:t>
      </w:r>
      <m:oMath>
        <m:r>
          <m:rPr>
            <m:sty m:val="bi"/>
          </m:rPr>
          <w:rPr>
            <w:rFonts w:ascii="Cambria Math" w:hAnsi="Cambria Math"/>
          </w:rPr>
          <m:t>(</m:t>
        </m:r>
        <m:sSub>
          <m:sSubPr>
            <m:ctrlPr>
              <w:rPr>
                <w:rFonts w:ascii="Cambria Math" w:hAnsi="Cambria Math"/>
                <w:i/>
                <w:iCs/>
              </w:rPr>
            </m:ctrlPr>
          </m:sSubPr>
          <m:e>
            <m:r>
              <m:rPr>
                <m:sty m:val="bi"/>
              </m:rPr>
              <w:rPr>
                <w:rFonts w:ascii="Cambria Math" w:hAnsi="Cambria Math"/>
              </w:rPr>
              <m:t>X</m:t>
            </m:r>
            <m:ctrlPr>
              <w:rPr>
                <w:rFonts w:ascii="Cambria Math" w:hAnsi="Cambria Math"/>
                <w:b/>
                <w:bCs/>
                <w:i/>
              </w:rPr>
            </m:ctrlPr>
          </m:e>
          <m:sub>
            <m:r>
              <m:rPr>
                <m:sty m:val="bi"/>
              </m:rPr>
              <w:rPr>
                <w:rFonts w:ascii="Cambria Math" w:hAnsi="Cambria Math"/>
              </w:rPr>
              <m:t>st</m:t>
            </m:r>
          </m:sub>
        </m:sSub>
        <m:r>
          <m:rPr>
            <m:sty m:val="bi"/>
          </m:rPr>
          <w:rPr>
            <w:rFonts w:ascii="Cambria Math" w:hAnsi="Cambria Math"/>
          </w:rPr>
          <m:t>).</m:t>
        </m:r>
      </m:oMath>
      <w:r w:rsidRPr="00AE3B7A">
        <w:t xml:space="preserve"> We included </w:t>
      </w:r>
      <w:r w:rsidR="00513EEE">
        <w:t>firearm ownership</w:t>
      </w:r>
      <w:r w:rsidRPr="00AE3B7A">
        <w:t xml:space="preserve"> prevalence, age and race/ethnicity composition, poverty, and other demographic and economic indicators specified a priori </w:t>
      </w:r>
      <w:r w:rsidRPr="00AE3B7A">
        <w:lastRenderedPageBreak/>
        <w:t xml:space="preserve">as potential confounders; all were </w:t>
      </w:r>
      <w:r w:rsidR="001B0F8A">
        <w:t>standardized</w:t>
      </w:r>
      <w:r w:rsidRPr="00AE3B7A">
        <w:t xml:space="preserve"> and entered with weakly informative </w:t>
      </w:r>
      <w:proofErr w:type="gramStart"/>
      <w:r w:rsidRPr="00AE3B7A">
        <w:t>Normal(</w:t>
      </w:r>
      <w:proofErr w:type="gramEnd"/>
      <w:r w:rsidRPr="00AE3B7A">
        <w:t>0, 0.1) priors. </w:t>
      </w:r>
    </w:p>
    <w:p w14:paraId="473462B4" w14:textId="23AAA225" w:rsidR="00AE3B7A" w:rsidRPr="00AE3B7A" w:rsidRDefault="00AE3B7A" w:rsidP="00AE3B7A">
      <w:pPr>
        <w:numPr>
          <w:ilvl w:val="0"/>
          <w:numId w:val="1"/>
        </w:numPr>
        <w:spacing w:before="100" w:beforeAutospacing="1" w:after="100" w:afterAutospacing="1"/>
      </w:pPr>
      <w:r w:rsidRPr="00AE3B7A">
        <w:rPr>
          <w:b/>
          <w:bCs/>
        </w:rPr>
        <w:t xml:space="preserve">Year effects </w:t>
      </w:r>
      <w:r w:rsidRPr="00AE3B7A">
        <w:t>(</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r>
          <w:rPr>
            <w:rFonts w:ascii="Cambria Math" w:hAnsi="Cambria Math"/>
          </w:rPr>
          <m:t>ζ</m:t>
        </m:r>
      </m:oMath>
      <w:r w:rsidRPr="00AE3B7A">
        <w:t>). Dummy variables for each calendar year (reference = 2001) absorb national shocks, including the 2020–2021 pandemic spike.</w:t>
      </w:r>
    </w:p>
    <w:p w14:paraId="15B8F255" w14:textId="1710CA11" w:rsidR="00AE3B7A" w:rsidRPr="00AE3B7A" w:rsidRDefault="00AE3B7A" w:rsidP="00AE3B7A">
      <w:pPr>
        <w:numPr>
          <w:ilvl w:val="0"/>
          <w:numId w:val="1"/>
        </w:numPr>
        <w:spacing w:before="100" w:beforeAutospacing="1" w:after="100" w:afterAutospacing="1"/>
      </w:pPr>
      <w:r w:rsidRPr="00AE3B7A">
        <w:rPr>
          <w:b/>
          <w:bCs/>
        </w:rPr>
        <w:t xml:space="preserve">State random effect </w:t>
      </w:r>
      <w:r w:rsidRPr="00AE3B7A">
        <w:t>(</w:t>
      </w:r>
      <m:oMath>
        <m:sSub>
          <m:sSubPr>
            <m:ctrlPr>
              <w:rPr>
                <w:rFonts w:ascii="Cambria Math" w:hAnsi="Cambria Math"/>
                <w:i/>
                <w:iCs/>
              </w:rPr>
            </m:ctrlPr>
          </m:sSubPr>
          <m:e>
            <m:r>
              <w:rPr>
                <w:rFonts w:ascii="Cambria Math" w:hAnsi="Cambria Math"/>
              </w:rPr>
              <m:t>u</m:t>
            </m:r>
          </m:e>
          <m:sub>
            <m:r>
              <w:rPr>
                <w:rFonts w:ascii="Cambria Math" w:hAnsi="Cambria Math"/>
              </w:rPr>
              <m:t>s</m:t>
            </m:r>
          </m:sub>
        </m:sSub>
      </m:oMath>
      <w:r w:rsidRPr="00AE3B7A">
        <w:t xml:space="preserve">). A </w:t>
      </w:r>
      <w:r w:rsidR="00E10661" w:rsidRPr="00AE3B7A">
        <w:t>centered</w:t>
      </w:r>
      <w:r w:rsidRPr="00AE3B7A">
        <w:t xml:space="preserve"> </w:t>
      </w:r>
      <w:proofErr w:type="gramStart"/>
      <w:r w:rsidRPr="00AE3B7A">
        <w:t>Normal(</w:t>
      </w:r>
      <w:proofErr w:type="gramEnd"/>
      <w:r w:rsidRPr="00AE3B7A">
        <w:t>0, 0.5) term captures time-invariant heterogeneity.</w:t>
      </w:r>
    </w:p>
    <w:p w14:paraId="733555DB" w14:textId="3CCF8A49" w:rsidR="00AE3B7A" w:rsidRPr="00AE3B7A" w:rsidRDefault="00AE3B7A" w:rsidP="00AE3B7A">
      <w:pPr>
        <w:spacing w:before="100" w:beforeAutospacing="1" w:after="100" w:afterAutospacing="1"/>
      </w:pPr>
      <w:r w:rsidRPr="00AE3B7A">
        <w:t xml:space="preserve">The two subtracted lines in </w:t>
      </w:r>
      <w:proofErr w:type="spellStart"/>
      <w:r w:rsidRPr="00AE3B7A">
        <w:t>eEq</w:t>
      </w:r>
      <w:proofErr w:type="spellEnd"/>
      <w:r w:rsidRPr="00AE3B7A">
        <w:t xml:space="preserve"> 1 are </w:t>
      </w:r>
      <w:r w:rsidR="00513EEE">
        <w:t>"</w:t>
      </w:r>
      <w:r w:rsidRPr="00AE3B7A">
        <w:t>de-biasing</w:t>
      </w:r>
      <w:r w:rsidR="00513EEE">
        <w:t>"</w:t>
      </w:r>
      <w:r w:rsidRPr="00AE3B7A">
        <w:t xml:space="preserve"> adjustments introduced by Cefalu et al.; they remove the portion of the lagged log rates that is a deterministic function of past policy status, preventing attenuation of </w:t>
      </w:r>
      <m:oMath>
        <m:r>
          <m:rPr>
            <m:sty m:val="bi"/>
          </m:rPr>
          <w:rPr>
            <w:rFonts w:ascii="Cambria Math" w:hAnsi="Cambria Math"/>
          </w:rPr>
          <m:t>β</m:t>
        </m:r>
      </m:oMath>
      <w:r w:rsidRPr="00AE3B7A">
        <w:t>.</w:t>
      </w:r>
    </w:p>
    <w:p w14:paraId="5CA8814D" w14:textId="725A0D65" w:rsidR="006F7ACF" w:rsidRPr="006F7ACF" w:rsidRDefault="006F7ACF" w:rsidP="006F7ACF">
      <w:pPr>
        <w:spacing w:before="100" w:beforeAutospacing="1" w:after="100" w:afterAutospacing="1"/>
        <w:outlineLvl w:val="4"/>
        <w:rPr>
          <w:b/>
          <w:bCs/>
          <w:color w:val="000000" w:themeColor="text1"/>
          <w:sz w:val="20"/>
          <w:szCs w:val="20"/>
        </w:rPr>
      </w:pPr>
      <w:r w:rsidRPr="006F7ACF">
        <w:rPr>
          <w:b/>
          <w:bCs/>
          <w:color w:val="000000" w:themeColor="text1"/>
          <w:sz w:val="20"/>
          <w:szCs w:val="20"/>
        </w:rPr>
        <w:t> </w:t>
      </w:r>
      <w:r w:rsidR="009C077E">
        <w:rPr>
          <w:b/>
          <w:bCs/>
          <w:color w:val="000000" w:themeColor="text1"/>
          <w:sz w:val="20"/>
          <w:szCs w:val="20"/>
        </w:rPr>
        <w:t>1</w:t>
      </w:r>
      <w:r w:rsidRPr="00E10661">
        <w:rPr>
          <w:b/>
          <w:bCs/>
          <w:color w:val="000000" w:themeColor="text1"/>
          <w:sz w:val="20"/>
          <w:szCs w:val="20"/>
        </w:rPr>
        <w:t xml:space="preserve">.2 </w:t>
      </w:r>
      <w:r w:rsidRPr="006F7ACF">
        <w:rPr>
          <w:b/>
          <w:bCs/>
          <w:color w:val="000000" w:themeColor="text1"/>
          <w:sz w:val="20"/>
          <w:szCs w:val="20"/>
        </w:rPr>
        <w:t>Derived quantities</w:t>
      </w:r>
    </w:p>
    <w:p w14:paraId="77C0032E" w14:textId="7FDA1367" w:rsidR="006F7ACF" w:rsidRPr="006F7ACF" w:rsidRDefault="006F7ACF" w:rsidP="006F7ACF">
      <w:pPr>
        <w:spacing w:before="100" w:beforeAutospacing="1" w:after="100" w:afterAutospacing="1"/>
      </w:pPr>
      <w:r w:rsidRPr="006F7ACF">
        <w:t xml:space="preserve">Incidence-rate-ratios (IRRs) for years 0–5 </w:t>
      </w:r>
      <w:proofErr w:type="gramStart"/>
      <w:r w:rsidRPr="006F7ACF">
        <w:t>were</w:t>
      </w:r>
      <w:proofErr w:type="gramEnd"/>
      <w:r w:rsidRPr="006F7ACF">
        <w:t xml:space="preserve"> generated:</w:t>
      </w:r>
    </w:p>
    <w:p w14:paraId="753E1567" w14:textId="7857BFBB" w:rsidR="006F7ACF" w:rsidRPr="006F7ACF" w:rsidRDefault="006F7ACF" w:rsidP="006F7ACF">
      <w:pPr>
        <w:spacing w:before="100" w:beforeAutospacing="1" w:after="100" w:afterAutospacing="1"/>
      </w:pPr>
      <m:oMathPara>
        <m:oMath>
          <m:r>
            <w:rPr>
              <w:rFonts w:ascii="Cambria Math" w:hAnsi="Cambria Math"/>
            </w:rPr>
            <m:t>IRR=</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m:t>
                      </m:r>
                    </m:den>
                  </m:f>
                  <m:sSub>
                    <m:sSubPr>
                      <m:ctrlPr>
                        <w:rPr>
                          <w:rFonts w:ascii="Cambria Math" w:hAnsi="Cambria Math"/>
                          <w:i/>
                        </w:rPr>
                      </m:ctrlPr>
                    </m:sSubPr>
                    <m:e>
                      <m:r>
                        <w:rPr>
                          <w:rFonts w:ascii="Cambria Math" w:hAnsi="Cambria Math"/>
                        </w:rPr>
                        <m:t>β</m:t>
                      </m:r>
                    </m:e>
                    <m:sub>
                      <m:r>
                        <w:rPr>
                          <w:rFonts w:ascii="Cambria Math" w:hAnsi="Cambria Math"/>
                        </w:rPr>
                        <m:t>2</m:t>
                      </m:r>
                    </m:sub>
                  </m:sSub>
                </m:e>
              </m:d>
            </m:e>
          </m:func>
          <m:r>
            <w:rPr>
              <w:rFonts w:ascii="Cambria Math" w:hAnsi="Cambria Math"/>
            </w:rPr>
            <m:t>,      k=0,…, 5</m:t>
          </m:r>
        </m:oMath>
      </m:oMathPara>
    </w:p>
    <w:p w14:paraId="69C819C2" w14:textId="48B1A919" w:rsidR="006F7ACF" w:rsidRPr="006F7ACF" w:rsidRDefault="006F7ACF" w:rsidP="006F7ACF">
      <w:pPr>
        <w:spacing w:before="100" w:beforeAutospacing="1" w:after="100" w:afterAutospacing="1"/>
      </w:pPr>
      <w:r w:rsidRPr="006F7ACF">
        <w:t xml:space="preserve">Because </w:t>
      </w:r>
      <w:r w:rsidRPr="006F7ACF">
        <w:rPr>
          <w:i/>
          <w:iCs/>
        </w:rPr>
        <w:t>PL</w:t>
      </w:r>
      <w:r w:rsidRPr="006F7ACF">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Pr="006F7ACF">
        <w:t>) is a distractor, it is excluded from IRR computation and all effect</w:t>
      </w:r>
      <w:r>
        <w:t xml:space="preserve"> </w:t>
      </w:r>
      <w:r w:rsidRPr="006F7ACF">
        <w:t>summaries.</w:t>
      </w:r>
    </w:p>
    <w:p w14:paraId="27158070" w14:textId="29A96145" w:rsidR="00695D20" w:rsidRPr="006F7ACF" w:rsidRDefault="00695D20" w:rsidP="00695D20">
      <w:pPr>
        <w:spacing w:before="100" w:beforeAutospacing="1" w:after="100" w:afterAutospacing="1"/>
        <w:outlineLvl w:val="4"/>
        <w:rPr>
          <w:b/>
          <w:bCs/>
          <w:color w:val="000000" w:themeColor="text1"/>
          <w:sz w:val="20"/>
          <w:szCs w:val="20"/>
        </w:rPr>
      </w:pPr>
      <w:r w:rsidRPr="006F7ACF">
        <w:rPr>
          <w:b/>
          <w:bCs/>
          <w:color w:val="000000" w:themeColor="text1"/>
          <w:sz w:val="20"/>
          <w:szCs w:val="20"/>
        </w:rPr>
        <w:t> </w:t>
      </w:r>
      <w:r w:rsidR="009C077E">
        <w:rPr>
          <w:b/>
          <w:bCs/>
          <w:color w:val="000000" w:themeColor="text1"/>
          <w:sz w:val="20"/>
          <w:szCs w:val="20"/>
        </w:rPr>
        <w:t>1</w:t>
      </w:r>
      <w:r w:rsidRPr="00E10661">
        <w:rPr>
          <w:b/>
          <w:bCs/>
          <w:color w:val="000000" w:themeColor="text1"/>
          <w:sz w:val="20"/>
          <w:szCs w:val="20"/>
        </w:rPr>
        <w:t>.</w:t>
      </w:r>
      <w:r w:rsidR="009C077E">
        <w:rPr>
          <w:b/>
          <w:bCs/>
          <w:color w:val="000000" w:themeColor="text1"/>
          <w:sz w:val="20"/>
          <w:szCs w:val="20"/>
        </w:rPr>
        <w:t>3</w:t>
      </w:r>
      <w:r w:rsidRPr="00E10661">
        <w:rPr>
          <w:b/>
          <w:bCs/>
          <w:color w:val="000000" w:themeColor="text1"/>
          <w:sz w:val="20"/>
          <w:szCs w:val="20"/>
        </w:rPr>
        <w:t xml:space="preserve"> </w:t>
      </w:r>
      <w:r w:rsidRPr="00E10661">
        <w:rPr>
          <w:b/>
          <w:bCs/>
          <w:color w:val="000000" w:themeColor="text1"/>
          <w:sz w:val="20"/>
          <w:szCs w:val="20"/>
        </w:rPr>
        <w:t xml:space="preserve">Counterfactual </w:t>
      </w:r>
      <w:r w:rsidR="001B0F8A">
        <w:rPr>
          <w:b/>
          <w:bCs/>
          <w:color w:val="000000" w:themeColor="text1"/>
          <w:sz w:val="20"/>
          <w:szCs w:val="20"/>
        </w:rPr>
        <w:t>Lives Saved</w:t>
      </w:r>
    </w:p>
    <w:p w14:paraId="30D1A8DD" w14:textId="33A49294" w:rsidR="00C01960" w:rsidRPr="00841B5A" w:rsidRDefault="00841B5A" w:rsidP="00C01960">
      <w:pPr>
        <w:spacing w:before="100" w:beforeAutospacing="1" w:after="100" w:afterAutospacing="1"/>
      </w:pPr>
      <w:r w:rsidRPr="00841B5A">
        <w:t>To complement the model-based incidence-rate ratios (IRRs) we estimated the number of firearm deaths that would have occurred in the absence of ERPO laws</w:t>
      </w:r>
      <w:r w:rsidR="001B0F8A">
        <w:t>. We compared</w:t>
      </w:r>
      <w:r w:rsidRPr="00841B5A">
        <w:t xml:space="preserve"> this </w:t>
      </w:r>
      <w:r w:rsidR="001B0F8A">
        <w:t>counterfactual</w:t>
      </w:r>
      <w:r w:rsidRPr="00841B5A">
        <w:t xml:space="preserve"> total with the deaths </w:t>
      </w:r>
      <w:r w:rsidR="00695D20" w:rsidRPr="00841B5A">
        <w:t>observed</w:t>
      </w:r>
      <w:r w:rsidRPr="00841B5A">
        <w:t xml:space="preserve"> between </w:t>
      </w:r>
      <w:r>
        <w:t>2001</w:t>
      </w:r>
      <w:r w:rsidRPr="00841B5A">
        <w:t xml:space="preserve"> and 2023.  The procedure </w:t>
      </w:r>
      <w:r w:rsidR="00C01960">
        <w:t xml:space="preserve">is as </w:t>
      </w:r>
      <w:r w:rsidRPr="00841B5A">
        <w:t>follows</w:t>
      </w:r>
      <w:r w:rsidR="00C01960">
        <w:t>:</w:t>
      </w:r>
    </w:p>
    <w:p w14:paraId="3EDB9623" w14:textId="4B980E4F" w:rsidR="00841B5A" w:rsidRDefault="00841B5A" w:rsidP="00841B5A">
      <w:pPr>
        <w:spacing w:before="100" w:beforeAutospacing="1" w:after="100" w:afterAutospacing="1"/>
      </w:pPr>
      <w:r w:rsidRPr="00841B5A">
        <w:t xml:space="preserve">For each state </w:t>
      </w:r>
      <w:proofErr w:type="spellStart"/>
      <w:r w:rsidRPr="00841B5A">
        <w:rPr>
          <w:i/>
          <w:iCs/>
        </w:rPr>
        <w:t>i</w:t>
      </w:r>
      <w:proofErr w:type="spellEnd"/>
      <w:r w:rsidRPr="00841B5A">
        <w:t xml:space="preserve"> and calendar year </w:t>
      </w:r>
      <w:r w:rsidRPr="00841B5A">
        <w:rPr>
          <w:i/>
          <w:iCs/>
        </w:rPr>
        <w:t>t</w:t>
      </w:r>
      <w:r w:rsidR="00513EEE">
        <w:rPr>
          <w:i/>
          <w:iCs/>
        </w:rPr>
        <w:t>,</w:t>
      </w:r>
      <w:r w:rsidRPr="00841B5A">
        <w:t xml:space="preserve"> we calculated</w:t>
      </w:r>
    </w:p>
    <w:p w14:paraId="02C1D362" w14:textId="13D59A6A" w:rsidR="00841B5A" w:rsidRPr="00841B5A" w:rsidRDefault="00695D20" w:rsidP="00C01960">
      <w:pPr>
        <w:spacing w:before="100" w:beforeAutospacing="1" w:after="100" w:afterAutospacing="1"/>
        <w:jc w:val="center"/>
        <w:rPr>
          <w:rFonts w:ascii="Cambria Math" w:hAnsi="Cambria Math"/>
          <w:i/>
        </w:rPr>
      </w:pPr>
      <m:oMath>
        <m:sSub>
          <m:sSubPr>
            <m:ctrlPr>
              <w:rPr>
                <w:rFonts w:ascii="Cambria Math" w:hAnsi="Cambria Math"/>
                <w:i/>
              </w:rPr>
            </m:ctrlPr>
          </m:sSubPr>
          <m:e>
            <m:r>
              <w:rPr>
                <w:rFonts w:ascii="Cambria Math" w:hAnsi="Cambria Math"/>
              </w:rPr>
              <m:t>k</m:t>
            </m:r>
          </m:e>
          <m:sub>
            <m:r>
              <w:rPr>
                <w:rFonts w:ascii="Cambria Math" w:hAnsi="Cambria Math"/>
              </w:rPr>
              <m:t>it</m:t>
            </m:r>
          </m:sub>
        </m:sSub>
        <m:r>
          <w:rPr>
            <w:rFonts w:ascii="Cambria Math" w:hAnsi="Cambria Math" w:cs="Segoe UI Symbol"/>
          </w:rPr>
          <m:t>=</m:t>
        </m:r>
        <m:d>
          <m:dPr>
            <m:begChr m:val="{"/>
            <m:endChr m:val=""/>
            <m:ctrlPr>
              <w:rPr>
                <w:rFonts w:ascii="Cambria Math" w:hAnsi="Cambria Math" w:cs="Segoe UI Symbol"/>
                <w:i/>
              </w:rPr>
            </m:ctrlPr>
          </m:dPr>
          <m:e>
            <m:eqArr>
              <m:eqArrPr>
                <m:ctrlPr>
                  <w:rPr>
                    <w:rFonts w:ascii="Cambria Math" w:hAnsi="Cambria Math" w:cs="Segoe UI Symbol"/>
                    <w:i/>
                  </w:rPr>
                </m:ctrlPr>
              </m:eqArrPr>
              <m:e>
                <m:func>
                  <m:funcPr>
                    <m:ctrlPr>
                      <w:rPr>
                        <w:rFonts w:ascii="Cambria Math" w:hAnsi="Cambria Math" w:cs="Segoe UI Symbol"/>
                      </w:rPr>
                    </m:ctrlPr>
                  </m:funcPr>
                  <m:fName>
                    <m:r>
                      <m:rPr>
                        <m:sty m:val="p"/>
                      </m:rPr>
                      <w:rPr>
                        <w:rFonts w:ascii="Cambria Math" w:hAnsi="Cambria Math" w:cs="Segoe UI Symbol"/>
                      </w:rPr>
                      <m:t>min</m:t>
                    </m:r>
                  </m:fName>
                  <m:e>
                    <m:d>
                      <m:dPr>
                        <m:ctrlPr>
                          <w:rPr>
                            <w:rFonts w:ascii="Cambria Math" w:hAnsi="Cambria Math" w:cs="Segoe UI Symbol"/>
                            <w:i/>
                          </w:rPr>
                        </m:ctrlPr>
                      </m:dPr>
                      <m:e>
                        <m:r>
                          <w:rPr>
                            <w:rFonts w:ascii="Cambria Math" w:hAnsi="Cambria Math" w:cs="Segoe UI Symbol"/>
                          </w:rPr>
                          <m:t>t-</m:t>
                        </m:r>
                        <m:sSubSup>
                          <m:sSubSupPr>
                            <m:ctrlPr>
                              <w:rPr>
                                <w:rFonts w:ascii="Cambria Math" w:hAnsi="Cambria Math" w:cs="Segoe UI Symbol"/>
                                <w:i/>
                              </w:rPr>
                            </m:ctrlPr>
                          </m:sSubSupPr>
                          <m:e>
                            <m:r>
                              <w:rPr>
                                <w:rFonts w:ascii="Cambria Math" w:hAnsi="Cambria Math" w:cs="Segoe UI Symbol"/>
                              </w:rPr>
                              <m:t>t</m:t>
                            </m:r>
                          </m:e>
                          <m:sub>
                            <m:r>
                              <w:rPr>
                                <w:rFonts w:ascii="Cambria Math" w:hAnsi="Cambria Math" w:cs="Segoe UI Symbol"/>
                              </w:rPr>
                              <m:t>i</m:t>
                            </m:r>
                          </m:sub>
                          <m:sup>
                            <m:r>
                              <w:rPr>
                                <w:rFonts w:ascii="Cambria Math" w:hAnsi="Cambria Math" w:cs="Segoe UI Symbol"/>
                              </w:rPr>
                              <m:t>adopt</m:t>
                            </m:r>
                          </m:sup>
                        </m:sSubSup>
                        <m:r>
                          <w:rPr>
                            <w:rFonts w:ascii="Cambria Math" w:hAnsi="Cambria Math" w:cs="Segoe UI Symbol"/>
                          </w:rPr>
                          <m:t>,</m:t>
                        </m:r>
                        <m:r>
                          <w:rPr>
                            <w:rFonts w:ascii="Cambria Math" w:hAnsi="Cambria Math" w:cs="Segoe UI Symbol"/>
                          </w:rPr>
                          <m:t>5</m:t>
                        </m:r>
                      </m:e>
                    </m:d>
                  </m:e>
                </m:func>
                <m:r>
                  <w:rPr>
                    <w:rFonts w:ascii="Cambria Math" w:hAnsi="Cambria Math" w:cs="Segoe UI Symbol"/>
                  </w:rPr>
                  <m:t xml:space="preserve"> </m:t>
                </m:r>
                <m:r>
                  <w:rPr>
                    <w:rFonts w:ascii="Cambria Math" w:hAnsi="Cambria Math" w:cs="Segoe UI Symbol"/>
                  </w:rPr>
                  <m:t>, if state i had an ERPO in year t</m:t>
                </m:r>
              </m:e>
              <m:e>
                <m:r>
                  <w:rPr>
                    <w:rFonts w:ascii="Cambria Math" w:hAnsi="Cambria Math" w:cs="Segoe UI Symbol"/>
                  </w:rPr>
                  <m:t>undefined</m:t>
                </m:r>
                <m:r>
                  <w:rPr>
                    <w:rFonts w:ascii="Cambria Math" w:hAnsi="Cambria Math" w:cs="Segoe UI Symbol"/>
                  </w:rPr>
                  <m:t>,  &amp;</m:t>
                </m:r>
                <m:r>
                  <w:rPr>
                    <w:rFonts w:ascii="Cambria Math" w:hAnsi="Cambria Math" w:cs="Segoe UI Symbol"/>
                  </w:rPr>
                  <m:t xml:space="preserve"> otherwise                                                 </m:t>
                </m:r>
              </m:e>
            </m:eqArr>
          </m:e>
        </m:d>
      </m:oMath>
      <w:r w:rsidR="00C01960">
        <w:rPr>
          <w:rFonts w:ascii="Cambria Math" w:hAnsi="Cambria Math"/>
          <w:i/>
        </w:rPr>
        <w:t>,</w:t>
      </w:r>
    </w:p>
    <w:p w14:paraId="60D70116" w14:textId="2958AC0C" w:rsidR="00841B5A" w:rsidRPr="00841B5A" w:rsidRDefault="00841B5A" w:rsidP="00841B5A">
      <w:pPr>
        <w:spacing w:before="100" w:beforeAutospacing="1" w:after="100" w:afterAutospacing="1"/>
      </w:pPr>
      <w:r w:rsidRPr="00841B5A">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adopt</m:t>
            </m:r>
          </m:sup>
        </m:sSubSup>
      </m:oMath>
      <w:r w:rsidR="00695D20">
        <w:t>i</w:t>
      </w:r>
      <w:r w:rsidRPr="00841B5A">
        <w:t>s the first year an ERPO was active for at least six months.</w:t>
      </w:r>
    </w:p>
    <w:p w14:paraId="5906AEB3" w14:textId="5D247604" w:rsidR="00841B5A" w:rsidRDefault="00841B5A" w:rsidP="00841B5A">
      <w:pPr>
        <w:spacing w:before="100" w:beforeAutospacing="1" w:after="100" w:afterAutospacing="1"/>
      </w:pPr>
      <w:r w:rsidRPr="00841B5A">
        <w:t xml:space="preserve">The elapsed-time index </w:t>
      </w:r>
      <m:oMath>
        <m:sSub>
          <m:sSubPr>
            <m:ctrlPr>
              <w:rPr>
                <w:rFonts w:ascii="Cambria Math" w:hAnsi="Cambria Math"/>
                <w:i/>
              </w:rPr>
            </m:ctrlPr>
          </m:sSubPr>
          <m:e>
            <m:r>
              <w:rPr>
                <w:rFonts w:ascii="Cambria Math" w:hAnsi="Cambria Math"/>
              </w:rPr>
              <m:t>k</m:t>
            </m:r>
          </m:e>
          <m:sub>
            <m:r>
              <w:rPr>
                <w:rFonts w:ascii="Cambria Math" w:hAnsi="Cambria Math"/>
              </w:rPr>
              <m:t>it</m:t>
            </m:r>
          </m:sub>
        </m:sSub>
      </m:oMath>
      <w:r w:rsidRPr="00841B5A">
        <w:t xml:space="preserve"> is capped at five years because the policy effect is </w:t>
      </w:r>
      <w:r w:rsidR="001B0F8A">
        <w:t>modeled</w:t>
      </w:r>
      <w:r w:rsidRPr="00841B5A">
        <w:t xml:space="preserve"> as having reached its plateau by that point.  Each state–year is then linked to the posterior-median IRR for its elapsed year </w:t>
      </w:r>
      <w:r w:rsidRPr="00841B5A">
        <w:rPr>
          <w:i/>
          <w:iCs/>
        </w:rPr>
        <w:t>k</w:t>
      </w:r>
      <w:r w:rsidRPr="00841B5A">
        <w:t>:</w:t>
      </w:r>
    </w:p>
    <w:p w14:paraId="553D3087" w14:textId="482D801A" w:rsidR="00412681" w:rsidRPr="00841B5A" w:rsidRDefault="00412681" w:rsidP="00C01960">
      <w:pPr>
        <w:spacing w:before="100" w:beforeAutospacing="1" w:after="100" w:afterAutospacing="1"/>
        <w:jc w:val="center"/>
      </w:pPr>
      <m:oMath>
        <m:acc>
          <m:accPr>
            <m:chr m:val="̃"/>
            <m:ctrlPr>
              <w:rPr>
                <w:rFonts w:ascii="Cambria Math" w:hAnsi="Cambria Math"/>
                <w:i/>
              </w:rPr>
            </m:ctrlPr>
          </m:accPr>
          <m:e>
            <m:r>
              <w:rPr>
                <w:rFonts w:ascii="Cambria Math" w:hAnsi="Cambria Math"/>
              </w:rPr>
              <m:t>IR</m:t>
            </m:r>
            <m:sSub>
              <m:sSubPr>
                <m:ctrlPr>
                  <w:rPr>
                    <w:rFonts w:ascii="Cambria Math" w:hAnsi="Cambria Math"/>
                    <w:i/>
                  </w:rPr>
                </m:ctrlPr>
              </m:sSubPr>
              <m:e>
                <m:r>
                  <w:rPr>
                    <w:rFonts w:ascii="Cambria Math" w:hAnsi="Cambria Math"/>
                  </w:rPr>
                  <m:t>R</m:t>
                </m:r>
              </m:e>
              <m:sub>
                <m:r>
                  <w:rPr>
                    <w:rFonts w:ascii="Cambria Math" w:hAnsi="Cambria Math"/>
                  </w:rPr>
                  <m:t>it</m:t>
                </m:r>
              </m:sub>
            </m:sSub>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IRR</m:t>
                    </m:r>
                    <m:sSub>
                      <m:sSubPr>
                        <m:ctrlPr>
                          <w:rPr>
                            <w:rFonts w:ascii="Cambria Math" w:hAnsi="Cambria Math"/>
                            <w:i/>
                          </w:rPr>
                        </m:ctrlPr>
                      </m:sSubPr>
                      <m:e>
                        <m:r>
                          <w:rPr>
                            <w:rFonts w:ascii="Cambria Math" w:hAnsi="Cambria Math"/>
                          </w:rPr>
                          <m:t>k</m:t>
                        </m:r>
                      </m:e>
                      <m:sub>
                        <m:r>
                          <w:rPr>
                            <w:rFonts w:ascii="Cambria Math" w:hAnsi="Cambria Math"/>
                          </w:rPr>
                          <m:t>it</m:t>
                        </m:r>
                      </m:sub>
                    </m:sSub>
                  </m:e>
                </m:acc>
                <m:r>
                  <w:rPr>
                    <w:rFonts w:ascii="Cambria Math" w:hAnsi="Cambria Math"/>
                  </w:rPr>
                  <m:t>,   if an ERPO is in force</m:t>
                </m:r>
              </m:e>
              <m:e>
                <m:r>
                  <w:rPr>
                    <w:rFonts w:ascii="Cambria Math" w:hAnsi="Cambria Math"/>
                  </w:rPr>
                  <m:t xml:space="preserve">1,   if no ERPO is in force          </m:t>
                </m:r>
              </m:e>
            </m:eqArr>
          </m:e>
        </m:d>
      </m:oMath>
      <w:r w:rsidR="00C01960">
        <w:t>.</w:t>
      </w:r>
    </w:p>
    <w:p w14:paraId="047D9D2F" w14:textId="77777777" w:rsidR="00841B5A" w:rsidRPr="00841B5A" w:rsidRDefault="00841B5A" w:rsidP="00841B5A">
      <w:pPr>
        <w:spacing w:before="100" w:beforeAutospacing="1" w:after="100" w:afterAutospacing="1"/>
      </w:pPr>
    </w:p>
    <w:p w14:paraId="6113B2AE" w14:textId="0B3C68DC" w:rsidR="00841B5A" w:rsidRPr="00841B5A" w:rsidRDefault="00412681" w:rsidP="00412681">
      <w:r>
        <w:t>Then, to compute counterfactual deaths for each observation:</w:t>
      </w:r>
    </w:p>
    <w:p w14:paraId="4BBAA6C9" w14:textId="77777777" w:rsidR="00841B5A" w:rsidRPr="00841B5A" w:rsidRDefault="00841B5A" w:rsidP="00841B5A">
      <w:pPr>
        <w:spacing w:before="100" w:beforeAutospacing="1" w:after="100" w:afterAutospacing="1"/>
      </w:pPr>
      <w:r w:rsidRPr="00841B5A">
        <w:t>Let</w:t>
      </w:r>
    </w:p>
    <w:p w14:paraId="529D443C" w14:textId="68791596" w:rsidR="00841B5A" w:rsidRPr="00841B5A" w:rsidRDefault="00412681" w:rsidP="00841B5A">
      <w:pPr>
        <w:numPr>
          <w:ilvl w:val="0"/>
          <w:numId w:val="2"/>
        </w:numPr>
        <w:spacing w:before="100" w:beforeAutospacing="1" w:after="100" w:afterAutospacing="1"/>
      </w:pP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841B5A" w:rsidRPr="00841B5A">
        <w:t xml:space="preserve"> be the observed number of firearm deaths, and</w:t>
      </w:r>
    </w:p>
    <w:p w14:paraId="6725216F" w14:textId="33882657" w:rsidR="00841B5A" w:rsidRPr="00841B5A" w:rsidRDefault="00412681" w:rsidP="00841B5A">
      <w:pPr>
        <w:numPr>
          <w:ilvl w:val="0"/>
          <w:numId w:val="2"/>
        </w:numPr>
        <w:spacing w:before="100" w:beforeAutospacing="1" w:after="100" w:afterAutospacing="1"/>
      </w:pPr>
      <m:oMath>
        <m:sSub>
          <m:sSubPr>
            <m:ctrlPr>
              <w:rPr>
                <w:rFonts w:ascii="Cambria Math" w:hAnsi="Cambria Math"/>
                <w:i/>
              </w:rPr>
            </m:ctrlPr>
          </m:sSubPr>
          <m:e>
            <m:r>
              <w:rPr>
                <w:rFonts w:ascii="Cambria Math" w:hAnsi="Cambria Math"/>
              </w:rPr>
              <m:t>N</m:t>
            </m:r>
          </m:e>
          <m:sub>
            <m:r>
              <w:rPr>
                <w:rFonts w:ascii="Cambria Math" w:hAnsi="Cambria Math"/>
              </w:rPr>
              <m:t>it</m:t>
            </m:r>
          </m:sub>
        </m:sSub>
      </m:oMath>
      <w:r w:rsidR="00841B5A" w:rsidRPr="00841B5A">
        <w:t xml:space="preserve"> be the population exposed in state </w:t>
      </w:r>
      <w:r w:rsidR="00841B5A" w:rsidRPr="00841B5A">
        <w:rPr>
          <w:i/>
          <w:iCs/>
        </w:rPr>
        <w:t>i</w:t>
      </w:r>
      <w:r w:rsidR="00841B5A" w:rsidRPr="00841B5A">
        <w:t xml:space="preserve"> during year </w:t>
      </w:r>
      <w:r w:rsidR="00841B5A" w:rsidRPr="00841B5A">
        <w:rPr>
          <w:i/>
          <w:iCs/>
        </w:rPr>
        <w:t>t</w:t>
      </w:r>
      <w:r w:rsidR="00841B5A" w:rsidRPr="00841B5A">
        <w:t>.</w:t>
      </w:r>
    </w:p>
    <w:p w14:paraId="5BC03A64" w14:textId="25F2EED1" w:rsidR="00841B5A" w:rsidRDefault="00841B5A" w:rsidP="00841B5A">
      <w:pPr>
        <w:spacing w:before="100" w:beforeAutospacing="1" w:after="100" w:afterAutospacing="1"/>
      </w:pPr>
      <w:r w:rsidRPr="00841B5A">
        <w:t>Under the multiplicative‐risk assumption implicit in the regression model, the expected number of deaths had no ERPO been in place is</w:t>
      </w:r>
    </w:p>
    <w:p w14:paraId="6B126E09" w14:textId="3A92CEB1" w:rsidR="00765E5C" w:rsidRPr="00841B5A" w:rsidRDefault="00765E5C" w:rsidP="00841B5A">
      <w:pPr>
        <w:spacing w:before="100" w:beforeAutospacing="1" w:after="100" w:afterAutospacing="1"/>
      </w:pPr>
      <m:oMathPara>
        <m:oMath>
          <m:sSubSup>
            <m:sSubSupPr>
              <m:ctrlPr>
                <w:rPr>
                  <w:rFonts w:ascii="Cambria Math" w:hAnsi="Cambria Math"/>
                  <w:i/>
                </w:rPr>
              </m:ctrlPr>
            </m:sSubSupPr>
            <m:e>
              <m:r>
                <w:rPr>
                  <w:rFonts w:ascii="Cambria Math" w:hAnsi="Cambria Math"/>
                </w:rPr>
                <m:t>d</m:t>
              </m:r>
            </m:e>
            <m:sub>
              <m:r>
                <w:rPr>
                  <w:rFonts w:ascii="Cambria Math" w:hAnsi="Cambria Math"/>
                </w:rPr>
                <m:t>it</m:t>
              </m:r>
            </m:sub>
            <m:sup>
              <m:r>
                <w:rPr>
                  <w:rFonts w:ascii="Cambria Math" w:hAnsi="Cambria Math"/>
                </w:rPr>
                <m:t>CF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it</m:t>
                  </m:r>
                </m:sub>
              </m:sSub>
            </m:num>
            <m:den>
              <m:acc>
                <m:accPr>
                  <m:chr m:val="̃"/>
                  <m:ctrlPr>
                    <w:rPr>
                      <w:rFonts w:ascii="Cambria Math" w:hAnsi="Cambria Math"/>
                      <w:i/>
                    </w:rPr>
                  </m:ctrlPr>
                </m:accPr>
                <m:e>
                  <m:r>
                    <w:rPr>
                      <w:rFonts w:ascii="Cambria Math" w:hAnsi="Cambria Math"/>
                    </w:rPr>
                    <m:t>IR</m:t>
                  </m:r>
                  <m:sSub>
                    <m:sSubPr>
                      <m:ctrlPr>
                        <w:rPr>
                          <w:rFonts w:ascii="Cambria Math" w:hAnsi="Cambria Math"/>
                          <w:i/>
                        </w:rPr>
                      </m:ctrlPr>
                    </m:sSubPr>
                    <m:e>
                      <m:r>
                        <w:rPr>
                          <w:rFonts w:ascii="Cambria Math" w:hAnsi="Cambria Math"/>
                        </w:rPr>
                        <m:t>R</m:t>
                      </m:r>
                    </m:e>
                    <m:sub>
                      <m:r>
                        <w:rPr>
                          <w:rFonts w:ascii="Cambria Math" w:hAnsi="Cambria Math"/>
                        </w:rPr>
                        <m:t>it</m:t>
                      </m:r>
                    </m:sub>
                  </m:sSub>
                </m:e>
              </m:acc>
            </m:den>
          </m:f>
          <m:r>
            <w:rPr>
              <w:rFonts w:ascii="Cambria Math" w:hAnsi="Cambria Math"/>
            </w:rPr>
            <m:t>.</m:t>
          </m:r>
        </m:oMath>
      </m:oMathPara>
    </w:p>
    <w:p w14:paraId="088689DD" w14:textId="6E7D13C1" w:rsidR="00841B5A" w:rsidRDefault="00841B5A" w:rsidP="00841B5A">
      <w:pPr>
        <w:spacing w:before="100" w:beforeAutospacing="1" w:after="100" w:afterAutospacing="1"/>
      </w:pPr>
      <w:r w:rsidRPr="00841B5A">
        <w:t>The cell-specific number of deaths prevented is then</w:t>
      </w:r>
    </w:p>
    <w:p w14:paraId="62B4AC58" w14:textId="6A2596E7" w:rsidR="00765E5C" w:rsidRPr="00841B5A" w:rsidRDefault="00765E5C" w:rsidP="00841B5A">
      <w:pPr>
        <w:spacing w:before="100" w:beforeAutospacing="1" w:after="100" w:afterAutospacing="1"/>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it</m:t>
              </m:r>
            </m:sub>
            <m:sup>
              <m:r>
                <w:rPr>
                  <w:rFonts w:ascii="Cambria Math" w:hAnsi="Cambria Math"/>
                </w:rPr>
                <m:t>CF</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IR</m:t>
                      </m:r>
                      <m:sSub>
                        <m:sSubPr>
                          <m:ctrlPr>
                            <w:rPr>
                              <w:rFonts w:ascii="Cambria Math" w:hAnsi="Cambria Math"/>
                              <w:i/>
                            </w:rPr>
                          </m:ctrlPr>
                        </m:sSubPr>
                        <m:e>
                          <m:r>
                            <w:rPr>
                              <w:rFonts w:ascii="Cambria Math" w:hAnsi="Cambria Math"/>
                            </w:rPr>
                            <m:t>R</m:t>
                          </m:r>
                        </m:e>
                        <m:sub>
                          <m:r>
                            <w:rPr>
                              <w:rFonts w:ascii="Cambria Math" w:hAnsi="Cambria Math"/>
                            </w:rPr>
                            <m:t>it</m:t>
                          </m:r>
                        </m:sub>
                      </m:sSub>
                    </m:e>
                  </m:acc>
                </m:den>
              </m:f>
              <m:r>
                <w:rPr>
                  <w:rFonts w:ascii="Cambria Math" w:hAnsi="Cambria Math"/>
                </w:rPr>
                <m:t>-1</m:t>
              </m:r>
            </m:e>
          </m:d>
          <m:r>
            <w:rPr>
              <w:rFonts w:ascii="Cambria Math" w:hAnsi="Cambria Math"/>
            </w:rPr>
            <m:t>.</m:t>
          </m:r>
        </m:oMath>
      </m:oMathPara>
    </w:p>
    <w:p w14:paraId="040303DC" w14:textId="2369BEAC" w:rsidR="00841B5A" w:rsidRPr="00841B5A" w:rsidRDefault="00765E5C" w:rsidP="00841B5A">
      <w:r>
        <w:t>Aggregated across states and years</w:t>
      </w:r>
      <w:r w:rsidR="00513EEE">
        <w:t>,</w:t>
      </w:r>
      <w:r>
        <w:t xml:space="preserve"> give us</w:t>
      </w:r>
    </w:p>
    <w:p w14:paraId="5F5BCCB5" w14:textId="236E107E" w:rsidR="00841B5A" w:rsidRPr="00F77501" w:rsidRDefault="0048629D" w:rsidP="00841B5A">
      <w:pPr>
        <w:spacing w:before="100" w:beforeAutospacing="1" w:after="100" w:afterAutospacing="1"/>
      </w:pPr>
      <m:oMathPara>
        <m:oMath>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i,t</m:t>
              </m:r>
            </m:sub>
            <m:sup/>
            <m:e>
              <m:sSub>
                <m:sSubPr>
                  <m:ctrlPr>
                    <w:rPr>
                      <w:rFonts w:ascii="Cambria Math" w:hAnsi="Cambria Math"/>
                      <w:i/>
                    </w:rPr>
                  </m:ctrlPr>
                </m:sSubPr>
                <m:e>
                  <m:r>
                    <w:rPr>
                      <w:rFonts w:ascii="Cambria Math" w:hAnsi="Cambria Math"/>
                    </w:rPr>
                    <m:t>d</m:t>
                  </m:r>
                </m:e>
                <m:sub>
                  <m:r>
                    <w:rPr>
                      <w:rFonts w:ascii="Cambria Math" w:hAnsi="Cambria Math"/>
                    </w:rPr>
                    <m:t>it</m:t>
                  </m:r>
                </m:sub>
              </m:sSub>
            </m:e>
          </m:nary>
          <m:r>
            <w:rPr>
              <w:rFonts w:ascii="Cambria Math" w:hAnsi="Cambria Math"/>
            </w:rPr>
            <m:t>,</m:t>
          </m:r>
        </m:oMath>
      </m:oMathPara>
    </w:p>
    <w:p w14:paraId="5D3A9ACD" w14:textId="0BF69A0A" w:rsidR="00F77501" w:rsidRPr="00F77501" w:rsidRDefault="00F77501" w:rsidP="00841B5A">
      <w:pPr>
        <w:spacing w:before="100" w:beforeAutospacing="1" w:after="100" w:afterAutospacing="1"/>
      </w:pPr>
      <m:oMathPara>
        <m:oMath>
          <m:sSub>
            <m:sSubPr>
              <m:ctrlPr>
                <w:rPr>
                  <w:rFonts w:ascii="Cambria Math" w:hAnsi="Cambria Math"/>
                  <w:i/>
                </w:rPr>
              </m:ctrlPr>
            </m:sSubPr>
            <m:e>
              <m:r>
                <w:rPr>
                  <w:rFonts w:ascii="Cambria Math" w:hAnsi="Cambria Math"/>
                </w:rPr>
                <m:t>D</m:t>
              </m:r>
            </m:e>
            <m:sub>
              <m:r>
                <w:rPr>
                  <w:rFonts w:ascii="Cambria Math" w:hAnsi="Cambria Math"/>
                </w:rPr>
                <m:t>CF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i,t</m:t>
              </m:r>
            </m:sub>
            <m:sup/>
            <m:e>
              <m:sSubSup>
                <m:sSubSupPr>
                  <m:ctrlPr>
                    <w:rPr>
                      <w:rFonts w:ascii="Cambria Math" w:hAnsi="Cambria Math"/>
                      <w:i/>
                    </w:rPr>
                  </m:ctrlPr>
                </m:sSubSupPr>
                <m:e>
                  <m:r>
                    <w:rPr>
                      <w:rFonts w:ascii="Cambria Math" w:hAnsi="Cambria Math"/>
                    </w:rPr>
                    <m:t>d</m:t>
                  </m:r>
                </m:e>
                <m:sub>
                  <m:r>
                    <w:rPr>
                      <w:rFonts w:ascii="Cambria Math" w:hAnsi="Cambria Math"/>
                    </w:rPr>
                    <m:t>it</m:t>
                  </m:r>
                </m:sub>
                <m:sup>
                  <m:r>
                    <w:rPr>
                      <w:rFonts w:ascii="Cambria Math" w:hAnsi="Cambria Math"/>
                    </w:rPr>
                    <m:t>CF</m:t>
                  </m:r>
                </m:sup>
              </m:sSubSup>
            </m:e>
          </m:nary>
        </m:oMath>
      </m:oMathPara>
    </w:p>
    <w:p w14:paraId="42313B2B" w14:textId="1D15D6F5" w:rsidR="00841B5A" w:rsidRPr="00841B5A" w:rsidRDefault="00F77501" w:rsidP="00841B5A">
      <w:pPr>
        <w:spacing w:before="100" w:beforeAutospacing="1" w:after="100" w:afterAutospacing="1"/>
      </w:pPr>
      <m:oMathPara>
        <m:oMath>
          <m:sSub>
            <m:sSubPr>
              <m:ctrlPr>
                <w:rPr>
                  <w:rFonts w:ascii="Cambria Math" w:hAnsi="Cambria Math"/>
                  <w:i/>
                </w:rPr>
              </m:ctrlPr>
            </m:sSubPr>
            <m:e>
              <m:r>
                <w:rPr>
                  <w:rFonts w:ascii="Cambria Math" w:hAnsi="Cambria Math"/>
                </w:rPr>
                <m:t>D</m:t>
              </m:r>
            </m:e>
            <m:sub>
              <m:r>
                <w:rPr>
                  <w:rFonts w:ascii="Cambria Math" w:hAnsi="Cambria Math"/>
                </w:rPr>
                <m:t>prevent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CF</m:t>
              </m:r>
            </m:sub>
          </m:sSub>
        </m:oMath>
      </m:oMathPara>
    </w:p>
    <w:p w14:paraId="7AFD4DF7" w14:textId="77777777" w:rsidR="00E10661" w:rsidRDefault="00E10661" w:rsidP="00847F25"/>
    <w:p w14:paraId="54A7BB6A" w14:textId="005148C4" w:rsidR="002746E8" w:rsidRPr="002746E8" w:rsidRDefault="002746E8" w:rsidP="002746E8">
      <w:pPr>
        <w:spacing w:before="100" w:beforeAutospacing="1" w:after="100" w:afterAutospacing="1"/>
        <w:outlineLvl w:val="4"/>
        <w:rPr>
          <w:b/>
          <w:bCs/>
          <w:color w:val="000000" w:themeColor="text1"/>
          <w:sz w:val="20"/>
          <w:szCs w:val="20"/>
        </w:rPr>
      </w:pPr>
      <w:r w:rsidRPr="006F7ACF">
        <w:rPr>
          <w:b/>
          <w:bCs/>
          <w:color w:val="000000" w:themeColor="text1"/>
          <w:sz w:val="20"/>
          <w:szCs w:val="20"/>
        </w:rPr>
        <w:t> </w:t>
      </w:r>
      <w:r w:rsidR="009C077E">
        <w:rPr>
          <w:b/>
          <w:bCs/>
          <w:color w:val="000000" w:themeColor="text1"/>
          <w:sz w:val="20"/>
          <w:szCs w:val="20"/>
        </w:rPr>
        <w:t>1</w:t>
      </w:r>
      <w:r w:rsidRPr="00E10661">
        <w:rPr>
          <w:b/>
          <w:bCs/>
          <w:color w:val="000000" w:themeColor="text1"/>
          <w:sz w:val="20"/>
          <w:szCs w:val="20"/>
        </w:rPr>
        <w:t>.</w:t>
      </w:r>
      <w:r>
        <w:rPr>
          <w:b/>
          <w:bCs/>
          <w:color w:val="000000" w:themeColor="text1"/>
          <w:sz w:val="20"/>
          <w:szCs w:val="20"/>
        </w:rPr>
        <w:t>3</w:t>
      </w:r>
      <w:r w:rsidRPr="00E10661">
        <w:rPr>
          <w:b/>
          <w:bCs/>
          <w:color w:val="000000" w:themeColor="text1"/>
          <w:sz w:val="20"/>
          <w:szCs w:val="20"/>
        </w:rPr>
        <w:t xml:space="preserve"> </w:t>
      </w:r>
      <w:r>
        <w:rPr>
          <w:b/>
          <w:bCs/>
          <w:color w:val="000000" w:themeColor="text1"/>
          <w:sz w:val="20"/>
          <w:szCs w:val="20"/>
        </w:rPr>
        <w:t>Prior Specification</w:t>
      </w:r>
    </w:p>
    <w:p w14:paraId="1607E4AF" w14:textId="7A00EBBD" w:rsidR="002746E8" w:rsidRDefault="002746E8" w:rsidP="00847F2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25"/>
        <w:gridCol w:w="3030"/>
        <w:gridCol w:w="4495"/>
      </w:tblGrid>
      <w:tr w:rsidR="00E10661" w:rsidRPr="00E10661" w14:paraId="6D9CE85E" w14:textId="77777777" w:rsidTr="00287F38">
        <w:trPr>
          <w:tblHeader/>
          <w:tblCellSpacing w:w="15" w:type="dxa"/>
        </w:trPr>
        <w:tc>
          <w:tcPr>
            <w:tcW w:w="1780" w:type="dxa"/>
            <w:vAlign w:val="center"/>
            <w:hideMark/>
          </w:tcPr>
          <w:p w14:paraId="02216597" w14:textId="77777777" w:rsidR="00E10661" w:rsidRPr="00E10661" w:rsidRDefault="00E10661" w:rsidP="00E10661">
            <w:pPr>
              <w:spacing w:before="100" w:beforeAutospacing="1" w:after="100" w:afterAutospacing="1"/>
              <w:jc w:val="center"/>
              <w:rPr>
                <w:b/>
                <w:bCs/>
              </w:rPr>
            </w:pPr>
            <w:r w:rsidRPr="00E10661">
              <w:rPr>
                <w:b/>
                <w:bCs/>
              </w:rPr>
              <w:t>Parameter</w:t>
            </w:r>
          </w:p>
        </w:tc>
        <w:tc>
          <w:tcPr>
            <w:tcW w:w="3000" w:type="dxa"/>
            <w:vAlign w:val="center"/>
            <w:hideMark/>
          </w:tcPr>
          <w:p w14:paraId="56430DB9" w14:textId="77777777" w:rsidR="00E10661" w:rsidRPr="00E10661" w:rsidRDefault="00E10661" w:rsidP="00E10661">
            <w:pPr>
              <w:spacing w:before="100" w:beforeAutospacing="1" w:after="100" w:afterAutospacing="1"/>
              <w:jc w:val="center"/>
              <w:rPr>
                <w:b/>
                <w:bCs/>
              </w:rPr>
            </w:pPr>
            <w:r w:rsidRPr="00E10661">
              <w:rPr>
                <w:b/>
                <w:bCs/>
              </w:rPr>
              <w:t>Prior</w:t>
            </w:r>
          </w:p>
        </w:tc>
        <w:tc>
          <w:tcPr>
            <w:tcW w:w="4450" w:type="dxa"/>
            <w:vAlign w:val="center"/>
            <w:hideMark/>
          </w:tcPr>
          <w:p w14:paraId="65725111" w14:textId="77777777" w:rsidR="00E10661" w:rsidRPr="00E10661" w:rsidRDefault="00E10661" w:rsidP="00E10661">
            <w:pPr>
              <w:spacing w:before="100" w:beforeAutospacing="1" w:after="100" w:afterAutospacing="1"/>
              <w:jc w:val="center"/>
              <w:rPr>
                <w:b/>
                <w:bCs/>
              </w:rPr>
            </w:pPr>
            <w:r w:rsidRPr="00E10661">
              <w:rPr>
                <w:b/>
                <w:bCs/>
              </w:rPr>
              <w:t>Rationale</w:t>
            </w:r>
          </w:p>
        </w:tc>
      </w:tr>
      <w:tr w:rsidR="00E10661" w:rsidRPr="00E10661" w14:paraId="48195F05" w14:textId="77777777" w:rsidTr="00287F38">
        <w:trPr>
          <w:tblCellSpacing w:w="15" w:type="dxa"/>
        </w:trPr>
        <w:tc>
          <w:tcPr>
            <w:tcW w:w="1780" w:type="dxa"/>
            <w:vAlign w:val="center"/>
            <w:hideMark/>
          </w:tcPr>
          <w:p w14:paraId="378B4D45" w14:textId="77777777" w:rsidR="00E10661" w:rsidRPr="00E10661" w:rsidRDefault="00E10661" w:rsidP="00E10661">
            <w:pPr>
              <w:spacing w:before="100" w:beforeAutospacing="1" w:after="100" w:afterAutospacing="1"/>
            </w:pPr>
            <w:r w:rsidRPr="00E10661">
              <w:rPr>
                <w:b/>
                <w:bCs/>
              </w:rPr>
              <w:t>Autoregressive coefficients</w:t>
            </w:r>
          </w:p>
        </w:tc>
        <w:tc>
          <w:tcPr>
            <w:tcW w:w="3000" w:type="dxa"/>
            <w:vAlign w:val="center"/>
            <w:hideMark/>
          </w:tcPr>
          <w:p w14:paraId="726C375F" w14:textId="1151258B" w:rsidR="002429E0" w:rsidRPr="002429E0" w:rsidRDefault="002429E0" w:rsidP="00E10661">
            <w:pPr>
              <w:spacing w:before="100" w:beforeAutospacing="1" w:after="100" w:afterAutospacing="1"/>
            </w:pPr>
            <m:oMathPara>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∼N</m:t>
                </m:r>
                <m:d>
                  <m:dPr>
                    <m:ctrlPr>
                      <w:rPr>
                        <w:rFonts w:ascii="Cambria Math" w:hAnsi="Cambria Math"/>
                        <w:i/>
                      </w:rPr>
                    </m:ctrlPr>
                  </m:dPr>
                  <m:e>
                    <m:r>
                      <w:rPr>
                        <w:rFonts w:ascii="Cambria Math" w:hAnsi="Cambria Math"/>
                      </w:rPr>
                      <m:t xml:space="preserve">0.5, </m:t>
                    </m:r>
                    <m:sSup>
                      <m:sSupPr>
                        <m:ctrlPr>
                          <w:rPr>
                            <w:rFonts w:ascii="Cambria Math" w:hAnsi="Cambria Math"/>
                            <w:i/>
                          </w:rPr>
                        </m:ctrlPr>
                      </m:sSupPr>
                      <m:e>
                        <m:r>
                          <w:rPr>
                            <w:rFonts w:ascii="Cambria Math" w:hAnsi="Cambria Math"/>
                          </w:rPr>
                          <m:t>1</m:t>
                        </m:r>
                      </m:e>
                      <m:sup>
                        <m:r>
                          <w:rPr>
                            <w:rFonts w:ascii="Cambria Math" w:hAnsi="Cambria Math"/>
                          </w:rPr>
                          <m:t>2</m:t>
                        </m:r>
                      </m:sup>
                    </m:sSup>
                  </m:e>
                </m:d>
                <m:r>
                  <w:rPr>
                    <w:rFonts w:ascii="Cambria Math" w:hAnsi="Cambria Math"/>
                  </w:rPr>
                  <m:t>,</m:t>
                </m:r>
              </m:oMath>
            </m:oMathPara>
          </w:p>
          <w:p w14:paraId="762011ED" w14:textId="37AE2BC3" w:rsidR="00E10661" w:rsidRPr="00E10661" w:rsidRDefault="002429E0" w:rsidP="00E10661">
            <w:pPr>
              <w:spacing w:before="100" w:beforeAutospacing="1" w:after="100" w:afterAutospacing="1"/>
            </w:pPr>
            <m:oMathPara>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∼N(</m:t>
                </m:r>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oMath>
            </m:oMathPara>
          </w:p>
        </w:tc>
        <w:tc>
          <w:tcPr>
            <w:tcW w:w="4450" w:type="dxa"/>
            <w:vAlign w:val="center"/>
            <w:hideMark/>
          </w:tcPr>
          <w:p w14:paraId="475CA456" w14:textId="123DB162" w:rsidR="00E10661" w:rsidRPr="00E10661" w:rsidRDefault="00E10661" w:rsidP="00E10661">
            <w:pPr>
              <w:spacing w:before="100" w:beforeAutospacing="1" w:after="100" w:afterAutospacing="1"/>
            </w:pPr>
            <w:r w:rsidRPr="00E10661">
              <w:t xml:space="preserve">Lag-1 persistence in state firearm mortality is typically 0.3–0.8; lag-2 can be positive or mildly negative.  These </w:t>
            </w:r>
            <w:r w:rsidR="00513EEE">
              <w:t>"</w:t>
            </w:r>
            <w:r w:rsidRPr="00E10661">
              <w:t>minimally informative</w:t>
            </w:r>
            <w:r w:rsidR="00513EEE">
              <w:t>"</w:t>
            </w:r>
            <w:r w:rsidRPr="00E10661">
              <w:t xml:space="preserve"> priors place 95 % probability on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oMath>
            <w:r w:rsidR="002429E0" w:rsidRPr="00E10661">
              <w:t xml:space="preserve"> </w:t>
            </w:r>
            <w:r w:rsidRPr="00E10661">
              <w:t>[-1.5,</w:t>
            </w:r>
            <w:r w:rsidR="002429E0">
              <w:t xml:space="preserve"> </w:t>
            </w:r>
            <w:r w:rsidRPr="00E10661">
              <w:t xml:space="preserve">2.5] and </w:t>
            </w: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oMath>
            <w:r w:rsidR="002429E0" w:rsidRPr="00E10661">
              <w:t xml:space="preserve"> </w:t>
            </w:r>
            <w:r w:rsidRPr="00E10661">
              <w:t>[-2</w:t>
            </w:r>
            <w:r w:rsidR="002429E0">
              <w:t xml:space="preserve"> </w:t>
            </w:r>
            <w:r w:rsidRPr="00E10661">
              <w:t>,2], a range far wider than historical estimates.</w:t>
            </w:r>
          </w:p>
        </w:tc>
      </w:tr>
      <w:tr w:rsidR="00E10661" w:rsidRPr="00E10661" w14:paraId="229B6E7A" w14:textId="77777777" w:rsidTr="00287F38">
        <w:trPr>
          <w:tblCellSpacing w:w="15" w:type="dxa"/>
        </w:trPr>
        <w:tc>
          <w:tcPr>
            <w:tcW w:w="1780" w:type="dxa"/>
            <w:vAlign w:val="center"/>
            <w:hideMark/>
          </w:tcPr>
          <w:p w14:paraId="105F0C40" w14:textId="77777777" w:rsidR="00E10661" w:rsidRPr="00E10661" w:rsidRDefault="00E10661" w:rsidP="00E10661">
            <w:pPr>
              <w:spacing w:before="100" w:beforeAutospacing="1" w:after="100" w:afterAutospacing="1"/>
            </w:pPr>
            <w:r w:rsidRPr="00E10661">
              <w:rPr>
                <w:b/>
                <w:bCs/>
              </w:rPr>
              <w:t>Policy coefficients</w:t>
            </w:r>
          </w:p>
        </w:tc>
        <w:tc>
          <w:tcPr>
            <w:tcW w:w="3000" w:type="dxa"/>
            <w:vAlign w:val="center"/>
            <w:hideMark/>
          </w:tcPr>
          <w:p w14:paraId="2891CFE9" w14:textId="77777777" w:rsidR="00E10661" w:rsidRPr="00CB777A" w:rsidRDefault="00CB777A" w:rsidP="00E10661">
            <w:pPr>
              <w:spacing w:before="100" w:beforeAutospacing="1" w:after="100" w:afterAutospacing="1"/>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β</m:t>
                    </m:r>
                  </m:e>
                </m:d>
                <m:r>
                  <w:rPr>
                    <w:rFonts w:ascii="Cambria Math" w:hAnsi="Cambria Math"/>
                  </w:rPr>
                  <m:t>,</m:t>
                </m:r>
              </m:oMath>
            </m:oMathPara>
          </w:p>
          <w:p w14:paraId="2965A707" w14:textId="5A47379C" w:rsidR="00CB777A" w:rsidRPr="00E10661" w:rsidRDefault="00CB777A" w:rsidP="00E10661">
            <w:pPr>
              <w:spacing w:before="100" w:beforeAutospacing="1" w:after="100" w:afterAutospacing="1"/>
            </w:pPr>
            <m:oMathPara>
              <m:oMath>
                <m:r>
                  <w:rPr>
                    <w:rFonts w:ascii="Cambria Math" w:hAnsi="Cambria Math"/>
                  </w:rPr>
                  <m:t>σβ=0.064</m:t>
                </m:r>
              </m:oMath>
            </m:oMathPara>
          </w:p>
        </w:tc>
        <w:tc>
          <w:tcPr>
            <w:tcW w:w="4450" w:type="dxa"/>
            <w:vAlign w:val="center"/>
            <w:hideMark/>
          </w:tcPr>
          <w:p w14:paraId="3BC57EBA" w14:textId="6EA04D57" w:rsidR="00E10661" w:rsidRPr="00E10661" w:rsidRDefault="00E10661" w:rsidP="00E10661">
            <w:pPr>
              <w:spacing w:before="100" w:beforeAutospacing="1" w:after="100" w:afterAutospacing="1"/>
            </w:pPr>
            <w:r w:rsidRPr="00E10661">
              <w:t xml:space="preserve">With ERPO splines all coded in [0,1], this prior implies the total five-year effect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oMath>
            <w:r w:rsidRPr="00E10661">
              <w:t xml:space="preserve">has SD </w:t>
            </w:r>
            <m:oMath>
              <m:r>
                <w:rPr>
                  <w:rFonts w:ascii="Cambria Math" w:hAnsi="Cambria Math"/>
                </w:rPr>
                <m:t>0.064⋅</m:t>
              </m:r>
              <m:rad>
                <m:radPr>
                  <m:degHide m:val="1"/>
                  <m:ctrlPr>
                    <w:rPr>
                      <w:rFonts w:ascii="Cambria Math" w:hAnsi="Cambria Math"/>
                      <w:i/>
                    </w:rPr>
                  </m:ctrlPr>
                </m:radPr>
                <m:deg/>
                <m:e>
                  <m:r>
                    <w:rPr>
                      <w:rFonts w:ascii="Cambria Math" w:hAnsi="Cambria Math"/>
                    </w:rPr>
                    <m:t>2</m:t>
                  </m:r>
                </m:e>
              </m:rad>
              <m:r>
                <w:rPr>
                  <w:rFonts w:ascii="Cambria Math" w:hAnsi="Cambria Math"/>
                </w:rPr>
                <m:t>=0.09</m:t>
              </m:r>
            </m:oMath>
            <w:r w:rsidRPr="00E10661">
              <w:t>, i.e.</w:t>
            </w:r>
            <w:r w:rsidR="001B0F8A">
              <w:t>,</w:t>
            </w:r>
            <w:r w:rsidRPr="00E10661">
              <w:t xml:space="preserve"> a 95 % prior probability that the incidence-rate‐ratio (IRR) lies between 0.82 and 1.22. This matches expert-elicited expectations for plausible effect sizes (Smart, Morral &amp; Schell 2020).</w:t>
            </w:r>
          </w:p>
        </w:tc>
      </w:tr>
      <w:tr w:rsidR="00E10661" w:rsidRPr="00E10661" w14:paraId="112C7108" w14:textId="77777777" w:rsidTr="00287F38">
        <w:trPr>
          <w:tblCellSpacing w:w="15" w:type="dxa"/>
        </w:trPr>
        <w:tc>
          <w:tcPr>
            <w:tcW w:w="1780" w:type="dxa"/>
            <w:vAlign w:val="center"/>
            <w:hideMark/>
          </w:tcPr>
          <w:p w14:paraId="3FEA0E0B" w14:textId="79130CA9" w:rsidR="00E10661" w:rsidRPr="00E10661" w:rsidRDefault="00E10661" w:rsidP="00E10661">
            <w:pPr>
              <w:spacing w:before="100" w:beforeAutospacing="1" w:after="100" w:afterAutospacing="1"/>
            </w:pPr>
            <w:r w:rsidRPr="00E10661">
              <w:rPr>
                <w:b/>
                <w:bCs/>
              </w:rPr>
              <w:lastRenderedPageBreak/>
              <w:t>Confounder effects</w:t>
            </w:r>
            <w:r w:rsidRPr="00E10661">
              <w:t xml:space="preserve"> </w:t>
            </w:r>
          </w:p>
        </w:tc>
        <w:tc>
          <w:tcPr>
            <w:tcW w:w="3000" w:type="dxa"/>
            <w:vAlign w:val="center"/>
            <w:hideMark/>
          </w:tcPr>
          <w:p w14:paraId="1129A007" w14:textId="263F5A1D" w:rsidR="00E10661" w:rsidRPr="00E10661" w:rsidRDefault="00287F38" w:rsidP="00E10661">
            <w:pPr>
              <w:spacing w:before="100" w:beforeAutospacing="1" w:after="100" w:afterAutospacing="1"/>
            </w:pPr>
            <m:oMath>
              <m:r>
                <w:rPr>
                  <w:rFonts w:ascii="Cambria Math" w:hAnsi="Cambria Math"/>
                </w:rPr>
                <m:t xml:space="preserve">N(0, </m:t>
              </m:r>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oMath>
            <w:r w:rsidR="00E10661" w:rsidRPr="00E10661">
              <w:t xml:space="preserve"> for continuous, standardised covariates; </w:t>
            </w:r>
            <m:oMath>
              <m:r>
                <w:rPr>
                  <w:rFonts w:ascii="Cambria Math" w:hAnsi="Cambria Math"/>
                </w:rPr>
                <m:t xml:space="preserve">N(0, </m:t>
              </m:r>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oMath>
            <w:r w:rsidR="00E10661" w:rsidRPr="00E10661">
              <w:t xml:space="preserve"> for year dummies</w:t>
            </w:r>
          </w:p>
        </w:tc>
        <w:tc>
          <w:tcPr>
            <w:tcW w:w="4450" w:type="dxa"/>
            <w:vAlign w:val="center"/>
            <w:hideMark/>
          </w:tcPr>
          <w:p w14:paraId="04ECF2D4" w14:textId="4917EA37" w:rsidR="00E10661" w:rsidRPr="00E10661" w:rsidRDefault="00E10661" w:rsidP="00E10661">
            <w:pPr>
              <w:spacing w:before="100" w:beforeAutospacing="1" w:after="100" w:afterAutospacing="1"/>
            </w:pPr>
            <w:r w:rsidRPr="00E10661">
              <w:t xml:space="preserve">Weakly informative: a one-SD change in any covariate is unlikely to shift the </w:t>
            </w:r>
            <w:r w:rsidR="001B0F8A">
              <w:t>log rate</w:t>
            </w:r>
            <w:r w:rsidRPr="00E10661">
              <w:t xml:space="preserve"> by more than ≈</w:t>
            </w:r>
            <w:r w:rsidR="00287F38">
              <w:t xml:space="preserve"> </w:t>
            </w:r>
            <w:r w:rsidRPr="00E10661">
              <w:t>0.2 on prior grounds.</w:t>
            </w:r>
          </w:p>
        </w:tc>
      </w:tr>
      <w:tr w:rsidR="00E10661" w:rsidRPr="00E10661" w14:paraId="65D77F05" w14:textId="77777777" w:rsidTr="00287F38">
        <w:trPr>
          <w:tblCellSpacing w:w="15" w:type="dxa"/>
        </w:trPr>
        <w:tc>
          <w:tcPr>
            <w:tcW w:w="1780" w:type="dxa"/>
            <w:vAlign w:val="center"/>
            <w:hideMark/>
          </w:tcPr>
          <w:p w14:paraId="70F8F45A" w14:textId="7BFFEB3E" w:rsidR="00E10661" w:rsidRPr="00E10661" w:rsidRDefault="00E10661" w:rsidP="00E10661">
            <w:pPr>
              <w:spacing w:before="100" w:beforeAutospacing="1" w:after="100" w:afterAutospacing="1"/>
            </w:pPr>
            <w:r w:rsidRPr="00E10661">
              <w:rPr>
                <w:b/>
                <w:bCs/>
              </w:rPr>
              <w:t>Year effects</w:t>
            </w:r>
            <w:r w:rsidRPr="00E10661">
              <w:t xml:space="preserve"> </w:t>
            </w:r>
          </w:p>
        </w:tc>
        <w:tc>
          <w:tcPr>
            <w:tcW w:w="3000" w:type="dxa"/>
            <w:vAlign w:val="center"/>
            <w:hideMark/>
          </w:tcPr>
          <w:p w14:paraId="19C32698" w14:textId="7E7AA379" w:rsidR="00E10661" w:rsidRPr="00E10661" w:rsidRDefault="00287F38" w:rsidP="00E10661">
            <w:pPr>
              <w:spacing w:before="100" w:beforeAutospacing="1" w:after="100" w:afterAutospacing="1"/>
            </w:pPr>
            <m:oMathPara>
              <m:oMath>
                <m:r>
                  <w:rPr>
                    <w:rFonts w:ascii="Cambria Math" w:hAnsi="Cambria Math"/>
                  </w:rPr>
                  <m:t xml:space="preserve">N(0, </m:t>
                </m:r>
                <m:sSup>
                  <m:sSupPr>
                    <m:ctrlPr>
                      <w:rPr>
                        <w:rFonts w:ascii="Cambria Math" w:hAnsi="Cambria Math"/>
                        <w:i/>
                      </w:rPr>
                    </m:ctrlPr>
                  </m:sSupPr>
                  <m:e>
                    <m:r>
                      <w:rPr>
                        <w:rFonts w:ascii="Cambria Math" w:hAnsi="Cambria Math"/>
                      </w:rPr>
                      <m:t>0.</m:t>
                    </m:r>
                    <m:r>
                      <w:rPr>
                        <w:rFonts w:ascii="Cambria Math" w:hAnsi="Cambria Math"/>
                      </w:rPr>
                      <m:t>2</m:t>
                    </m:r>
                  </m:e>
                  <m:sup>
                    <m:r>
                      <w:rPr>
                        <w:rFonts w:ascii="Cambria Math" w:hAnsi="Cambria Math"/>
                      </w:rPr>
                      <m:t>2</m:t>
                    </m:r>
                  </m:sup>
                </m:sSup>
                <m:r>
                  <w:rPr>
                    <w:rFonts w:ascii="Cambria Math" w:hAnsi="Cambria Math"/>
                  </w:rPr>
                  <m:t>)</m:t>
                </m:r>
              </m:oMath>
            </m:oMathPara>
          </w:p>
        </w:tc>
        <w:tc>
          <w:tcPr>
            <w:tcW w:w="4450" w:type="dxa"/>
            <w:vAlign w:val="center"/>
            <w:hideMark/>
          </w:tcPr>
          <w:p w14:paraId="6EAC5F78" w14:textId="07000EE1" w:rsidR="00E10661" w:rsidRPr="00E10661" w:rsidRDefault="001B0F8A" w:rsidP="00E10661">
            <w:pPr>
              <w:spacing w:before="100" w:beforeAutospacing="1" w:after="100" w:afterAutospacing="1"/>
            </w:pPr>
            <w:r>
              <w:t>It allows</w:t>
            </w:r>
            <w:r w:rsidR="00E10661" w:rsidRPr="00E10661">
              <w:t xml:space="preserve"> </w:t>
            </w:r>
            <w:r>
              <w:t xml:space="preserve">for </w:t>
            </w:r>
            <w:r w:rsidR="00E10661" w:rsidRPr="00E10661">
              <w:t>large national shocks (e.g.</w:t>
            </w:r>
            <w:r>
              <w:t>,</w:t>
            </w:r>
            <w:r w:rsidR="00E10661" w:rsidRPr="00E10661">
              <w:t xml:space="preserve"> COVID-19)</w:t>
            </w:r>
            <w:r>
              <w:t>,</w:t>
            </w:r>
            <w:r w:rsidR="00E10661" w:rsidRPr="00E10661">
              <w:t xml:space="preserve"> but </w:t>
            </w:r>
            <w:r>
              <w:t>centers</w:t>
            </w:r>
            <w:r w:rsidR="00E10661" w:rsidRPr="00E10661">
              <w:t xml:space="preserve"> </w:t>
            </w:r>
            <w:r>
              <w:t>change</w:t>
            </w:r>
            <w:r w:rsidR="00E10661" w:rsidRPr="00E10661">
              <w:t xml:space="preserve"> </w:t>
            </w:r>
            <w:r>
              <w:t>at</w:t>
            </w:r>
            <w:r w:rsidR="00E10661" w:rsidRPr="00E10661">
              <w:t xml:space="preserve"> zero.</w:t>
            </w:r>
          </w:p>
        </w:tc>
      </w:tr>
      <w:tr w:rsidR="00E10661" w:rsidRPr="00E10661" w14:paraId="6CA96D59" w14:textId="77777777" w:rsidTr="00287F38">
        <w:trPr>
          <w:tblCellSpacing w:w="15" w:type="dxa"/>
        </w:trPr>
        <w:tc>
          <w:tcPr>
            <w:tcW w:w="1780" w:type="dxa"/>
            <w:vAlign w:val="center"/>
            <w:hideMark/>
          </w:tcPr>
          <w:p w14:paraId="1730C965" w14:textId="5B70B7D4" w:rsidR="00E10661" w:rsidRPr="00E10661" w:rsidRDefault="00E10661" w:rsidP="00E10661">
            <w:pPr>
              <w:spacing w:before="100" w:beforeAutospacing="1" w:after="100" w:afterAutospacing="1"/>
            </w:pPr>
            <w:r w:rsidRPr="00E10661">
              <w:rPr>
                <w:b/>
                <w:bCs/>
              </w:rPr>
              <w:t>State random effect</w:t>
            </w:r>
          </w:p>
        </w:tc>
        <w:tc>
          <w:tcPr>
            <w:tcW w:w="3000" w:type="dxa"/>
            <w:vAlign w:val="center"/>
            <w:hideMark/>
          </w:tcPr>
          <w:p w14:paraId="134B34FF" w14:textId="77777777" w:rsidR="00E10661" w:rsidRPr="00287F38" w:rsidRDefault="00287F38" w:rsidP="00E10661">
            <w:pPr>
              <w:spacing w:before="100" w:beforeAutospacing="1" w:after="100" w:afterAutospacing="1"/>
            </w:pPr>
            <m:oMathPara>
              <m:oMath>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0.</m:t>
                        </m:r>
                        <m:r>
                          <w:rPr>
                            <w:rFonts w:ascii="Cambria Math" w:hAnsi="Cambria Math"/>
                          </w:rPr>
                          <m:t>5</m:t>
                        </m:r>
                      </m:e>
                      <m:sup>
                        <m:r>
                          <w:rPr>
                            <w:rFonts w:ascii="Cambria Math" w:hAnsi="Cambria Math"/>
                          </w:rPr>
                          <m:t>2</m:t>
                        </m:r>
                      </m:sup>
                    </m:sSup>
                  </m:e>
                </m:d>
                <m:r>
                  <w:rPr>
                    <w:rFonts w:ascii="Cambria Math" w:hAnsi="Cambria Math"/>
                  </w:rPr>
                  <m:t>,</m:t>
                </m:r>
              </m:oMath>
            </m:oMathPara>
          </w:p>
          <w:p w14:paraId="45AAF4B8" w14:textId="4BB2698A" w:rsidR="00287F38" w:rsidRPr="00E10661" w:rsidRDefault="00287F38" w:rsidP="00E10661">
            <w:pPr>
              <w:spacing w:before="100" w:beforeAutospacing="1" w:after="100" w:afterAutospacing="1"/>
            </w:pPr>
            <m:oMathPara>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m:t>
                        </m:r>
                      </m:sup>
                    </m:sSup>
                  </m:e>
                </m:acc>
              </m:oMath>
            </m:oMathPara>
          </w:p>
        </w:tc>
        <w:tc>
          <w:tcPr>
            <w:tcW w:w="4450" w:type="dxa"/>
            <w:vAlign w:val="center"/>
            <w:hideMark/>
          </w:tcPr>
          <w:p w14:paraId="4A7B0631" w14:textId="77777777" w:rsidR="00E10661" w:rsidRPr="00E10661" w:rsidRDefault="00E10661" w:rsidP="00E10661">
            <w:pPr>
              <w:spacing w:before="100" w:beforeAutospacing="1" w:after="100" w:afterAutospacing="1"/>
            </w:pPr>
            <w:r w:rsidRPr="00E10661">
              <w:t>Captures between-state heterogeneity while preserving model identifiability (sum-to-zero constraint).</w:t>
            </w:r>
          </w:p>
        </w:tc>
      </w:tr>
      <w:tr w:rsidR="00E10661" w:rsidRPr="00E10661" w14:paraId="4DD6BE01" w14:textId="77777777" w:rsidTr="00287F38">
        <w:trPr>
          <w:tblCellSpacing w:w="15" w:type="dxa"/>
        </w:trPr>
        <w:tc>
          <w:tcPr>
            <w:tcW w:w="1780" w:type="dxa"/>
            <w:vAlign w:val="center"/>
            <w:hideMark/>
          </w:tcPr>
          <w:p w14:paraId="3AD4F095" w14:textId="77777777" w:rsidR="00E10661" w:rsidRPr="00E10661" w:rsidRDefault="00E10661" w:rsidP="00E10661">
            <w:pPr>
              <w:spacing w:before="100" w:beforeAutospacing="1" w:after="100" w:afterAutospacing="1"/>
            </w:pPr>
            <w:r w:rsidRPr="00E10661">
              <w:rPr>
                <w:b/>
                <w:bCs/>
              </w:rPr>
              <w:t>Over-dispersion</w:t>
            </w:r>
          </w:p>
        </w:tc>
        <w:tc>
          <w:tcPr>
            <w:tcW w:w="3000" w:type="dxa"/>
            <w:vAlign w:val="center"/>
            <w:hideMark/>
          </w:tcPr>
          <w:p w14:paraId="161E6AB5" w14:textId="32335C1F" w:rsidR="00E10661" w:rsidRPr="00E10661" w:rsidRDefault="00287F38" w:rsidP="00E10661">
            <w:pPr>
              <w:spacing w:before="100" w:beforeAutospacing="1" w:after="100" w:afterAutospacing="1"/>
            </w:pPr>
            <m:oMathPara>
              <m:oMath>
                <m:sSup>
                  <m:sSupPr>
                    <m:ctrlPr>
                      <w:rPr>
                        <w:rFonts w:ascii="Cambria Math" w:hAnsi="Cambria Math"/>
                        <w:i/>
                      </w:rPr>
                    </m:ctrlPr>
                  </m:sSupPr>
                  <m:e>
                    <m:r>
                      <w:rPr>
                        <w:rFonts w:ascii="Cambria Math" w:hAnsi="Cambria Math"/>
                      </w:rPr>
                      <m:t>ϕ</m:t>
                    </m:r>
                  </m:e>
                  <m:sup>
                    <m:r>
                      <w:rPr>
                        <w:rFonts w:ascii="Cambria Math" w:hAnsi="Cambria Math"/>
                      </w:rPr>
                      <m:t>-1</m:t>
                    </m:r>
                  </m:sup>
                </m:sSup>
                <m:r>
                  <w:rPr>
                    <w:rFonts w:ascii="Cambria Math" w:hAnsi="Cambria Math"/>
                  </w:rPr>
                  <m:t>=invphi∼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(0, </m:t>
                </m:r>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oMath>
            </m:oMathPara>
          </w:p>
        </w:tc>
        <w:tc>
          <w:tcPr>
            <w:tcW w:w="4450" w:type="dxa"/>
            <w:vAlign w:val="center"/>
            <w:hideMark/>
          </w:tcPr>
          <w:p w14:paraId="27F06EC8" w14:textId="77777777" w:rsidR="00E10661" w:rsidRPr="00E10661" w:rsidRDefault="00E10661" w:rsidP="00E10661">
            <w:pPr>
              <w:spacing w:before="100" w:beforeAutospacing="1" w:after="100" w:afterAutospacing="1"/>
            </w:pPr>
            <w:r w:rsidRPr="00E10661">
              <w:t>Diffuse on the log-variance scale; restricts \phi to plausible values but leaves tail heavy.</w:t>
            </w:r>
          </w:p>
        </w:tc>
      </w:tr>
    </w:tbl>
    <w:p w14:paraId="3FAAF486" w14:textId="77777777" w:rsidR="00E10661" w:rsidRPr="00F5517F" w:rsidRDefault="00E10661" w:rsidP="00847F25"/>
    <w:sectPr w:rsidR="00E10661" w:rsidRPr="00F55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F02F1" w14:textId="77777777" w:rsidR="00D251E4" w:rsidRDefault="00D251E4" w:rsidP="00FD72BA">
      <w:r>
        <w:separator/>
      </w:r>
    </w:p>
  </w:endnote>
  <w:endnote w:type="continuationSeparator" w:id="0">
    <w:p w14:paraId="43B5FE1B" w14:textId="77777777" w:rsidR="00D251E4" w:rsidRDefault="00D251E4" w:rsidP="00FD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D4439" w14:textId="77777777" w:rsidR="00D251E4" w:rsidRDefault="00D251E4" w:rsidP="00FD72BA">
      <w:r>
        <w:separator/>
      </w:r>
    </w:p>
  </w:footnote>
  <w:footnote w:type="continuationSeparator" w:id="0">
    <w:p w14:paraId="5EF5E814" w14:textId="77777777" w:rsidR="00D251E4" w:rsidRDefault="00D251E4" w:rsidP="00FD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20C2"/>
    <w:multiLevelType w:val="multilevel"/>
    <w:tmpl w:val="B646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D14F7"/>
    <w:multiLevelType w:val="multilevel"/>
    <w:tmpl w:val="E88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697586">
    <w:abstractNumId w:val="0"/>
  </w:num>
  <w:num w:numId="2" w16cid:durableId="1519395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06"/>
    <w:rsid w:val="00020A18"/>
    <w:rsid w:val="0003329C"/>
    <w:rsid w:val="00033740"/>
    <w:rsid w:val="00047EF7"/>
    <w:rsid w:val="0005065B"/>
    <w:rsid w:val="00053560"/>
    <w:rsid w:val="001050E7"/>
    <w:rsid w:val="00163337"/>
    <w:rsid w:val="001A779E"/>
    <w:rsid w:val="001A7889"/>
    <w:rsid w:val="001B0F8A"/>
    <w:rsid w:val="001C5FE2"/>
    <w:rsid w:val="002429E0"/>
    <w:rsid w:val="00263FB3"/>
    <w:rsid w:val="002746E8"/>
    <w:rsid w:val="00287F38"/>
    <w:rsid w:val="00315CB3"/>
    <w:rsid w:val="00342268"/>
    <w:rsid w:val="003448A4"/>
    <w:rsid w:val="00380ED5"/>
    <w:rsid w:val="003D1C0B"/>
    <w:rsid w:val="00412681"/>
    <w:rsid w:val="004710AB"/>
    <w:rsid w:val="0048629D"/>
    <w:rsid w:val="004B4759"/>
    <w:rsid w:val="004E0B06"/>
    <w:rsid w:val="00513EEE"/>
    <w:rsid w:val="00582EDD"/>
    <w:rsid w:val="00695D20"/>
    <w:rsid w:val="006B695A"/>
    <w:rsid w:val="006C649C"/>
    <w:rsid w:val="006E0A96"/>
    <w:rsid w:val="006E1DB1"/>
    <w:rsid w:val="006E32A0"/>
    <w:rsid w:val="006F7ACF"/>
    <w:rsid w:val="00700478"/>
    <w:rsid w:val="0070341A"/>
    <w:rsid w:val="00712EB8"/>
    <w:rsid w:val="00765E5C"/>
    <w:rsid w:val="00775F6E"/>
    <w:rsid w:val="00783EF6"/>
    <w:rsid w:val="00841B5A"/>
    <w:rsid w:val="00845674"/>
    <w:rsid w:val="00847F25"/>
    <w:rsid w:val="008738DE"/>
    <w:rsid w:val="00931ACF"/>
    <w:rsid w:val="00985289"/>
    <w:rsid w:val="009946D7"/>
    <w:rsid w:val="009C077E"/>
    <w:rsid w:val="009D4411"/>
    <w:rsid w:val="00A85558"/>
    <w:rsid w:val="00AB1B4E"/>
    <w:rsid w:val="00AC2CA3"/>
    <w:rsid w:val="00AE2B3E"/>
    <w:rsid w:val="00AE3B7A"/>
    <w:rsid w:val="00AF7814"/>
    <w:rsid w:val="00B1060A"/>
    <w:rsid w:val="00B1078D"/>
    <w:rsid w:val="00B13901"/>
    <w:rsid w:val="00B40769"/>
    <w:rsid w:val="00B565B3"/>
    <w:rsid w:val="00BA3F3E"/>
    <w:rsid w:val="00C01960"/>
    <w:rsid w:val="00C705ED"/>
    <w:rsid w:val="00C9011C"/>
    <w:rsid w:val="00CB5C59"/>
    <w:rsid w:val="00CB777A"/>
    <w:rsid w:val="00CD1D9F"/>
    <w:rsid w:val="00CF2FC5"/>
    <w:rsid w:val="00D251E4"/>
    <w:rsid w:val="00D623DE"/>
    <w:rsid w:val="00D6330C"/>
    <w:rsid w:val="00DA0F4B"/>
    <w:rsid w:val="00DB748A"/>
    <w:rsid w:val="00DE04F0"/>
    <w:rsid w:val="00DE5A36"/>
    <w:rsid w:val="00E10661"/>
    <w:rsid w:val="00E1375D"/>
    <w:rsid w:val="00E34B60"/>
    <w:rsid w:val="00E473ED"/>
    <w:rsid w:val="00EA75A8"/>
    <w:rsid w:val="00ED5D32"/>
    <w:rsid w:val="00F02117"/>
    <w:rsid w:val="00F2655F"/>
    <w:rsid w:val="00F44AFF"/>
    <w:rsid w:val="00F5517F"/>
    <w:rsid w:val="00F77501"/>
    <w:rsid w:val="00FA3899"/>
    <w:rsid w:val="00FA437C"/>
    <w:rsid w:val="00FD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0CAD"/>
  <w15:chartTrackingRefBased/>
  <w15:docId w15:val="{B44B5112-BBD9-8144-9839-13E2735B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B5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E0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0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0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E0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B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B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B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B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0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0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E0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B06"/>
    <w:rPr>
      <w:rFonts w:eastAsiaTheme="majorEastAsia" w:cstheme="majorBidi"/>
      <w:color w:val="272727" w:themeColor="text1" w:themeTint="D8"/>
    </w:rPr>
  </w:style>
  <w:style w:type="paragraph" w:styleId="Title">
    <w:name w:val="Title"/>
    <w:basedOn w:val="Normal"/>
    <w:next w:val="Normal"/>
    <w:link w:val="TitleChar"/>
    <w:uiPriority w:val="10"/>
    <w:qFormat/>
    <w:rsid w:val="004E0B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B06"/>
    <w:pPr>
      <w:spacing w:before="160"/>
      <w:jc w:val="center"/>
    </w:pPr>
    <w:rPr>
      <w:i/>
      <w:iCs/>
      <w:color w:val="404040" w:themeColor="text1" w:themeTint="BF"/>
    </w:rPr>
  </w:style>
  <w:style w:type="character" w:customStyle="1" w:styleId="QuoteChar">
    <w:name w:val="Quote Char"/>
    <w:basedOn w:val="DefaultParagraphFont"/>
    <w:link w:val="Quote"/>
    <w:uiPriority w:val="29"/>
    <w:rsid w:val="004E0B06"/>
    <w:rPr>
      <w:i/>
      <w:iCs/>
      <w:color w:val="404040" w:themeColor="text1" w:themeTint="BF"/>
    </w:rPr>
  </w:style>
  <w:style w:type="paragraph" w:styleId="ListParagraph">
    <w:name w:val="List Paragraph"/>
    <w:basedOn w:val="Normal"/>
    <w:uiPriority w:val="34"/>
    <w:qFormat/>
    <w:rsid w:val="004E0B06"/>
    <w:pPr>
      <w:ind w:left="720"/>
      <w:contextualSpacing/>
    </w:pPr>
  </w:style>
  <w:style w:type="character" w:styleId="IntenseEmphasis">
    <w:name w:val="Intense Emphasis"/>
    <w:basedOn w:val="DefaultParagraphFont"/>
    <w:uiPriority w:val="21"/>
    <w:qFormat/>
    <w:rsid w:val="004E0B06"/>
    <w:rPr>
      <w:i/>
      <w:iCs/>
      <w:color w:val="0F4761" w:themeColor="accent1" w:themeShade="BF"/>
    </w:rPr>
  </w:style>
  <w:style w:type="paragraph" w:styleId="IntenseQuote">
    <w:name w:val="Intense Quote"/>
    <w:basedOn w:val="Normal"/>
    <w:next w:val="Normal"/>
    <w:link w:val="IntenseQuoteChar"/>
    <w:uiPriority w:val="30"/>
    <w:qFormat/>
    <w:rsid w:val="004E0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B06"/>
    <w:rPr>
      <w:i/>
      <w:iCs/>
      <w:color w:val="0F4761" w:themeColor="accent1" w:themeShade="BF"/>
    </w:rPr>
  </w:style>
  <w:style w:type="character" w:styleId="IntenseReference">
    <w:name w:val="Intense Reference"/>
    <w:basedOn w:val="DefaultParagraphFont"/>
    <w:uiPriority w:val="32"/>
    <w:qFormat/>
    <w:rsid w:val="004E0B06"/>
    <w:rPr>
      <w:b/>
      <w:bCs/>
      <w:smallCaps/>
      <w:color w:val="0F4761" w:themeColor="accent1" w:themeShade="BF"/>
      <w:spacing w:val="5"/>
    </w:rPr>
  </w:style>
  <w:style w:type="paragraph" w:customStyle="1" w:styleId="whitespace-pre-wrap">
    <w:name w:val="whitespace-pre-wrap"/>
    <w:basedOn w:val="Normal"/>
    <w:rsid w:val="00F02117"/>
    <w:pPr>
      <w:spacing w:before="100" w:beforeAutospacing="1" w:after="100" w:afterAutospacing="1"/>
    </w:pPr>
  </w:style>
  <w:style w:type="paragraph" w:styleId="Header">
    <w:name w:val="header"/>
    <w:basedOn w:val="Normal"/>
    <w:link w:val="HeaderChar"/>
    <w:uiPriority w:val="99"/>
    <w:unhideWhenUsed/>
    <w:rsid w:val="00FD72BA"/>
    <w:pPr>
      <w:tabs>
        <w:tab w:val="center" w:pos="4680"/>
        <w:tab w:val="right" w:pos="9360"/>
      </w:tabs>
    </w:pPr>
  </w:style>
  <w:style w:type="character" w:customStyle="1" w:styleId="HeaderChar">
    <w:name w:val="Header Char"/>
    <w:basedOn w:val="DefaultParagraphFont"/>
    <w:link w:val="Header"/>
    <w:uiPriority w:val="99"/>
    <w:rsid w:val="00FD72BA"/>
  </w:style>
  <w:style w:type="paragraph" w:styleId="Footer">
    <w:name w:val="footer"/>
    <w:basedOn w:val="Normal"/>
    <w:link w:val="FooterChar"/>
    <w:uiPriority w:val="99"/>
    <w:unhideWhenUsed/>
    <w:rsid w:val="00FD72BA"/>
    <w:pPr>
      <w:tabs>
        <w:tab w:val="center" w:pos="4680"/>
        <w:tab w:val="right" w:pos="9360"/>
      </w:tabs>
    </w:pPr>
  </w:style>
  <w:style w:type="character" w:customStyle="1" w:styleId="FooterChar">
    <w:name w:val="Footer Char"/>
    <w:basedOn w:val="DefaultParagraphFont"/>
    <w:link w:val="Footer"/>
    <w:uiPriority w:val="99"/>
    <w:rsid w:val="00FD72BA"/>
  </w:style>
  <w:style w:type="paragraph" w:customStyle="1" w:styleId="para">
    <w:name w:val="para"/>
    <w:basedOn w:val="Normal"/>
    <w:rsid w:val="00D6330C"/>
    <w:pPr>
      <w:spacing w:before="100" w:beforeAutospacing="1" w:after="100" w:afterAutospacing="1"/>
    </w:pPr>
  </w:style>
  <w:style w:type="character" w:styleId="Hyperlink">
    <w:name w:val="Hyperlink"/>
    <w:basedOn w:val="DefaultParagraphFont"/>
    <w:uiPriority w:val="99"/>
    <w:semiHidden/>
    <w:unhideWhenUsed/>
    <w:rsid w:val="00D6330C"/>
    <w:rPr>
      <w:color w:val="0000FF"/>
      <w:u w:val="single"/>
    </w:rPr>
  </w:style>
  <w:style w:type="character" w:customStyle="1" w:styleId="apple-converted-space">
    <w:name w:val="apple-converted-space"/>
    <w:basedOn w:val="DefaultParagraphFont"/>
    <w:rsid w:val="00D6330C"/>
  </w:style>
  <w:style w:type="paragraph" w:customStyle="1" w:styleId="p1">
    <w:name w:val="p1"/>
    <w:basedOn w:val="Normal"/>
    <w:rsid w:val="00DE5A36"/>
    <w:rPr>
      <w:rFonts w:ascii="Helvetica Neue" w:hAnsi="Helvetica Neue"/>
      <w:color w:val="000000"/>
      <w:sz w:val="21"/>
      <w:szCs w:val="21"/>
    </w:rPr>
  </w:style>
  <w:style w:type="paragraph" w:styleId="NormalWeb">
    <w:name w:val="Normal (Web)"/>
    <w:basedOn w:val="Normal"/>
    <w:uiPriority w:val="99"/>
    <w:unhideWhenUsed/>
    <w:rsid w:val="00D623DE"/>
    <w:pPr>
      <w:spacing w:before="100" w:beforeAutospacing="1" w:after="100" w:afterAutospacing="1"/>
    </w:pPr>
  </w:style>
  <w:style w:type="paragraph" w:customStyle="1" w:styleId="p2">
    <w:name w:val="p2"/>
    <w:basedOn w:val="Normal"/>
    <w:rsid w:val="00AE2B3E"/>
    <w:pPr>
      <w:spacing w:before="100" w:beforeAutospacing="1" w:after="100" w:afterAutospacing="1"/>
    </w:pPr>
  </w:style>
  <w:style w:type="character" w:styleId="PlaceholderText">
    <w:name w:val="Placeholder Text"/>
    <w:basedOn w:val="DefaultParagraphFont"/>
    <w:uiPriority w:val="99"/>
    <w:semiHidden/>
    <w:rsid w:val="00B40769"/>
    <w:rPr>
      <w:color w:val="666666"/>
    </w:rPr>
  </w:style>
  <w:style w:type="paragraph" w:customStyle="1" w:styleId="p3">
    <w:name w:val="p3"/>
    <w:basedOn w:val="Normal"/>
    <w:rsid w:val="0003329C"/>
    <w:pPr>
      <w:spacing w:before="100" w:beforeAutospacing="1" w:after="100" w:afterAutospacing="1"/>
    </w:pPr>
  </w:style>
  <w:style w:type="character" w:customStyle="1" w:styleId="s1">
    <w:name w:val="s1"/>
    <w:basedOn w:val="DefaultParagraphFont"/>
    <w:rsid w:val="00AE3B7A"/>
  </w:style>
  <w:style w:type="character" w:customStyle="1" w:styleId="s2">
    <w:name w:val="s2"/>
    <w:basedOn w:val="DefaultParagraphFont"/>
    <w:rsid w:val="00AE3B7A"/>
  </w:style>
  <w:style w:type="character" w:customStyle="1" w:styleId="s3">
    <w:name w:val="s3"/>
    <w:basedOn w:val="DefaultParagraphFont"/>
    <w:rsid w:val="00841B5A"/>
  </w:style>
  <w:style w:type="character" w:customStyle="1" w:styleId="s4">
    <w:name w:val="s4"/>
    <w:basedOn w:val="DefaultParagraphFont"/>
    <w:rsid w:val="00841B5A"/>
  </w:style>
  <w:style w:type="paragraph" w:styleId="Bibliography">
    <w:name w:val="Bibliography"/>
    <w:basedOn w:val="Normal"/>
    <w:next w:val="Normal"/>
    <w:uiPriority w:val="37"/>
    <w:unhideWhenUsed/>
    <w:rsid w:val="009C077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3704">
      <w:bodyDiv w:val="1"/>
      <w:marLeft w:val="0"/>
      <w:marRight w:val="0"/>
      <w:marTop w:val="0"/>
      <w:marBottom w:val="0"/>
      <w:divBdr>
        <w:top w:val="none" w:sz="0" w:space="0" w:color="auto"/>
        <w:left w:val="none" w:sz="0" w:space="0" w:color="auto"/>
        <w:bottom w:val="none" w:sz="0" w:space="0" w:color="auto"/>
        <w:right w:val="none" w:sz="0" w:space="0" w:color="auto"/>
      </w:divBdr>
    </w:div>
    <w:div w:id="86853522">
      <w:bodyDiv w:val="1"/>
      <w:marLeft w:val="0"/>
      <w:marRight w:val="0"/>
      <w:marTop w:val="0"/>
      <w:marBottom w:val="0"/>
      <w:divBdr>
        <w:top w:val="none" w:sz="0" w:space="0" w:color="auto"/>
        <w:left w:val="none" w:sz="0" w:space="0" w:color="auto"/>
        <w:bottom w:val="none" w:sz="0" w:space="0" w:color="auto"/>
        <w:right w:val="none" w:sz="0" w:space="0" w:color="auto"/>
      </w:divBdr>
    </w:div>
    <w:div w:id="199054646">
      <w:bodyDiv w:val="1"/>
      <w:marLeft w:val="0"/>
      <w:marRight w:val="0"/>
      <w:marTop w:val="0"/>
      <w:marBottom w:val="0"/>
      <w:divBdr>
        <w:top w:val="none" w:sz="0" w:space="0" w:color="auto"/>
        <w:left w:val="none" w:sz="0" w:space="0" w:color="auto"/>
        <w:bottom w:val="none" w:sz="0" w:space="0" w:color="auto"/>
        <w:right w:val="none" w:sz="0" w:space="0" w:color="auto"/>
      </w:divBdr>
    </w:div>
    <w:div w:id="218176496">
      <w:bodyDiv w:val="1"/>
      <w:marLeft w:val="0"/>
      <w:marRight w:val="0"/>
      <w:marTop w:val="0"/>
      <w:marBottom w:val="0"/>
      <w:divBdr>
        <w:top w:val="none" w:sz="0" w:space="0" w:color="auto"/>
        <w:left w:val="none" w:sz="0" w:space="0" w:color="auto"/>
        <w:bottom w:val="none" w:sz="0" w:space="0" w:color="auto"/>
        <w:right w:val="none" w:sz="0" w:space="0" w:color="auto"/>
      </w:divBdr>
    </w:div>
    <w:div w:id="270550205">
      <w:bodyDiv w:val="1"/>
      <w:marLeft w:val="0"/>
      <w:marRight w:val="0"/>
      <w:marTop w:val="0"/>
      <w:marBottom w:val="0"/>
      <w:divBdr>
        <w:top w:val="none" w:sz="0" w:space="0" w:color="auto"/>
        <w:left w:val="none" w:sz="0" w:space="0" w:color="auto"/>
        <w:bottom w:val="none" w:sz="0" w:space="0" w:color="auto"/>
        <w:right w:val="none" w:sz="0" w:space="0" w:color="auto"/>
      </w:divBdr>
    </w:div>
    <w:div w:id="289211172">
      <w:bodyDiv w:val="1"/>
      <w:marLeft w:val="0"/>
      <w:marRight w:val="0"/>
      <w:marTop w:val="0"/>
      <w:marBottom w:val="0"/>
      <w:divBdr>
        <w:top w:val="none" w:sz="0" w:space="0" w:color="auto"/>
        <w:left w:val="none" w:sz="0" w:space="0" w:color="auto"/>
        <w:bottom w:val="none" w:sz="0" w:space="0" w:color="auto"/>
        <w:right w:val="none" w:sz="0" w:space="0" w:color="auto"/>
      </w:divBdr>
    </w:div>
    <w:div w:id="333802868">
      <w:bodyDiv w:val="1"/>
      <w:marLeft w:val="0"/>
      <w:marRight w:val="0"/>
      <w:marTop w:val="0"/>
      <w:marBottom w:val="0"/>
      <w:divBdr>
        <w:top w:val="none" w:sz="0" w:space="0" w:color="auto"/>
        <w:left w:val="none" w:sz="0" w:space="0" w:color="auto"/>
        <w:bottom w:val="none" w:sz="0" w:space="0" w:color="auto"/>
        <w:right w:val="none" w:sz="0" w:space="0" w:color="auto"/>
      </w:divBdr>
    </w:div>
    <w:div w:id="430008209">
      <w:bodyDiv w:val="1"/>
      <w:marLeft w:val="0"/>
      <w:marRight w:val="0"/>
      <w:marTop w:val="0"/>
      <w:marBottom w:val="0"/>
      <w:divBdr>
        <w:top w:val="none" w:sz="0" w:space="0" w:color="auto"/>
        <w:left w:val="none" w:sz="0" w:space="0" w:color="auto"/>
        <w:bottom w:val="none" w:sz="0" w:space="0" w:color="auto"/>
        <w:right w:val="none" w:sz="0" w:space="0" w:color="auto"/>
      </w:divBdr>
    </w:div>
    <w:div w:id="578440360">
      <w:bodyDiv w:val="1"/>
      <w:marLeft w:val="0"/>
      <w:marRight w:val="0"/>
      <w:marTop w:val="0"/>
      <w:marBottom w:val="0"/>
      <w:divBdr>
        <w:top w:val="none" w:sz="0" w:space="0" w:color="auto"/>
        <w:left w:val="none" w:sz="0" w:space="0" w:color="auto"/>
        <w:bottom w:val="none" w:sz="0" w:space="0" w:color="auto"/>
        <w:right w:val="none" w:sz="0" w:space="0" w:color="auto"/>
      </w:divBdr>
    </w:div>
    <w:div w:id="588779999">
      <w:bodyDiv w:val="1"/>
      <w:marLeft w:val="0"/>
      <w:marRight w:val="0"/>
      <w:marTop w:val="0"/>
      <w:marBottom w:val="0"/>
      <w:divBdr>
        <w:top w:val="none" w:sz="0" w:space="0" w:color="auto"/>
        <w:left w:val="none" w:sz="0" w:space="0" w:color="auto"/>
        <w:bottom w:val="none" w:sz="0" w:space="0" w:color="auto"/>
        <w:right w:val="none" w:sz="0" w:space="0" w:color="auto"/>
      </w:divBdr>
    </w:div>
    <w:div w:id="613942657">
      <w:bodyDiv w:val="1"/>
      <w:marLeft w:val="0"/>
      <w:marRight w:val="0"/>
      <w:marTop w:val="0"/>
      <w:marBottom w:val="0"/>
      <w:divBdr>
        <w:top w:val="none" w:sz="0" w:space="0" w:color="auto"/>
        <w:left w:val="none" w:sz="0" w:space="0" w:color="auto"/>
        <w:bottom w:val="none" w:sz="0" w:space="0" w:color="auto"/>
        <w:right w:val="none" w:sz="0" w:space="0" w:color="auto"/>
      </w:divBdr>
    </w:div>
    <w:div w:id="655500330">
      <w:bodyDiv w:val="1"/>
      <w:marLeft w:val="0"/>
      <w:marRight w:val="0"/>
      <w:marTop w:val="0"/>
      <w:marBottom w:val="0"/>
      <w:divBdr>
        <w:top w:val="none" w:sz="0" w:space="0" w:color="auto"/>
        <w:left w:val="none" w:sz="0" w:space="0" w:color="auto"/>
        <w:bottom w:val="none" w:sz="0" w:space="0" w:color="auto"/>
        <w:right w:val="none" w:sz="0" w:space="0" w:color="auto"/>
      </w:divBdr>
    </w:div>
    <w:div w:id="676150405">
      <w:bodyDiv w:val="1"/>
      <w:marLeft w:val="0"/>
      <w:marRight w:val="0"/>
      <w:marTop w:val="0"/>
      <w:marBottom w:val="0"/>
      <w:divBdr>
        <w:top w:val="none" w:sz="0" w:space="0" w:color="auto"/>
        <w:left w:val="none" w:sz="0" w:space="0" w:color="auto"/>
        <w:bottom w:val="none" w:sz="0" w:space="0" w:color="auto"/>
        <w:right w:val="none" w:sz="0" w:space="0" w:color="auto"/>
      </w:divBdr>
    </w:div>
    <w:div w:id="705643089">
      <w:bodyDiv w:val="1"/>
      <w:marLeft w:val="0"/>
      <w:marRight w:val="0"/>
      <w:marTop w:val="0"/>
      <w:marBottom w:val="0"/>
      <w:divBdr>
        <w:top w:val="none" w:sz="0" w:space="0" w:color="auto"/>
        <w:left w:val="none" w:sz="0" w:space="0" w:color="auto"/>
        <w:bottom w:val="none" w:sz="0" w:space="0" w:color="auto"/>
        <w:right w:val="none" w:sz="0" w:space="0" w:color="auto"/>
      </w:divBdr>
    </w:div>
    <w:div w:id="848520856">
      <w:bodyDiv w:val="1"/>
      <w:marLeft w:val="0"/>
      <w:marRight w:val="0"/>
      <w:marTop w:val="0"/>
      <w:marBottom w:val="0"/>
      <w:divBdr>
        <w:top w:val="none" w:sz="0" w:space="0" w:color="auto"/>
        <w:left w:val="none" w:sz="0" w:space="0" w:color="auto"/>
        <w:bottom w:val="none" w:sz="0" w:space="0" w:color="auto"/>
        <w:right w:val="none" w:sz="0" w:space="0" w:color="auto"/>
      </w:divBdr>
    </w:div>
    <w:div w:id="856578626">
      <w:bodyDiv w:val="1"/>
      <w:marLeft w:val="0"/>
      <w:marRight w:val="0"/>
      <w:marTop w:val="0"/>
      <w:marBottom w:val="0"/>
      <w:divBdr>
        <w:top w:val="none" w:sz="0" w:space="0" w:color="auto"/>
        <w:left w:val="none" w:sz="0" w:space="0" w:color="auto"/>
        <w:bottom w:val="none" w:sz="0" w:space="0" w:color="auto"/>
        <w:right w:val="none" w:sz="0" w:space="0" w:color="auto"/>
      </w:divBdr>
    </w:div>
    <w:div w:id="864976103">
      <w:bodyDiv w:val="1"/>
      <w:marLeft w:val="0"/>
      <w:marRight w:val="0"/>
      <w:marTop w:val="0"/>
      <w:marBottom w:val="0"/>
      <w:divBdr>
        <w:top w:val="none" w:sz="0" w:space="0" w:color="auto"/>
        <w:left w:val="none" w:sz="0" w:space="0" w:color="auto"/>
        <w:bottom w:val="none" w:sz="0" w:space="0" w:color="auto"/>
        <w:right w:val="none" w:sz="0" w:space="0" w:color="auto"/>
      </w:divBdr>
    </w:div>
    <w:div w:id="885797121">
      <w:bodyDiv w:val="1"/>
      <w:marLeft w:val="0"/>
      <w:marRight w:val="0"/>
      <w:marTop w:val="0"/>
      <w:marBottom w:val="0"/>
      <w:divBdr>
        <w:top w:val="none" w:sz="0" w:space="0" w:color="auto"/>
        <w:left w:val="none" w:sz="0" w:space="0" w:color="auto"/>
        <w:bottom w:val="none" w:sz="0" w:space="0" w:color="auto"/>
        <w:right w:val="none" w:sz="0" w:space="0" w:color="auto"/>
      </w:divBdr>
    </w:div>
    <w:div w:id="974483441">
      <w:bodyDiv w:val="1"/>
      <w:marLeft w:val="0"/>
      <w:marRight w:val="0"/>
      <w:marTop w:val="0"/>
      <w:marBottom w:val="0"/>
      <w:divBdr>
        <w:top w:val="none" w:sz="0" w:space="0" w:color="auto"/>
        <w:left w:val="none" w:sz="0" w:space="0" w:color="auto"/>
        <w:bottom w:val="none" w:sz="0" w:space="0" w:color="auto"/>
        <w:right w:val="none" w:sz="0" w:space="0" w:color="auto"/>
      </w:divBdr>
    </w:div>
    <w:div w:id="1120490229">
      <w:bodyDiv w:val="1"/>
      <w:marLeft w:val="0"/>
      <w:marRight w:val="0"/>
      <w:marTop w:val="0"/>
      <w:marBottom w:val="0"/>
      <w:divBdr>
        <w:top w:val="none" w:sz="0" w:space="0" w:color="auto"/>
        <w:left w:val="none" w:sz="0" w:space="0" w:color="auto"/>
        <w:bottom w:val="none" w:sz="0" w:space="0" w:color="auto"/>
        <w:right w:val="none" w:sz="0" w:space="0" w:color="auto"/>
      </w:divBdr>
    </w:div>
    <w:div w:id="1142575570">
      <w:bodyDiv w:val="1"/>
      <w:marLeft w:val="0"/>
      <w:marRight w:val="0"/>
      <w:marTop w:val="0"/>
      <w:marBottom w:val="0"/>
      <w:divBdr>
        <w:top w:val="none" w:sz="0" w:space="0" w:color="auto"/>
        <w:left w:val="none" w:sz="0" w:space="0" w:color="auto"/>
        <w:bottom w:val="none" w:sz="0" w:space="0" w:color="auto"/>
        <w:right w:val="none" w:sz="0" w:space="0" w:color="auto"/>
      </w:divBdr>
    </w:div>
    <w:div w:id="1236746103">
      <w:bodyDiv w:val="1"/>
      <w:marLeft w:val="0"/>
      <w:marRight w:val="0"/>
      <w:marTop w:val="0"/>
      <w:marBottom w:val="0"/>
      <w:divBdr>
        <w:top w:val="none" w:sz="0" w:space="0" w:color="auto"/>
        <w:left w:val="none" w:sz="0" w:space="0" w:color="auto"/>
        <w:bottom w:val="none" w:sz="0" w:space="0" w:color="auto"/>
        <w:right w:val="none" w:sz="0" w:space="0" w:color="auto"/>
      </w:divBdr>
    </w:div>
    <w:div w:id="1254124529">
      <w:bodyDiv w:val="1"/>
      <w:marLeft w:val="0"/>
      <w:marRight w:val="0"/>
      <w:marTop w:val="0"/>
      <w:marBottom w:val="0"/>
      <w:divBdr>
        <w:top w:val="none" w:sz="0" w:space="0" w:color="auto"/>
        <w:left w:val="none" w:sz="0" w:space="0" w:color="auto"/>
        <w:bottom w:val="none" w:sz="0" w:space="0" w:color="auto"/>
        <w:right w:val="none" w:sz="0" w:space="0" w:color="auto"/>
      </w:divBdr>
    </w:div>
    <w:div w:id="1315793164">
      <w:bodyDiv w:val="1"/>
      <w:marLeft w:val="0"/>
      <w:marRight w:val="0"/>
      <w:marTop w:val="0"/>
      <w:marBottom w:val="0"/>
      <w:divBdr>
        <w:top w:val="none" w:sz="0" w:space="0" w:color="auto"/>
        <w:left w:val="none" w:sz="0" w:space="0" w:color="auto"/>
        <w:bottom w:val="none" w:sz="0" w:space="0" w:color="auto"/>
        <w:right w:val="none" w:sz="0" w:space="0" w:color="auto"/>
      </w:divBdr>
    </w:div>
    <w:div w:id="1336806908">
      <w:bodyDiv w:val="1"/>
      <w:marLeft w:val="0"/>
      <w:marRight w:val="0"/>
      <w:marTop w:val="0"/>
      <w:marBottom w:val="0"/>
      <w:divBdr>
        <w:top w:val="none" w:sz="0" w:space="0" w:color="auto"/>
        <w:left w:val="none" w:sz="0" w:space="0" w:color="auto"/>
        <w:bottom w:val="none" w:sz="0" w:space="0" w:color="auto"/>
        <w:right w:val="none" w:sz="0" w:space="0" w:color="auto"/>
      </w:divBdr>
    </w:div>
    <w:div w:id="1405907181">
      <w:bodyDiv w:val="1"/>
      <w:marLeft w:val="0"/>
      <w:marRight w:val="0"/>
      <w:marTop w:val="0"/>
      <w:marBottom w:val="0"/>
      <w:divBdr>
        <w:top w:val="none" w:sz="0" w:space="0" w:color="auto"/>
        <w:left w:val="none" w:sz="0" w:space="0" w:color="auto"/>
        <w:bottom w:val="none" w:sz="0" w:space="0" w:color="auto"/>
        <w:right w:val="none" w:sz="0" w:space="0" w:color="auto"/>
      </w:divBdr>
    </w:div>
    <w:div w:id="1591697227">
      <w:bodyDiv w:val="1"/>
      <w:marLeft w:val="0"/>
      <w:marRight w:val="0"/>
      <w:marTop w:val="0"/>
      <w:marBottom w:val="0"/>
      <w:divBdr>
        <w:top w:val="none" w:sz="0" w:space="0" w:color="auto"/>
        <w:left w:val="none" w:sz="0" w:space="0" w:color="auto"/>
        <w:bottom w:val="none" w:sz="0" w:space="0" w:color="auto"/>
        <w:right w:val="none" w:sz="0" w:space="0" w:color="auto"/>
      </w:divBdr>
    </w:div>
    <w:div w:id="1804880984">
      <w:bodyDiv w:val="1"/>
      <w:marLeft w:val="0"/>
      <w:marRight w:val="0"/>
      <w:marTop w:val="0"/>
      <w:marBottom w:val="0"/>
      <w:divBdr>
        <w:top w:val="none" w:sz="0" w:space="0" w:color="auto"/>
        <w:left w:val="none" w:sz="0" w:space="0" w:color="auto"/>
        <w:bottom w:val="none" w:sz="0" w:space="0" w:color="auto"/>
        <w:right w:val="none" w:sz="0" w:space="0" w:color="auto"/>
      </w:divBdr>
    </w:div>
    <w:div w:id="1919553284">
      <w:bodyDiv w:val="1"/>
      <w:marLeft w:val="0"/>
      <w:marRight w:val="0"/>
      <w:marTop w:val="0"/>
      <w:marBottom w:val="0"/>
      <w:divBdr>
        <w:top w:val="none" w:sz="0" w:space="0" w:color="auto"/>
        <w:left w:val="none" w:sz="0" w:space="0" w:color="auto"/>
        <w:bottom w:val="none" w:sz="0" w:space="0" w:color="auto"/>
        <w:right w:val="none" w:sz="0" w:space="0" w:color="auto"/>
      </w:divBdr>
    </w:div>
    <w:div w:id="1934168472">
      <w:bodyDiv w:val="1"/>
      <w:marLeft w:val="0"/>
      <w:marRight w:val="0"/>
      <w:marTop w:val="0"/>
      <w:marBottom w:val="0"/>
      <w:divBdr>
        <w:top w:val="none" w:sz="0" w:space="0" w:color="auto"/>
        <w:left w:val="none" w:sz="0" w:space="0" w:color="auto"/>
        <w:bottom w:val="none" w:sz="0" w:space="0" w:color="auto"/>
        <w:right w:val="none" w:sz="0" w:space="0" w:color="auto"/>
      </w:divBdr>
    </w:div>
    <w:div w:id="1989284813">
      <w:bodyDiv w:val="1"/>
      <w:marLeft w:val="0"/>
      <w:marRight w:val="0"/>
      <w:marTop w:val="0"/>
      <w:marBottom w:val="0"/>
      <w:divBdr>
        <w:top w:val="none" w:sz="0" w:space="0" w:color="auto"/>
        <w:left w:val="none" w:sz="0" w:space="0" w:color="auto"/>
        <w:bottom w:val="none" w:sz="0" w:space="0" w:color="auto"/>
        <w:right w:val="none" w:sz="0" w:space="0" w:color="auto"/>
      </w:divBdr>
    </w:div>
    <w:div w:id="2013482917">
      <w:bodyDiv w:val="1"/>
      <w:marLeft w:val="0"/>
      <w:marRight w:val="0"/>
      <w:marTop w:val="0"/>
      <w:marBottom w:val="0"/>
      <w:divBdr>
        <w:top w:val="none" w:sz="0" w:space="0" w:color="auto"/>
        <w:left w:val="none" w:sz="0" w:space="0" w:color="auto"/>
        <w:bottom w:val="none" w:sz="0" w:space="0" w:color="auto"/>
        <w:right w:val="none" w:sz="0" w:space="0" w:color="auto"/>
      </w:divBdr>
    </w:div>
    <w:div w:id="2021270590">
      <w:bodyDiv w:val="1"/>
      <w:marLeft w:val="0"/>
      <w:marRight w:val="0"/>
      <w:marTop w:val="0"/>
      <w:marBottom w:val="0"/>
      <w:divBdr>
        <w:top w:val="none" w:sz="0" w:space="0" w:color="auto"/>
        <w:left w:val="none" w:sz="0" w:space="0" w:color="auto"/>
        <w:bottom w:val="none" w:sz="0" w:space="0" w:color="auto"/>
        <w:right w:val="none" w:sz="0" w:space="0" w:color="auto"/>
      </w:divBdr>
    </w:div>
    <w:div w:id="2034917577">
      <w:bodyDiv w:val="1"/>
      <w:marLeft w:val="0"/>
      <w:marRight w:val="0"/>
      <w:marTop w:val="0"/>
      <w:marBottom w:val="0"/>
      <w:divBdr>
        <w:top w:val="none" w:sz="0" w:space="0" w:color="auto"/>
        <w:left w:val="none" w:sz="0" w:space="0" w:color="auto"/>
        <w:bottom w:val="none" w:sz="0" w:space="0" w:color="auto"/>
        <w:right w:val="none" w:sz="0" w:space="0" w:color="auto"/>
      </w:divBdr>
    </w:div>
    <w:div w:id="2059469309">
      <w:bodyDiv w:val="1"/>
      <w:marLeft w:val="0"/>
      <w:marRight w:val="0"/>
      <w:marTop w:val="0"/>
      <w:marBottom w:val="0"/>
      <w:divBdr>
        <w:top w:val="none" w:sz="0" w:space="0" w:color="auto"/>
        <w:left w:val="none" w:sz="0" w:space="0" w:color="auto"/>
        <w:bottom w:val="none" w:sz="0" w:space="0" w:color="auto"/>
        <w:right w:val="none" w:sz="0" w:space="0" w:color="auto"/>
      </w:divBdr>
    </w:div>
    <w:div w:id="20639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9F80DC-0F8E-0A41-A144-8462AD64727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297C5-CCAA-5048-9D35-0FF0B9BE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7224</Words>
  <Characters>46164</Characters>
  <Application>Microsoft Office Word</Application>
  <DocSecurity>0</DocSecurity>
  <Lines>839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57</cp:revision>
  <dcterms:created xsi:type="dcterms:W3CDTF">2025-05-05T17:17:00Z</dcterms:created>
  <dcterms:modified xsi:type="dcterms:W3CDTF">2025-05-08T18:52:00Z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documentId_6904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zotero-version="6.0.37"&gt;&lt;session id="e6FXNwCV"/&gt;&lt;style id="http://www.zotero.org/styles/american-medical-association" hasBibliography="1" bibliographyStyleHasBeenSet="1"/&gt;&lt;prefs&gt;&lt;pref name="fieldType" value="Field"/&gt;&lt;/prefs&gt;&lt;/data&gt;</vt:lpwstr>
  </property>
</Properties>
</file>