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77777777" w:rsidR="00930605" w:rsidRDefault="00930605" w:rsidP="00930605">
      <w:pPr>
        <w:pStyle w:val="Title"/>
        <w:rPr>
          <w:b/>
          <w:szCs w:val="24"/>
        </w:rPr>
      </w:pPr>
      <w:r w:rsidRPr="005C4E19">
        <w:rPr>
          <w:b/>
          <w:szCs w:val="24"/>
        </w:rPr>
        <w:t>Due on</w:t>
      </w:r>
      <w:r>
        <w:rPr>
          <w:b/>
          <w:szCs w:val="24"/>
        </w:rPr>
        <w:t xml:space="preserve"> Tuesday</w:t>
      </w:r>
      <w:r w:rsidRPr="005C4E19">
        <w:rPr>
          <w:b/>
          <w:szCs w:val="24"/>
        </w:rPr>
        <w:t xml:space="preserve"> </w:t>
      </w:r>
      <w:r>
        <w:rPr>
          <w:b/>
          <w:szCs w:val="24"/>
        </w:rPr>
        <w:t>March 7, 2023</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77777777"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replicable 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77777777" w:rsidR="00C4176C" w:rsidRPr="005C4E19" w:rsidRDefault="00C4176C" w:rsidP="00B870D1">
            <w:pPr>
              <w:spacing w:after="120"/>
              <w:rPr>
                <w:rFonts w:cs="Times New Roman"/>
                <w:i/>
              </w:rPr>
            </w:pP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77777777" w:rsidR="00C4176C" w:rsidRPr="005C4E19" w:rsidRDefault="00C4176C" w:rsidP="00B870D1">
            <w:pPr>
              <w:spacing w:after="120"/>
              <w:rPr>
                <w:rFonts w:cs="Times New Roman"/>
                <w:i/>
              </w:rPr>
            </w:pP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5C4E19">
        <w:rPr>
          <w:b/>
          <w:szCs w:val="22"/>
          <w:u w:val="none"/>
        </w:rPr>
        <w:t>(2</w:t>
      </w:r>
      <w:r w:rsidRPr="005C4E19">
        <w:rPr>
          <w:bCs/>
          <w:szCs w:val="22"/>
          <w:u w:val="none"/>
        </w:rPr>
        <w:t>)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77777777" w:rsidR="00C4176C" w:rsidRPr="005C4E19" w:rsidRDefault="00C4176C" w:rsidP="00B870D1">
            <w:pPr>
              <w:pStyle w:val="Title"/>
              <w:jc w:val="left"/>
              <w:rPr>
                <w:i/>
                <w:szCs w:val="22"/>
                <w:u w:val="none"/>
              </w:rPr>
            </w:pP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77777777" w:rsidR="00C4176C" w:rsidRPr="005C4E19" w:rsidRDefault="00C4176C" w:rsidP="00B870D1">
                  <w:pPr>
                    <w:spacing w:before="120" w:after="120"/>
                    <w:jc w:val="center"/>
                  </w:pP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363005CA" w14:textId="4AAAF96D" w:rsidR="00506A27" w:rsidRPr="00E42194" w:rsidRDefault="00506A27" w:rsidP="00506A27">
      <w:pPr>
        <w:rPr>
          <w:rFonts w:cs="Times New Roman"/>
          <w:szCs w:val="24"/>
        </w:rPr>
      </w:pPr>
      <w:r w:rsidRPr="00E42194">
        <w:rPr>
          <w:rFonts w:cs="Times New Roman"/>
          <w:szCs w:val="24"/>
        </w:rPr>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lastRenderedPageBreak/>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1A9CDCB3" w:rsidR="00506A27" w:rsidRDefault="00506A27" w:rsidP="00506A27">
      <w:pPr>
        <w:pStyle w:val="Heading1"/>
      </w:pPr>
      <w:r w:rsidRPr="00C5572A">
        <w:t>Conceptual Questions</w:t>
      </w:r>
    </w:p>
    <w:p w14:paraId="0ECB8D5E" w14:textId="77777777" w:rsidR="00506A27" w:rsidRPr="00506A27" w:rsidRDefault="00506A27" w:rsidP="00506A27"/>
    <w:p w14:paraId="5E7838BB" w14:textId="18F5F1B3" w:rsidR="00506A27" w:rsidRDefault="00506A27" w:rsidP="00506A27">
      <w:pPr>
        <w:pStyle w:val="ListParagraph"/>
        <w:numPr>
          <w:ilvl w:val="0"/>
          <w:numId w:val="1"/>
        </w:numPr>
      </w:pPr>
      <w:r w:rsidRPr="00E42194">
        <w:t xml:space="preserve">Read the paper. </w:t>
      </w:r>
      <w:r>
        <w:t xml:space="preserve">In a couple of sentences, explain </w:t>
      </w:r>
      <w:r w:rsidRPr="00E42194">
        <w:t>the primary research question that the authors are trying to answer</w:t>
      </w:r>
      <w:r w:rsidR="00C87AB9">
        <w:t xml:space="preserve">. </w:t>
      </w:r>
      <w:r>
        <w:t>What is the key logic behind the authors’ answer? In a separate sentence, explain why policymakers should care about that question. Use non-technical jargon so that someone without statistical training could understand.</w:t>
      </w:r>
    </w:p>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43EB304D" w:rsidR="00B228E7" w:rsidRPr="005F6B9F" w:rsidRDefault="00B228E7" w:rsidP="00335E47">
            <w:pPr>
              <w:rPr>
                <w:rFonts w:cs="Times New Roman"/>
                <w:i/>
              </w:rPr>
            </w:pPr>
          </w:p>
        </w:tc>
      </w:tr>
    </w:tbl>
    <w:p w14:paraId="6C8EADF4" w14:textId="77777777" w:rsidR="00B228E7" w:rsidRDefault="00B228E7" w:rsidP="00B228E7">
      <w:pPr>
        <w:pStyle w:val="ListParagraph"/>
        <w:ind w:left="720"/>
      </w:pPr>
    </w:p>
    <w:p w14:paraId="630E95A6" w14:textId="437DBE8F" w:rsidR="009D1CE6" w:rsidRDefault="000404E3" w:rsidP="000404E3">
      <w:pPr>
        <w:pStyle w:val="ListParagraph"/>
        <w:numPr>
          <w:ilvl w:val="0"/>
          <w:numId w:val="1"/>
        </w:numPr>
      </w:pPr>
      <w:r w:rsidRPr="00E42194">
        <w:t xml:space="preserve">The authors used an instrumental variable approach because they believed a </w:t>
      </w:r>
      <w:r>
        <w:t>naïve observational</w:t>
      </w:r>
      <w:r w:rsidRPr="00E42194">
        <w:t xml:space="preserve"> </w:t>
      </w:r>
      <w:r>
        <w:t>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would bias the results from </w:t>
      </w:r>
      <w:r>
        <w:t>this regression</w:t>
      </w:r>
      <w:r w:rsidRPr="00E42194">
        <w:t>? Explain the mechanism of the omitted variable and use the omitted variable bias formula to argue whether it would lead to an understatement or overstatement of the true effect.</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7673CE77" w14:textId="77777777" w:rsidR="000404E3" w:rsidRPr="008715A7" w:rsidRDefault="000404E3" w:rsidP="00052372">
            <w:pPr>
              <w:rPr>
                <w:i/>
              </w:rPr>
            </w:pP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6A10A471" w:rsidR="009D1CE6" w:rsidRDefault="009D1CE6" w:rsidP="000404E3">
      <w:pPr>
        <w:pStyle w:val="ListParagraph"/>
        <w:numPr>
          <w:ilvl w:val="0"/>
          <w:numId w:val="1"/>
        </w:numPr>
      </w:pPr>
      <w:r w:rsidRPr="00E42194">
        <w:t>What is/are the instrument(s) used by the authors in this study</w:t>
      </w:r>
      <w:r>
        <w:t>, and what are those instruments instrumenting for?</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4FD4768" w:rsidR="00B767D1" w:rsidRPr="005F6B9F" w:rsidRDefault="00B767D1" w:rsidP="00335E47">
            <w:pPr>
              <w:rPr>
                <w:rFonts w:cs="Times New Roman"/>
                <w:i/>
              </w:rPr>
            </w:pP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1D2AFEE3" w14:textId="77777777" w:rsidR="009D1CE6" w:rsidRDefault="009D1CE6" w:rsidP="000404E3">
      <w:pPr>
        <w:pStyle w:val="ListParagraph"/>
        <w:numPr>
          <w:ilvl w:val="0"/>
          <w:numId w:val="1"/>
        </w:numPr>
      </w:pPr>
      <w:r w:rsidRPr="00E42194">
        <w:t xml:space="preserve">Generally, what characteristics must an instrument have for it to be considered valid? </w:t>
      </w:r>
    </w:p>
    <w:p w14:paraId="31406116" w14:textId="650AC429" w:rsidR="009D1CE6" w:rsidRDefault="009D1CE6" w:rsidP="000404E3">
      <w:pPr>
        <w:pStyle w:val="ListParagraph"/>
        <w:numPr>
          <w:ilvl w:val="1"/>
          <w:numId w:val="1"/>
        </w:numPr>
      </w:pPr>
      <w:r w:rsidRPr="00E42194">
        <w:t>Explain these characteristics in</w:t>
      </w:r>
      <w:r>
        <w:t xml:space="preserve"> words, and</w:t>
      </w:r>
      <w:r w:rsidRPr="00E42194">
        <w:t xml:space="preserve"> specific terms of the instrument(s) used in the paper.</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p w14:paraId="6A16C5E8" w14:textId="7D13FA9E" w:rsidR="000F410B" w:rsidRPr="00C263BB" w:rsidRDefault="000F410B" w:rsidP="00C263BB">
            <w:pPr>
              <w:rPr>
                <w:i/>
              </w:rPr>
            </w:pPr>
          </w:p>
        </w:tc>
      </w:tr>
    </w:tbl>
    <w:p w14:paraId="1AC3DA7B" w14:textId="77777777" w:rsidR="000F410B" w:rsidRDefault="000F410B" w:rsidP="000F410B"/>
    <w:p w14:paraId="0DD96814" w14:textId="1DF2F7F6" w:rsidR="009D1CE6" w:rsidRDefault="009D1CE6" w:rsidP="000404E3">
      <w:pPr>
        <w:pStyle w:val="ListParagraph"/>
        <w:numPr>
          <w:ilvl w:val="1"/>
          <w:numId w:val="1"/>
        </w:numPr>
      </w:pPr>
      <w:r>
        <w:t xml:space="preserve">Explain these characteristics using random variables and potential outcomes. </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7FF5BA60" w14:textId="6BF572D9" w:rsidR="00AD200A" w:rsidRPr="00D45782" w:rsidRDefault="00AD200A" w:rsidP="00D45782">
            <w:pPr>
              <w:rPr>
                <w:b/>
                <w:bCs/>
                <w:i/>
                <w:lang w:val="es-PE"/>
              </w:rPr>
            </w:pPr>
          </w:p>
        </w:tc>
      </w:tr>
    </w:tbl>
    <w:p w14:paraId="0D1F59A2" w14:textId="3853CBB4" w:rsidR="009D1CE6" w:rsidRDefault="009D1CE6" w:rsidP="009D1CE6">
      <w:pPr>
        <w:pStyle w:val="ListParagraph"/>
        <w:ind w:left="1440"/>
      </w:pPr>
    </w:p>
    <w:p w14:paraId="01BA954E" w14:textId="6DFE8DCD" w:rsidR="00AD200A" w:rsidRDefault="00AD200A" w:rsidP="009D1CE6">
      <w:pPr>
        <w:pStyle w:val="ListParagraph"/>
        <w:ind w:left="1440"/>
      </w:pPr>
    </w:p>
    <w:p w14:paraId="5992E1B7" w14:textId="77777777" w:rsidR="00AD200A" w:rsidRDefault="00AD200A" w:rsidP="009D1CE6">
      <w:pPr>
        <w:pStyle w:val="ListParagraph"/>
        <w:ind w:left="1440"/>
      </w:pPr>
    </w:p>
    <w:p w14:paraId="30E64DC5" w14:textId="39B6F039"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If not, provide an alternate mechanism for how </w:t>
      </w:r>
      <w:r>
        <w:t>the exogeneity assumption may be violated</w:t>
      </w:r>
      <w:r w:rsidRPr="00E42194">
        <w:t xml:space="preserve">. </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2999674C" w:rsidR="00AD200A" w:rsidRPr="00225FAB" w:rsidRDefault="00AD200A" w:rsidP="00D45782">
            <w:pPr>
              <w:rPr>
                <w:i/>
              </w:rPr>
            </w:pPr>
          </w:p>
        </w:tc>
      </w:tr>
    </w:tbl>
    <w:p w14:paraId="6FC811CA" w14:textId="695F755B" w:rsidR="00AD200A" w:rsidRDefault="00AD200A" w:rsidP="00AD200A">
      <w:pPr>
        <w:pStyle w:val="ListParagraph"/>
        <w:ind w:left="720"/>
      </w:pPr>
    </w:p>
    <w:p w14:paraId="0E261162" w14:textId="6575909A" w:rsidR="00AD200A" w:rsidRDefault="00AD200A" w:rsidP="00AD200A">
      <w:pPr>
        <w:pStyle w:val="ListParagraph"/>
        <w:ind w:left="720"/>
      </w:pPr>
    </w:p>
    <w:p w14:paraId="6A394008" w14:textId="77777777" w:rsidR="00AD200A" w:rsidRDefault="00AD200A" w:rsidP="00AD200A">
      <w:pPr>
        <w:pStyle w:val="ListParagraph"/>
        <w:ind w:left="720"/>
      </w:pPr>
    </w:p>
    <w:p w14:paraId="25212C83" w14:textId="77777777" w:rsidR="00D535AB" w:rsidRDefault="00D535AB" w:rsidP="00D535AB">
      <w:pPr>
        <w:pStyle w:val="ListParagraph"/>
        <w:ind w:left="720"/>
      </w:pPr>
    </w:p>
    <w:p w14:paraId="2C638D85" w14:textId="60DC67D2"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 xml:space="preserve">). </w:t>
      </w:r>
      <w:r>
        <w:t>In the following parts a – c, provide interpretations with concrete units, in a way a policymaker can understand.</w:t>
      </w:r>
    </w:p>
    <w:p w14:paraId="294CEBA2" w14:textId="2BF42E17" w:rsidR="0084085C" w:rsidRDefault="00207145" w:rsidP="0084085C">
      <w:pPr>
        <w:pStyle w:val="ListParagraph"/>
        <w:numPr>
          <w:ilvl w:val="1"/>
          <w:numId w:val="1"/>
        </w:numPr>
      </w:pPr>
      <w:r>
        <w:t>Explain how Table 1 is constructed</w:t>
      </w:r>
      <w:r w:rsidR="00FD2E68">
        <w:t>, and give some intuition for the authors’ choices.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3CFEFD56" w:rsidR="00FD2E68" w:rsidRPr="0029282D" w:rsidRDefault="00FD2E68" w:rsidP="00335E47">
            <w:pPr>
              <w:rPr>
                <w:i/>
              </w:rPr>
            </w:pPr>
            <w:r>
              <w:rPr>
                <w:i/>
              </w:rPr>
              <w:t xml:space="preserve"> </w:t>
            </w:r>
          </w:p>
        </w:tc>
      </w:tr>
    </w:tbl>
    <w:p w14:paraId="3C3C0CD6" w14:textId="77777777" w:rsidR="0084085C" w:rsidRDefault="0084085C" w:rsidP="0084085C">
      <w:pPr>
        <w:pStyle w:val="ListParagraph"/>
        <w:ind w:left="1440"/>
      </w:pPr>
    </w:p>
    <w:p w14:paraId="5F95767F" w14:textId="01FAB7F6"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of the 1930-1939 cohort.</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248E4944" w14:textId="1D4992AD" w:rsidR="00B93337" w:rsidRPr="00D45782" w:rsidRDefault="00B93337" w:rsidP="00D45782">
            <w:pPr>
              <w:rPr>
                <w:i/>
              </w:rPr>
            </w:pPr>
          </w:p>
        </w:tc>
      </w:tr>
    </w:tbl>
    <w:p w14:paraId="10D23B5C" w14:textId="77777777" w:rsidR="00FD2E68" w:rsidRDefault="00FD2E68" w:rsidP="00B93337"/>
    <w:p w14:paraId="060955CD" w14:textId="4307E65B" w:rsidR="00207145" w:rsidRDefault="00D535AB" w:rsidP="000404E3">
      <w:pPr>
        <w:pStyle w:val="ListParagraph"/>
        <w:numPr>
          <w:ilvl w:val="1"/>
          <w:numId w:val="1"/>
        </w:numPr>
      </w:pPr>
      <w:r>
        <w:t>Why do the authors estimate coefficient</w:t>
      </w:r>
      <w:r w:rsidR="00207145">
        <w:t xml:space="preserve">s for the bottom part of Table 1 (“College graduate”, “Completed master’s degree”, “Completed doctoral degree”)? </w:t>
      </w:r>
      <w:r w:rsidR="00B02F9F">
        <w:t>How do the results support the validity of their instrument? What assumption of the IV model are they addressing here?</w:t>
      </w:r>
    </w:p>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5610562D" w14:textId="29BB9991" w:rsidR="00CB24EF" w:rsidRPr="00B93337" w:rsidRDefault="00CB24EF" w:rsidP="00B93337">
            <w:pPr>
              <w:rPr>
                <w:i/>
              </w:rPr>
            </w:pPr>
          </w:p>
        </w:tc>
      </w:tr>
    </w:tbl>
    <w:p w14:paraId="2C752C67" w14:textId="77777777" w:rsidR="00DA3FB8" w:rsidRPr="009012B5" w:rsidRDefault="00DA3FB8" w:rsidP="00005D63"/>
    <w:p w14:paraId="107CFE5F" w14:textId="35EEA6D1" w:rsidR="00AC517A" w:rsidRDefault="00AC517A" w:rsidP="000404E3">
      <w:pPr>
        <w:pStyle w:val="ListParagraph"/>
        <w:numPr>
          <w:ilvl w:val="0"/>
          <w:numId w:val="1"/>
        </w:numPr>
      </w:pPr>
      <w:r>
        <w:lastRenderedPageBreak/>
        <w:t>Consider Table III and Table IV. Provide a</w:t>
      </w:r>
      <w:r w:rsidR="00CB24EF">
        <w:t xml:space="preserve"> general</w:t>
      </w:r>
      <w:r>
        <w:t xml:space="preserve"> formula and a basic intuition for the Wald estimator. How does it compare to the OLS estimate? What is the advantage of using TSLS?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768EAC6A" w14:textId="1CFF2014" w:rsidR="003456C6" w:rsidRPr="00DF4F27" w:rsidRDefault="003456C6" w:rsidP="00335E47">
            <w:pPr>
              <w:rPr>
                <w:rFonts w:eastAsiaTheme="minorEastAsia"/>
                <w:i/>
              </w:rPr>
            </w:pPr>
          </w:p>
        </w:tc>
      </w:tr>
    </w:tbl>
    <w:p w14:paraId="328B68B5" w14:textId="34316914" w:rsidR="00CB24EF" w:rsidRDefault="00CB24EF" w:rsidP="00CB24EF">
      <w:pPr>
        <w:pStyle w:val="ListParagraph"/>
        <w:ind w:left="720"/>
      </w:pPr>
    </w:p>
    <w:p w14:paraId="041ED16A" w14:textId="5DCFE23E" w:rsidR="003456C6" w:rsidRDefault="003456C6" w:rsidP="003456C6">
      <w:pPr>
        <w:pStyle w:val="ListParagraph"/>
        <w:numPr>
          <w:ilvl w:val="0"/>
          <w:numId w:val="1"/>
        </w:numPr>
      </w:pPr>
      <w:r>
        <w:t>How would you construct a reduced form table? What would be the purpose thereof?</w:t>
      </w:r>
      <w:r w:rsidR="009E1CDC">
        <w:t xml:space="preserve"> What figure in the paper fulfills this purpose?</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05B45F7C" w14:textId="6AE35EC4" w:rsidR="003456C6" w:rsidRPr="00A27C41" w:rsidRDefault="003456C6" w:rsidP="009E1CDC">
            <w:pPr>
              <w:rPr>
                <w:i/>
              </w:rPr>
            </w:pPr>
          </w:p>
        </w:tc>
      </w:tr>
    </w:tbl>
    <w:p w14:paraId="6EDF35C6" w14:textId="1385AF98" w:rsidR="003456C6" w:rsidRDefault="003456C6" w:rsidP="00184ED1"/>
    <w:p w14:paraId="51F9FB37" w14:textId="77777777" w:rsidR="00184ED1" w:rsidRDefault="00184ED1" w:rsidP="00184ED1">
      <w:pPr>
        <w:pStyle w:val="ListParagraph"/>
        <w:numPr>
          <w:ilvl w:val="0"/>
          <w:numId w:val="1"/>
        </w:numPr>
      </w:pPr>
      <w:r>
        <w:t xml:space="preserve">Subsequent papers have found the instrument to be weak for some specifications of the paper. </w:t>
      </w:r>
    </w:p>
    <w:p w14:paraId="7E274EE9" w14:textId="77777777" w:rsidR="00184ED1" w:rsidRDefault="00184ED1" w:rsidP="00184ED1">
      <w:pPr>
        <w:pStyle w:val="ListParagraph"/>
        <w:numPr>
          <w:ilvl w:val="1"/>
          <w:numId w:val="1"/>
        </w:numPr>
      </w:pPr>
      <w:r>
        <w:t>Provide an intuition for the reason why weak instruments are problematic.</w:t>
      </w: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2FB7749F" w:rsidR="00184ED1" w:rsidRPr="00DF4F27" w:rsidRDefault="00184ED1" w:rsidP="00BB1A88">
            <w:pPr>
              <w:rPr>
                <w:rFonts w:eastAsiaTheme="minorEastAsia"/>
                <w:i/>
              </w:rPr>
            </w:pPr>
          </w:p>
        </w:tc>
      </w:tr>
    </w:tbl>
    <w:p w14:paraId="078B4DC8" w14:textId="77777777" w:rsidR="00184ED1" w:rsidRDefault="00184ED1" w:rsidP="00184ED1"/>
    <w:p w14:paraId="063397B9" w14:textId="77777777" w:rsidR="00184ED1" w:rsidRDefault="00184ED1" w:rsidP="00184ED1">
      <w:pPr>
        <w:pStyle w:val="ListParagraph"/>
        <w:numPr>
          <w:ilvl w:val="1"/>
          <w:numId w:val="1"/>
        </w:numPr>
      </w:pPr>
      <w:r>
        <w:rPr>
          <w:noProof/>
        </w:rPr>
        <w:drawing>
          <wp:anchor distT="0" distB="0" distL="114300" distR="114300" simplePos="0" relativeHeight="251660288" behindDoc="0" locked="0" layoutInCell="1" allowOverlap="1" wp14:anchorId="2E23ABDB" wp14:editId="2984B9EA">
            <wp:simplePos x="0" y="0"/>
            <wp:positionH relativeFrom="column">
              <wp:posOffset>668444</wp:posOffset>
            </wp:positionH>
            <wp:positionV relativeFrom="paragraph">
              <wp:posOffset>356870</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r>
        <w:t>Read the following, explain the intuition, and explain the implications for weak instruments.</w:t>
      </w:r>
    </w:p>
    <w:p w14:paraId="0450522D" w14:textId="77777777" w:rsidR="00184ED1" w:rsidRDefault="00184ED1" w:rsidP="00184ED1">
      <w:pPr>
        <w:pStyle w:val="ListParagraph"/>
        <w:ind w:left="720"/>
      </w:pP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77777777"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77777777" w:rsidR="00184ED1" w:rsidRDefault="00184ED1" w:rsidP="00184ED1">
      <w:pPr>
        <w:pStyle w:val="ListParagraph"/>
        <w:numPr>
          <w:ilvl w:val="1"/>
          <w:numId w:val="1"/>
        </w:numPr>
      </w:pPr>
      <w:r>
        <w:t>How is the effective F-statistic constructed?</w:t>
      </w:r>
    </w:p>
    <w:p w14:paraId="429C2D93" w14:textId="77777777" w:rsidR="00184ED1" w:rsidRPr="00F44E8A" w:rsidRDefault="00184ED1" w:rsidP="00184ED1">
      <w:pPr>
        <w:pStyle w:val="ListParagraph"/>
        <w:numPr>
          <w:ilvl w:val="1"/>
          <w:numId w:val="1"/>
        </w:numPr>
      </w:pPr>
      <w:r>
        <w:t>How are Anderson-Rubin confidence sets constructed?</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774F0946"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p w14:paraId="0AAE0B73" w14:textId="77777777" w:rsidR="00184ED1" w:rsidRDefault="00184ED1" w:rsidP="00184ED1"/>
    <w:p w14:paraId="7259EC9E" w14:textId="05951AA5" w:rsidR="00AC517A" w:rsidRDefault="00AC517A" w:rsidP="00AC517A">
      <w:pPr>
        <w:pStyle w:val="ListParagraph"/>
        <w:ind w:left="720"/>
      </w:pPr>
    </w:p>
    <w:p w14:paraId="442BF1A0" w14:textId="64E15E1D" w:rsidR="00184ED1" w:rsidRDefault="00184ED1" w:rsidP="00AC517A">
      <w:pPr>
        <w:pStyle w:val="ListParagraph"/>
        <w:ind w:left="720"/>
      </w:pPr>
    </w:p>
    <w:p w14:paraId="34E47A51" w14:textId="77777777" w:rsidR="00184ED1" w:rsidRDefault="00184ED1" w:rsidP="00AC517A">
      <w:pPr>
        <w:pStyle w:val="ListParagraph"/>
        <w:ind w:left="720"/>
      </w:pPr>
    </w:p>
    <w:p w14:paraId="0EA8858A" w14:textId="3491783C" w:rsidR="00184ED1" w:rsidRDefault="00184ED1" w:rsidP="00184ED1">
      <w:r>
        <w:rPr>
          <w:rFonts w:eastAsiaTheme="majorEastAsia"/>
          <w:noProof/>
        </w:rPr>
        <w:drawing>
          <wp:anchor distT="0" distB="0" distL="114300" distR="114300" simplePos="0" relativeHeight="251662336" behindDoc="0" locked="0" layoutInCell="1" allowOverlap="1" wp14:anchorId="4BBE581C" wp14:editId="09818426">
            <wp:simplePos x="0" y="0"/>
            <wp:positionH relativeFrom="column">
              <wp:posOffset>552091</wp:posOffset>
            </wp:positionH>
            <wp:positionV relativeFrom="paragraph">
              <wp:posOffset>8064</wp:posOffset>
            </wp:positionV>
            <wp:extent cx="4800600" cy="3548719"/>
            <wp:effectExtent l="0" t="0" r="0" b="0"/>
            <wp:wrapThrough wrapText="bothSides">
              <wp:wrapPolygon edited="0">
                <wp:start x="0" y="0"/>
                <wp:lineTo x="0" y="21492"/>
                <wp:lineTo x="21543" y="21492"/>
                <wp:lineTo x="21543" y="0"/>
                <wp:lineTo x="0" y="0"/>
              </wp:wrapPolygon>
            </wp:wrapThrough>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10.b.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548719"/>
                    </a:xfrm>
                    <a:prstGeom prst="rect">
                      <a:avLst/>
                    </a:prstGeom>
                  </pic:spPr>
                </pic:pic>
              </a:graphicData>
            </a:graphic>
            <wp14:sizeRelH relativeFrom="page">
              <wp14:pctWidth>0</wp14:pctWidth>
            </wp14:sizeRelH>
            <wp14:sizeRelV relativeFrom="page">
              <wp14:pctHeight>0</wp14:pctHeight>
            </wp14:sizeRelV>
          </wp:anchor>
        </w:drawing>
      </w:r>
    </w:p>
    <w:p w14:paraId="0BB6AE05" w14:textId="77777777" w:rsidR="003456C6" w:rsidRDefault="003456C6" w:rsidP="003456C6">
      <w:pPr>
        <w:pStyle w:val="ListParagraph"/>
        <w:ind w:left="720"/>
      </w:pPr>
    </w:p>
    <w:p w14:paraId="363D38BD" w14:textId="77777777" w:rsidR="00B02F9F" w:rsidRDefault="00B02F9F" w:rsidP="00B02F9F">
      <w:pPr>
        <w:pStyle w:val="ListParagraph"/>
        <w:ind w:left="720"/>
      </w:pPr>
    </w:p>
    <w:p w14:paraId="3FA87997" w14:textId="728BA4B3" w:rsidR="00AC517A" w:rsidRDefault="00AC517A" w:rsidP="00AC517A">
      <w:pPr>
        <w:ind w:left="360"/>
      </w:pPr>
    </w:p>
    <w:p w14:paraId="29B9E84F" w14:textId="77777777" w:rsidR="003456C6" w:rsidRDefault="003456C6">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C5572A" w:rsidRDefault="00AC517A" w:rsidP="00AC517A">
      <w:pPr>
        <w:pStyle w:val="Heading1"/>
      </w:pPr>
      <w:r w:rsidRPr="00C5572A">
        <w:lastRenderedPageBreak/>
        <w:t>The Local Average Treatment Effect</w:t>
      </w:r>
    </w:p>
    <w:p w14:paraId="462D5A9C" w14:textId="77777777" w:rsidR="00AC517A" w:rsidRDefault="00AC517A" w:rsidP="00AC517A">
      <w:pPr>
        <w:pStyle w:val="ListParagraph"/>
        <w:ind w:left="720"/>
      </w:pPr>
    </w:p>
    <w:p w14:paraId="54F9F760" w14:textId="5669C060"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proofErr w:type="spellStart"/>
      <w:r>
        <w:t>defiers</w:t>
      </w:r>
      <w:proofErr w:type="spellEnd"/>
      <w:r w:rsidRPr="00E42194">
        <w:t xml:space="preserve"> do not exist? </w:t>
      </w:r>
      <w:r>
        <w:t xml:space="preserve"> </w:t>
      </w:r>
      <w:r w:rsidRPr="005401C2">
        <w:t xml:space="preserve"> </w:t>
      </w:r>
      <w:r>
        <w:t>In your explanation, be sure to touch on w</w:t>
      </w:r>
      <w:r w:rsidRPr="00E42194">
        <w:t>hat does it mean</w:t>
      </w:r>
      <w:r>
        <w:t xml:space="preserve">s </w:t>
      </w:r>
      <w:r w:rsidRPr="00E42194">
        <w:t xml:space="preserve">to be a </w:t>
      </w:r>
      <w:proofErr w:type="spellStart"/>
      <w:r w:rsidRPr="00E42194">
        <w:t>defier</w:t>
      </w:r>
      <w:proofErr w:type="spellEnd"/>
      <w:r w:rsidRPr="00E42194">
        <w:t xml:space="preserve"> in this study</w:t>
      </w:r>
      <w:r>
        <w:t>.</w:t>
      </w:r>
    </w:p>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C1E03D5" w:rsidR="00D429DA" w:rsidRPr="00D45782" w:rsidRDefault="00D429DA" w:rsidP="00D45782">
            <w:pPr>
              <w:rPr>
                <w:bCs/>
                <w:i/>
              </w:rPr>
            </w:pPr>
          </w:p>
        </w:tc>
      </w:tr>
    </w:tbl>
    <w:p w14:paraId="32079F90" w14:textId="77777777" w:rsidR="00AC517A" w:rsidRPr="00E42194" w:rsidRDefault="00AC517A" w:rsidP="00AC517A">
      <w:pPr>
        <w:rPr>
          <w:rFonts w:cs="Times New Roman"/>
          <w:szCs w:val="24"/>
        </w:rPr>
      </w:pPr>
    </w:p>
    <w:p w14:paraId="69811726" w14:textId="630EB1DB"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4CF04415" w14:textId="77777777" w:rsidR="00335E47" w:rsidRPr="00E42194" w:rsidRDefault="00335E47" w:rsidP="00335E47">
      <w:pPr>
        <w:rPr>
          <w:rFonts w:cs="Times New Roman"/>
          <w:szCs w:val="24"/>
        </w:rPr>
      </w:pPr>
    </w:p>
    <w:p w14:paraId="17433901" w14:textId="77777777" w:rsidR="00335E47" w:rsidRDefault="00335E47" w:rsidP="00335E47">
      <w:pPr>
        <w:pStyle w:val="ListParagraph"/>
        <w:ind w:left="720"/>
      </w:pPr>
    </w:p>
    <w:p w14:paraId="04790FFC" w14:textId="77777777" w:rsidR="00AC517A" w:rsidRPr="009012B5" w:rsidRDefault="00AC517A" w:rsidP="00AC517A"/>
    <w:p w14:paraId="21F03380" w14:textId="77777777" w:rsidR="00AC517A" w:rsidRPr="009012B5" w:rsidRDefault="00AC517A" w:rsidP="007F02D0">
      <w:pPr>
        <w:pStyle w:val="ListParagraph"/>
        <w:numPr>
          <w:ilvl w:val="0"/>
          <w:numId w:val="1"/>
        </w:numPr>
      </w:pPr>
      <w:r>
        <w:t>With 3-5 sentences, d</w:t>
      </w:r>
      <w:r w:rsidRPr="00E42194">
        <w:t xml:space="preserve">iscuss the </w:t>
      </w:r>
      <w:r>
        <w:t xml:space="preserve">how </w:t>
      </w:r>
      <w:r w:rsidRPr="00E42194">
        <w:t xml:space="preserve">you believe these results </w:t>
      </w:r>
      <w:r>
        <w:t>inform policy outside of the specified context</w:t>
      </w:r>
      <w:r w:rsidRPr="00E42194">
        <w:t xml:space="preserve">.  </w:t>
      </w:r>
      <w:r>
        <w:t xml:space="preserve">In your discussion, be sure to touch on the problems specific to generalizing from </w:t>
      </w:r>
      <w:r w:rsidRPr="00E42194">
        <w:t>instrumental variable</w:t>
      </w:r>
      <w:r>
        <w:t xml:space="preserve"> findings and the particular scope conditions of this paper’s findings.</w:t>
      </w: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224CD993" w:rsidR="00AC517A" w:rsidRDefault="00AC517A" w:rsidP="00AC517A">
      <w:pPr>
        <w:pStyle w:val="Heading1"/>
      </w:pPr>
      <w:r w:rsidRPr="00C5572A">
        <w:lastRenderedPageBreak/>
        <w:t>Data Analysis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DA9020F" w:rsidR="00CE33AA" w:rsidRDefault="002C0D34" w:rsidP="007F02D0">
      <w:pPr>
        <w:pStyle w:val="ListParagraph"/>
        <w:numPr>
          <w:ilvl w:val="0"/>
          <w:numId w:val="1"/>
        </w:numPr>
      </w:pPr>
      <w:r>
        <w:t>Figure I can be thought of as a “graphical first-stage”, as it shows the mean of completed years of education by quarter of birth for each year of birth between 1930 and 1940. Replicate Figure I</w:t>
      </w:r>
      <w:r w:rsidR="00A26BEE">
        <w:t>. You can</w:t>
      </w:r>
      <w:r>
        <w:t xml:space="preserve"> highlight the mean of years of education of those born in the first quarter (for each year</w:t>
      </w:r>
      <w:r w:rsidR="00A26BEE">
        <w:t xml:space="preserve"> between 1930 and 1940</w:t>
      </w:r>
      <w:r>
        <w:t xml:space="preserve">). </w:t>
      </w:r>
    </w:p>
    <w:p w14:paraId="67C0D23D" w14:textId="619CE1A1" w:rsidR="00A75445" w:rsidRPr="00A75445" w:rsidRDefault="00A75445" w:rsidP="00A75445">
      <w:pPr>
        <w:pStyle w:val="ListParagraph"/>
        <w:ind w:left="720"/>
        <w:rPr>
          <w:i/>
          <w:iCs/>
        </w:rPr>
      </w:pPr>
      <w:r>
        <w:rPr>
          <w:i/>
          <w:iCs/>
        </w:rPr>
        <w:t>Hint: you may want to create year of birth and quarter of birth dummies. They will also be useful for the following questions.</w:t>
      </w:r>
    </w:p>
    <w:p w14:paraId="69A6AD43" w14:textId="151E98E6" w:rsidR="00A26BEE" w:rsidRDefault="00A75445" w:rsidP="00A26BEE">
      <w:pPr>
        <w:pStyle w:val="ListParagraph"/>
        <w:ind w:left="720"/>
      </w:pPr>
      <w:r>
        <w:rPr>
          <w:noProof/>
        </w:rPr>
        <w:drawing>
          <wp:anchor distT="0" distB="0" distL="114300" distR="114300" simplePos="0" relativeHeight="251658240" behindDoc="0" locked="0" layoutInCell="1" allowOverlap="1" wp14:anchorId="676496A2" wp14:editId="2914CD46">
            <wp:simplePos x="0" y="0"/>
            <wp:positionH relativeFrom="column">
              <wp:posOffset>939377</wp:posOffset>
            </wp:positionH>
            <wp:positionV relativeFrom="paragraph">
              <wp:posOffset>321945</wp:posOffset>
            </wp:positionV>
            <wp:extent cx="4227830" cy="2497455"/>
            <wp:effectExtent l="0" t="0" r="1270" b="444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eg"/>
                    <pic:cNvPicPr/>
                  </pic:nvPicPr>
                  <pic:blipFill>
                    <a:blip r:embed="rId10">
                      <a:extLst>
                        <a:ext uri="{28A0092B-C50C-407E-A947-70E740481C1C}">
                          <a14:useLocalDpi xmlns:a14="http://schemas.microsoft.com/office/drawing/2010/main" val="0"/>
                        </a:ext>
                      </a:extLst>
                    </a:blip>
                    <a:stretch>
                      <a:fillRect/>
                    </a:stretch>
                  </pic:blipFill>
                  <pic:spPr>
                    <a:xfrm>
                      <a:off x="0" y="0"/>
                      <a:ext cx="4227830" cy="2497455"/>
                    </a:xfrm>
                    <a:prstGeom prst="rect">
                      <a:avLst/>
                    </a:prstGeom>
                  </pic:spPr>
                </pic:pic>
              </a:graphicData>
            </a:graphic>
            <wp14:sizeRelH relativeFrom="margin">
              <wp14:pctWidth>0</wp14:pctWidth>
            </wp14:sizeRelH>
            <wp14:sizeRelV relativeFrom="margin">
              <wp14:pctHeight>0</wp14:pctHeight>
            </wp14:sizeRelV>
          </wp:anchor>
        </w:drawing>
      </w:r>
    </w:p>
    <w:p w14:paraId="7253E003" w14:textId="3EA683E4" w:rsidR="00A26BEE" w:rsidRDefault="00A26BEE" w:rsidP="00A26BEE">
      <w:pPr>
        <w:pStyle w:val="ListParagraph"/>
        <w:ind w:left="720"/>
      </w:pPr>
    </w:p>
    <w:p w14:paraId="3A8D60EE" w14:textId="77777777" w:rsidR="00A26BEE" w:rsidRDefault="00A26BEE" w:rsidP="00A26BEE">
      <w:pPr>
        <w:pStyle w:val="ListParagraph"/>
        <w:ind w:left="720"/>
      </w:pPr>
    </w:p>
    <w:p w14:paraId="515849C8" w14:textId="69DE27DC" w:rsidR="002C0D34" w:rsidRDefault="002C0D34" w:rsidP="002C0D34">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2B2FE97F" w:rsidR="00D8185A" w:rsidRPr="005F6B9F" w:rsidRDefault="00D8185A" w:rsidP="00837859">
            <w:pPr>
              <w:rPr>
                <w:rFonts w:cs="Times New Roman"/>
                <w:i/>
              </w:rPr>
            </w:pPr>
          </w:p>
        </w:tc>
      </w:tr>
    </w:tbl>
    <w:p w14:paraId="0AAC14AB" w14:textId="0DBC7DAF" w:rsidR="00A75445" w:rsidRDefault="00A75445" w:rsidP="002C0D34">
      <w:pPr>
        <w:pStyle w:val="ListParagraph"/>
        <w:ind w:left="720"/>
      </w:pPr>
    </w:p>
    <w:p w14:paraId="799ED992" w14:textId="5E0DA156" w:rsidR="00A75445" w:rsidRDefault="00A75445" w:rsidP="002C0D34">
      <w:pPr>
        <w:pStyle w:val="ListParagraph"/>
        <w:ind w:left="720"/>
      </w:pPr>
    </w:p>
    <w:p w14:paraId="4BF33E47" w14:textId="77777777" w:rsidR="00A75445" w:rsidRDefault="00A75445" w:rsidP="002C0D34">
      <w:pPr>
        <w:pStyle w:val="ListParagraph"/>
        <w:ind w:left="720"/>
      </w:pPr>
    </w:p>
    <w:p w14:paraId="3234B8AF" w14:textId="41638B2C" w:rsidR="008D5F4E" w:rsidRPr="00F70B34" w:rsidRDefault="00A75445" w:rsidP="00F70B34">
      <w:pPr>
        <w:pStyle w:val="ListParagraph"/>
        <w:numPr>
          <w:ilvl w:val="0"/>
          <w:numId w:val="1"/>
        </w:numPr>
      </w:pPr>
      <w:r>
        <w:t xml:space="preserve">Table I shows the relationship between quarter of birth and educational outcomes. Replicate the first row of Table I, i.e., find the coefficients of the first, second, and third </w:t>
      </w:r>
      <w:r w:rsidR="00D8185A">
        <w:t xml:space="preserve">quarter-of-birth dummies on total years of education. </w:t>
      </w:r>
      <w:r w:rsidR="00005C76">
        <w:t>Your estimates do not need to be exactly the same as in the paper, but roughly of the same magnitude.</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2E966A0D" w14:textId="77777777" w:rsidR="00D8185A" w:rsidRPr="00D8185A" w:rsidRDefault="00D8185A" w:rsidP="00D8185A">
      <w:pPr>
        <w:ind w:left="720"/>
        <w:rPr>
          <w:i/>
          <w:iCs/>
        </w:rPr>
      </w:pPr>
    </w:p>
    <w:p w14:paraId="6BDEB79E" w14:textId="77777777" w:rsidR="00A75445" w:rsidRDefault="00A75445" w:rsidP="00D8185A"/>
    <w:p w14:paraId="478DF4E0" w14:textId="5C203377" w:rsidR="002A0DCA" w:rsidRDefault="00D8185A" w:rsidP="007F02D0">
      <w:pPr>
        <w:pStyle w:val="ListParagraph"/>
        <w:numPr>
          <w:ilvl w:val="0"/>
          <w:numId w:val="1"/>
        </w:numPr>
      </w:pPr>
      <w:r>
        <w:t xml:space="preserve">Create a reduced form table. </w:t>
      </w:r>
      <w:r w:rsidR="009E21D6">
        <w:t>In other words, you want to regress the log of weekly earnings on the quarter of birth dummies (our instrument).  You may want to include year fixed effect.</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20BF667" w:rsidR="00DA3FB8" w:rsidRDefault="009E21D6" w:rsidP="007F02D0">
      <w:pPr>
        <w:pStyle w:val="ListParagraph"/>
        <w:numPr>
          <w:ilvl w:val="0"/>
          <w:numId w:val="1"/>
        </w:numPr>
      </w:pPr>
      <w:r>
        <w:t xml:space="preserve">Table III reports OLS and Wald estimates of returns of education. Replicate both estimates for men born 1930-1939 (Panel B). </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7FF8ADD9" w14:textId="4B1FB675" w:rsidR="009E21D6" w:rsidRDefault="009E21D6" w:rsidP="009E21D6"/>
    <w:p w14:paraId="1AA7801F" w14:textId="77777777" w:rsidR="009E21D6" w:rsidRDefault="009E21D6" w:rsidP="009E21D6"/>
    <w:p w14:paraId="4130D800" w14:textId="6F4A354B" w:rsidR="00C87683" w:rsidRDefault="009E21D6" w:rsidP="007F02D0">
      <w:pPr>
        <w:pStyle w:val="ListParagraph"/>
        <w:numPr>
          <w:ilvl w:val="0"/>
          <w:numId w:val="1"/>
        </w:numPr>
      </w:pPr>
      <w:r>
        <w:t xml:space="preserve">Table V reports different specifications of the TSLS for men </w:t>
      </w:r>
      <w:r w:rsidR="00C87683">
        <w:t>born 1930-1939. Run TSLS similar as in Column 2 and Column 6. First, instrument education with a set of quarter-of-birth x year-of-birth dummies, and add year fix effects as control.</w:t>
      </w:r>
      <w:r w:rsidR="00E70D33">
        <w:t xml:space="preserve"> Why do we want to include year fix effects?</w:t>
      </w:r>
    </w:p>
    <w:p w14:paraId="0E0BDC05" w14:textId="7B89FC2F" w:rsidR="002A0DCA" w:rsidRDefault="00C87683" w:rsidP="00C87683">
      <w:pPr>
        <w:pStyle w:val="ListParagraph"/>
        <w:ind w:left="720"/>
      </w:pPr>
      <w:r>
        <w:t xml:space="preserve">Second, similarly to Column 6, instrument education with the same interaction dummies, and add regional fix effects, year fix effects, </w:t>
      </w:r>
      <w:r w:rsidR="005F6842">
        <w:t>race, married status, and an urban dummy.</w:t>
      </w:r>
    </w:p>
    <w:p w14:paraId="779C9387" w14:textId="6AA2D5B2" w:rsidR="00E70D33" w:rsidRDefault="00E70D33" w:rsidP="00C87683">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77777777" w:rsidR="00F70B34" w:rsidRDefault="00F70B34" w:rsidP="00F70B34">
      <w:pPr>
        <w:pStyle w:val="ListParagraph"/>
        <w:numPr>
          <w:ilvl w:val="0"/>
          <w:numId w:val="1"/>
        </w:numPr>
      </w:pPr>
      <w:r>
        <w:t xml:space="preserve">Now repeat the same exercise as the first 2LS2 in Question 18 (without additional controls, only year fix effects), but without using a built-in IV function – use only </w:t>
      </w:r>
      <w:proofErr w:type="spellStart"/>
      <w:r w:rsidRPr="00E70D33">
        <w:rPr>
          <w:rFonts w:ascii="Courier New" w:hAnsi="Courier New" w:cs="Courier New"/>
        </w:rPr>
        <w:t>lm</w:t>
      </w:r>
      <w:proofErr w:type="spellEnd"/>
      <w:r>
        <w:t xml:space="preserve"> instead. Are your results the same as in the previous question?</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77777777" w:rsidR="00F70B34" w:rsidRDefault="00F70B34" w:rsidP="00F70B34">
      <w:pPr>
        <w:pStyle w:val="ListParagraph"/>
        <w:numPr>
          <w:ilvl w:val="0"/>
          <w:numId w:val="1"/>
        </w:numPr>
      </w:pPr>
      <w:r>
        <w:lastRenderedPageBreak/>
        <w:t>For the purpose of this question, define treatment as completing high school (12 or more years of education), and the instrument as binary, with Z</w:t>
      </w:r>
      <w:r w:rsidRPr="006033F1">
        <w:rPr>
          <w:vertAlign w:val="subscript"/>
        </w:rPr>
        <w:t>i</w:t>
      </w:r>
      <w:r>
        <w:t>=1 if one is born in the fourth quarter, and 0 otherwise.</w:t>
      </w:r>
    </w:p>
    <w:p w14:paraId="438377B8" w14:textId="77777777" w:rsidR="00F70B34" w:rsidRDefault="00F70B34" w:rsidP="00F70B34">
      <w:pPr>
        <w:pStyle w:val="ListParagraph"/>
        <w:numPr>
          <w:ilvl w:val="1"/>
          <w:numId w:val="19"/>
        </w:numPr>
      </w:pPr>
      <w:r>
        <w:t>What is the share of the complier population?</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77777777" w:rsidR="00F70B34" w:rsidRDefault="00F70B34" w:rsidP="00F70B34">
      <w:pPr>
        <w:pStyle w:val="ListParagraph"/>
        <w:numPr>
          <w:ilvl w:val="1"/>
          <w:numId w:val="19"/>
        </w:numPr>
      </w:pPr>
      <w:r>
        <w:t>What is the average untreated outcome among the never-takers?</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77777777" w:rsidR="00F70B34" w:rsidRDefault="00F70B34" w:rsidP="00F70B34">
      <w:pPr>
        <w:pStyle w:val="ListParagraph"/>
        <w:numPr>
          <w:ilvl w:val="1"/>
          <w:numId w:val="19"/>
        </w:numPr>
      </w:pPr>
      <w:r>
        <w:t>What is the average treated outcome among the always-takers?</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77777777" w:rsidR="00F70B34" w:rsidRDefault="00F70B34" w:rsidP="00F70B34">
      <w:pPr>
        <w:pStyle w:val="ListParagraph"/>
        <w:numPr>
          <w:ilvl w:val="1"/>
          <w:numId w:val="19"/>
        </w:numPr>
      </w:pPr>
      <w:r>
        <w:t>Is there selection into treatment? State the assumptions necessary for your conclusion.</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2FD88CFD" w:rsidR="00AC517A" w:rsidRPr="00C5572A" w:rsidRDefault="00AC517A" w:rsidP="00AC517A">
      <w:pPr>
        <w:pStyle w:val="Heading1"/>
      </w:pPr>
      <w:r w:rsidRPr="00C5572A">
        <w:lastRenderedPageBreak/>
        <w:t>IVs in Your Own Research</w:t>
      </w:r>
    </w:p>
    <w:p w14:paraId="439FB608" w14:textId="77777777" w:rsidR="00AC517A" w:rsidRDefault="00AC517A" w:rsidP="00AC517A"/>
    <w:p w14:paraId="611729FF" w14:textId="2F60BAE1"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26F59FC" w:rsidR="00AC517A" w:rsidRDefault="00AC517A" w:rsidP="007F02D0">
      <w:pPr>
        <w:pStyle w:val="ListParagraph"/>
        <w:numPr>
          <w:ilvl w:val="0"/>
          <w:numId w:val="1"/>
        </w:numPr>
      </w:pPr>
      <w:r>
        <w:t xml:space="preserve">Write out the empirical specification you would use and explain the equation. </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C71E4E7"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0C2E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78373" w14:textId="77777777" w:rsidR="00ED5B79" w:rsidRDefault="00ED5B79" w:rsidP="00C4176C">
      <w:pPr>
        <w:spacing w:after="0" w:line="240" w:lineRule="auto"/>
      </w:pPr>
      <w:r>
        <w:separator/>
      </w:r>
    </w:p>
  </w:endnote>
  <w:endnote w:type="continuationSeparator" w:id="0">
    <w:p w14:paraId="3F346C03" w14:textId="77777777" w:rsidR="00ED5B79" w:rsidRDefault="00ED5B79"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5071" w14:textId="77777777" w:rsidR="00ED5B79" w:rsidRDefault="00ED5B79" w:rsidP="00C4176C">
      <w:pPr>
        <w:spacing w:after="0" w:line="240" w:lineRule="auto"/>
      </w:pPr>
      <w:r>
        <w:separator/>
      </w:r>
    </w:p>
  </w:footnote>
  <w:footnote w:type="continuationSeparator" w:id="0">
    <w:p w14:paraId="06895291" w14:textId="77777777" w:rsidR="00ED5B79" w:rsidRDefault="00ED5B79" w:rsidP="00C4176C">
      <w:pPr>
        <w:spacing w:after="0" w:line="240" w:lineRule="auto"/>
      </w:pPr>
      <w:r>
        <w:continuationSeparator/>
      </w:r>
    </w:p>
  </w:footnote>
  <w:footnote w:id="1">
    <w:p w14:paraId="5D829D0F" w14:textId="77777777" w:rsidR="00C4176C" w:rsidRPr="00310048" w:rsidRDefault="00C4176C" w:rsidP="00C4176C">
      <w:pPr>
        <w:pStyle w:val="FootnoteText"/>
        <w:jc w:val="both"/>
        <w:rPr>
          <w:rFonts w:cs="Times New Roman"/>
          <w:sz w:val="20"/>
          <w:szCs w:val="20"/>
        </w:rPr>
      </w:pPr>
      <w:r w:rsidRPr="00310048">
        <w:rPr>
          <w:rStyle w:val="FootnoteReference"/>
          <w:rFonts w:cs="Times New Roman"/>
          <w:sz w:val="20"/>
          <w:szCs w:val="20"/>
        </w:rPr>
        <w:footnoteRef/>
      </w:r>
      <w:r w:rsidRPr="00310048">
        <w:rPr>
          <w:rFonts w:cs="Times New Roman"/>
          <w:sz w:val="20"/>
          <w:szCs w:val="20"/>
        </w:rPr>
        <w:t xml:space="preserve"> We abide by the Harvard Kennedy School Academic </w:t>
      </w:r>
      <w:hyperlink r:id="rId1" w:history="1">
        <w:r w:rsidRPr="00310048">
          <w:rPr>
            <w:rStyle w:val="Hyperlink"/>
            <w:rFonts w:cs="Times New Roman"/>
            <w:sz w:val="20"/>
            <w:szCs w:val="20"/>
          </w:rPr>
          <w:t>code</w:t>
        </w:r>
      </w:hyperlink>
      <w:r w:rsidRPr="00310048">
        <w:rPr>
          <w:rFonts w:cs="Times New Roman"/>
          <w:sz w:val="20"/>
          <w:szCs w:val="20"/>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0" w:name="OLE_LINK14"/>
    <w:bookmarkStart w:id="1" w:name="OLE_LINK15"/>
    <w:bookmarkStart w:id="2"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C8C1509" w:rsidR="00C4176C" w:rsidRDefault="00C4176C" w:rsidP="00C4176C">
    <w:pPr>
      <w:pStyle w:val="Header"/>
    </w:pPr>
    <w:r w:rsidRPr="00470884">
      <w:rPr>
        <w:rFonts w:cs="Times New Roman"/>
        <w:sz w:val="20"/>
      </w:rPr>
      <w:t>Advanced Quantitative Methods II (API-</w:t>
    </w:r>
    <w:r w:rsidR="00D05626">
      <w:rPr>
        <w:rFonts w:cs="Times New Roman"/>
        <w:sz w:val="20"/>
      </w:rPr>
      <w:t>115</w:t>
    </w:r>
    <w:r w:rsidRPr="00470884">
      <w:rPr>
        <w:rFonts w:cs="Times New Roman"/>
        <w:sz w:val="20"/>
      </w:rPr>
      <w:t>)</w:t>
    </w:r>
    <w:r w:rsidRPr="00470884">
      <w:rPr>
        <w:rFonts w:cs="Times New Roman"/>
        <w:sz w:val="20"/>
      </w:rPr>
      <w:tab/>
    </w:r>
    <w:r w:rsidRPr="00470884">
      <w:rPr>
        <w:rFonts w:cs="Times New Roman"/>
        <w:sz w:val="20"/>
      </w:rPr>
      <w:tab/>
      <w:t>Harvard University</w:t>
    </w:r>
    <w:bookmarkEnd w:id="0"/>
    <w:bookmarkEnd w:id="1"/>
    <w:bookmarkEnd w:id="2"/>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9"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9"/>
  </w:num>
  <w:num w:numId="2" w16cid:durableId="1037849458">
    <w:abstractNumId w:val="12"/>
  </w:num>
  <w:num w:numId="3" w16cid:durableId="239602871">
    <w:abstractNumId w:val="4"/>
  </w:num>
  <w:num w:numId="4" w16cid:durableId="1488353707">
    <w:abstractNumId w:val="7"/>
  </w:num>
  <w:num w:numId="5" w16cid:durableId="1866823080">
    <w:abstractNumId w:val="19"/>
  </w:num>
  <w:num w:numId="6" w16cid:durableId="275212735">
    <w:abstractNumId w:val="8"/>
  </w:num>
  <w:num w:numId="7" w16cid:durableId="976302214">
    <w:abstractNumId w:val="5"/>
  </w:num>
  <w:num w:numId="8" w16cid:durableId="58330977">
    <w:abstractNumId w:val="3"/>
  </w:num>
  <w:num w:numId="9" w16cid:durableId="1793478976">
    <w:abstractNumId w:val="14"/>
  </w:num>
  <w:num w:numId="10" w16cid:durableId="1923876845">
    <w:abstractNumId w:val="11"/>
  </w:num>
  <w:num w:numId="11" w16cid:durableId="1813596403">
    <w:abstractNumId w:val="10"/>
  </w:num>
  <w:num w:numId="12" w16cid:durableId="908618897">
    <w:abstractNumId w:val="17"/>
  </w:num>
  <w:num w:numId="13" w16cid:durableId="376781865">
    <w:abstractNumId w:val="2"/>
  </w:num>
  <w:num w:numId="14" w16cid:durableId="1948464006">
    <w:abstractNumId w:val="0"/>
  </w:num>
  <w:num w:numId="15" w16cid:durableId="815149559">
    <w:abstractNumId w:val="13"/>
  </w:num>
  <w:num w:numId="16" w16cid:durableId="1252930210">
    <w:abstractNumId w:val="15"/>
  </w:num>
  <w:num w:numId="17" w16cid:durableId="1918517735">
    <w:abstractNumId w:val="16"/>
  </w:num>
  <w:num w:numId="18" w16cid:durableId="742874613">
    <w:abstractNumId w:val="6"/>
  </w:num>
  <w:num w:numId="19" w16cid:durableId="1943682882">
    <w:abstractNumId w:val="1"/>
  </w:num>
  <w:num w:numId="20" w16cid:durableId="2001807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5C76"/>
    <w:rsid w:val="00005D63"/>
    <w:rsid w:val="000124BE"/>
    <w:rsid w:val="0003610B"/>
    <w:rsid w:val="000404E3"/>
    <w:rsid w:val="00052372"/>
    <w:rsid w:val="000764F4"/>
    <w:rsid w:val="00096851"/>
    <w:rsid w:val="000C2EBB"/>
    <w:rsid w:val="000E0797"/>
    <w:rsid w:val="000F410B"/>
    <w:rsid w:val="0010028A"/>
    <w:rsid w:val="0010735C"/>
    <w:rsid w:val="00184ED1"/>
    <w:rsid w:val="001A5B31"/>
    <w:rsid w:val="001C1736"/>
    <w:rsid w:val="00207145"/>
    <w:rsid w:val="00225FAB"/>
    <w:rsid w:val="00257976"/>
    <w:rsid w:val="002829AA"/>
    <w:rsid w:val="002A0DCA"/>
    <w:rsid w:val="002C0D34"/>
    <w:rsid w:val="002C2F61"/>
    <w:rsid w:val="002E2504"/>
    <w:rsid w:val="002F657E"/>
    <w:rsid w:val="00335E47"/>
    <w:rsid w:val="003456C6"/>
    <w:rsid w:val="003A2D6E"/>
    <w:rsid w:val="00461264"/>
    <w:rsid w:val="004D71E9"/>
    <w:rsid w:val="00506A27"/>
    <w:rsid w:val="00520480"/>
    <w:rsid w:val="005516DE"/>
    <w:rsid w:val="00573DE9"/>
    <w:rsid w:val="005F6842"/>
    <w:rsid w:val="006A54A3"/>
    <w:rsid w:val="006D4E3A"/>
    <w:rsid w:val="007252DD"/>
    <w:rsid w:val="00775A8B"/>
    <w:rsid w:val="007C62C2"/>
    <w:rsid w:val="007F02D0"/>
    <w:rsid w:val="0083127B"/>
    <w:rsid w:val="0084085C"/>
    <w:rsid w:val="00870720"/>
    <w:rsid w:val="008D5F4E"/>
    <w:rsid w:val="00930605"/>
    <w:rsid w:val="0099171D"/>
    <w:rsid w:val="009D1CE6"/>
    <w:rsid w:val="009E1CDC"/>
    <w:rsid w:val="009E21D6"/>
    <w:rsid w:val="009E42DF"/>
    <w:rsid w:val="00A26BEE"/>
    <w:rsid w:val="00A27C41"/>
    <w:rsid w:val="00A46596"/>
    <w:rsid w:val="00A52CDE"/>
    <w:rsid w:val="00A54130"/>
    <w:rsid w:val="00A75445"/>
    <w:rsid w:val="00AC517A"/>
    <w:rsid w:val="00AD200A"/>
    <w:rsid w:val="00B02F9F"/>
    <w:rsid w:val="00B228E7"/>
    <w:rsid w:val="00B767D1"/>
    <w:rsid w:val="00B93337"/>
    <w:rsid w:val="00BD19FA"/>
    <w:rsid w:val="00C263BB"/>
    <w:rsid w:val="00C35C33"/>
    <w:rsid w:val="00C4176C"/>
    <w:rsid w:val="00C60F3B"/>
    <w:rsid w:val="00C87683"/>
    <w:rsid w:val="00C87AB9"/>
    <w:rsid w:val="00CB24EF"/>
    <w:rsid w:val="00CE33AA"/>
    <w:rsid w:val="00D05626"/>
    <w:rsid w:val="00D27653"/>
    <w:rsid w:val="00D429DA"/>
    <w:rsid w:val="00D45782"/>
    <w:rsid w:val="00D535AB"/>
    <w:rsid w:val="00D8185A"/>
    <w:rsid w:val="00DA3FB8"/>
    <w:rsid w:val="00DB61F7"/>
    <w:rsid w:val="00DD15C6"/>
    <w:rsid w:val="00DF41BB"/>
    <w:rsid w:val="00DF4F27"/>
    <w:rsid w:val="00E11378"/>
    <w:rsid w:val="00E70D33"/>
    <w:rsid w:val="00E80C23"/>
    <w:rsid w:val="00EA4D3F"/>
    <w:rsid w:val="00ED5B79"/>
    <w:rsid w:val="00F41F7E"/>
    <w:rsid w:val="00F531C8"/>
    <w:rsid w:val="00F569F9"/>
    <w:rsid w:val="00F62A81"/>
    <w:rsid w:val="00F70B34"/>
    <w:rsid w:val="00F81C9F"/>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Purroy, Miguel</cp:lastModifiedBy>
  <cp:revision>4</cp:revision>
  <dcterms:created xsi:type="dcterms:W3CDTF">2023-01-04T17:28:00Z</dcterms:created>
  <dcterms:modified xsi:type="dcterms:W3CDTF">2023-01-04T17:32:00Z</dcterms:modified>
</cp:coreProperties>
</file>