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31260" w14:textId="4E287C61" w:rsidR="00E01D76" w:rsidRPr="009A7F4E" w:rsidRDefault="00E01D76" w:rsidP="00E01D76">
      <w:pPr>
        <w:pStyle w:val="NormalWeb"/>
        <w:rPr>
          <w:color w:val="000000" w:themeColor="text1"/>
        </w:rPr>
      </w:pPr>
      <w:r w:rsidRPr="009A7F4E">
        <w:rPr>
          <w:b/>
          <w:color w:val="000000" w:themeColor="text1"/>
        </w:rPr>
        <w:t>Title</w:t>
      </w:r>
      <w:r w:rsidRPr="009A7F4E">
        <w:rPr>
          <w:color w:val="000000" w:themeColor="text1"/>
        </w:rPr>
        <w:t>: Cost-effectiveness and Value of Information of Biomarker-Guided Immunotherapy in Metastatic Melanoma</w:t>
      </w:r>
    </w:p>
    <w:p w14:paraId="44D4E968" w14:textId="3359CBA3" w:rsidR="00E01D76" w:rsidRPr="009A7F4E" w:rsidRDefault="00E01D76" w:rsidP="00E01D76">
      <w:pPr>
        <w:rPr>
          <w:color w:val="000000" w:themeColor="text1"/>
        </w:rPr>
      </w:pPr>
      <w:r w:rsidRPr="009A7F4E">
        <w:rPr>
          <w:b/>
          <w:color w:val="000000" w:themeColor="text1"/>
        </w:rPr>
        <w:t>Authors</w:t>
      </w:r>
      <w:r w:rsidRPr="009A7F4E">
        <w:rPr>
          <w:color w:val="000000" w:themeColor="text1"/>
        </w:rPr>
        <w:t>: Jacob C. Jameson, MS</w:t>
      </w:r>
      <w:r w:rsidRPr="009A7F4E">
        <w:rPr>
          <w:color w:val="000000" w:themeColor="text1"/>
        </w:rPr>
        <w:t>; Soroush Saghafian, PhD; Giuseppe Tarantino, PhD; David Liu, MS</w:t>
      </w:r>
      <w:r w:rsidR="001E52CB" w:rsidRPr="009A7F4E">
        <w:rPr>
          <w:color w:val="000000" w:themeColor="text1"/>
        </w:rPr>
        <w:t xml:space="preserve">, </w:t>
      </w:r>
      <w:proofErr w:type="gramStart"/>
      <w:r w:rsidRPr="009A7F4E">
        <w:rPr>
          <w:color w:val="000000" w:themeColor="text1"/>
        </w:rPr>
        <w:t>MD;</w:t>
      </w:r>
      <w:proofErr w:type="gramEnd"/>
    </w:p>
    <w:p w14:paraId="370B1046" w14:textId="77777777" w:rsidR="00E01D76" w:rsidRPr="009A7F4E" w:rsidRDefault="00E01D76" w:rsidP="00E01D76">
      <w:pPr>
        <w:rPr>
          <w:color w:val="000000" w:themeColor="text1"/>
          <w:vertAlign w:val="superscript"/>
        </w:rPr>
      </w:pPr>
    </w:p>
    <w:p w14:paraId="3E7C30EF" w14:textId="2AAFB6C7" w:rsidR="00E01D76" w:rsidRPr="009A7F4E" w:rsidRDefault="00E01D76" w:rsidP="00E01D76">
      <w:pPr>
        <w:rPr>
          <w:color w:val="000000" w:themeColor="text1"/>
        </w:rPr>
      </w:pPr>
      <w:r w:rsidRPr="009A7F4E">
        <w:rPr>
          <w:b/>
          <w:color w:val="000000" w:themeColor="text1"/>
        </w:rPr>
        <w:t>Affiliations:</w:t>
      </w:r>
      <w:r w:rsidRPr="009A7F4E">
        <w:rPr>
          <w:color w:val="000000" w:themeColor="text1"/>
          <w:vertAlign w:val="superscript"/>
        </w:rPr>
        <w:t xml:space="preserve"> </w:t>
      </w:r>
    </w:p>
    <w:p w14:paraId="3D6E230E" w14:textId="77777777" w:rsidR="00E01D76" w:rsidRPr="009A7F4E" w:rsidRDefault="00E01D76" w:rsidP="00E01D76">
      <w:pPr>
        <w:rPr>
          <w:b/>
          <w:color w:val="000000" w:themeColor="text1"/>
        </w:rPr>
      </w:pPr>
    </w:p>
    <w:p w14:paraId="4543AEF2" w14:textId="77777777" w:rsidR="00E01D76" w:rsidRPr="009A7F4E" w:rsidRDefault="00E01D76" w:rsidP="00E01D76">
      <w:pPr>
        <w:rPr>
          <w:bCs/>
          <w:color w:val="000000" w:themeColor="text1"/>
        </w:rPr>
      </w:pPr>
      <w:r w:rsidRPr="009A7F4E">
        <w:rPr>
          <w:b/>
          <w:color w:val="000000" w:themeColor="text1"/>
        </w:rPr>
        <w:t xml:space="preserve">Word count: </w:t>
      </w:r>
    </w:p>
    <w:p w14:paraId="509B521B" w14:textId="77777777" w:rsidR="00E01D76" w:rsidRPr="009A7F4E" w:rsidRDefault="00E01D76" w:rsidP="00E01D76">
      <w:pPr>
        <w:rPr>
          <w:bCs/>
          <w:color w:val="000000" w:themeColor="text1"/>
        </w:rPr>
      </w:pPr>
    </w:p>
    <w:p w14:paraId="71A9A7A1" w14:textId="77777777" w:rsidR="00E01D76" w:rsidRPr="009A7F4E" w:rsidRDefault="00E01D76" w:rsidP="00E01D76">
      <w:pPr>
        <w:rPr>
          <w:color w:val="000000" w:themeColor="text1"/>
        </w:rPr>
      </w:pPr>
      <w:r w:rsidRPr="009A7F4E">
        <w:rPr>
          <w:b/>
          <w:color w:val="000000" w:themeColor="text1"/>
        </w:rPr>
        <w:t xml:space="preserve">Corresponding Author: </w:t>
      </w:r>
      <w:r w:rsidRPr="009A7F4E">
        <w:rPr>
          <w:color w:val="000000" w:themeColor="text1"/>
        </w:rPr>
        <w:t>Jacob C. Jameson, MS, Harvard Kennedy School, Harvard University, Cambridge, MA, Phone: 475-777-9252</w:t>
      </w:r>
    </w:p>
    <w:p w14:paraId="25F7A34B" w14:textId="77777777" w:rsidR="00E01D76" w:rsidRPr="009A7F4E" w:rsidRDefault="00E01D76" w:rsidP="004A2C00">
      <w:pPr>
        <w:contextualSpacing/>
        <w:rPr>
          <w:b/>
          <w:bCs/>
          <w:color w:val="000000" w:themeColor="text1"/>
        </w:rPr>
      </w:pPr>
    </w:p>
    <w:p w14:paraId="43E40BFA" w14:textId="77777777" w:rsidR="00E01D76" w:rsidRPr="009A7F4E" w:rsidRDefault="00E01D76" w:rsidP="004A2C00">
      <w:pPr>
        <w:contextualSpacing/>
        <w:rPr>
          <w:b/>
          <w:bCs/>
          <w:color w:val="000000" w:themeColor="text1"/>
        </w:rPr>
      </w:pPr>
    </w:p>
    <w:p w14:paraId="54870BE9" w14:textId="77777777" w:rsidR="00E01D76" w:rsidRPr="009A7F4E" w:rsidRDefault="00E01D76" w:rsidP="004A2C00">
      <w:pPr>
        <w:contextualSpacing/>
        <w:rPr>
          <w:b/>
          <w:bCs/>
          <w:color w:val="000000" w:themeColor="text1"/>
        </w:rPr>
      </w:pPr>
    </w:p>
    <w:p w14:paraId="581744F6" w14:textId="77777777" w:rsidR="00E01D76" w:rsidRPr="009A7F4E" w:rsidRDefault="00E01D76" w:rsidP="004A2C00">
      <w:pPr>
        <w:contextualSpacing/>
        <w:rPr>
          <w:b/>
          <w:bCs/>
          <w:color w:val="000000" w:themeColor="text1"/>
        </w:rPr>
      </w:pPr>
    </w:p>
    <w:p w14:paraId="70CC61AA" w14:textId="77777777" w:rsidR="00E01D76" w:rsidRPr="009A7F4E" w:rsidRDefault="00E01D76" w:rsidP="004A2C00">
      <w:pPr>
        <w:contextualSpacing/>
        <w:rPr>
          <w:b/>
          <w:bCs/>
          <w:color w:val="000000" w:themeColor="text1"/>
        </w:rPr>
      </w:pPr>
    </w:p>
    <w:p w14:paraId="6ECE4906" w14:textId="77777777" w:rsidR="00E01D76" w:rsidRPr="009A7F4E" w:rsidRDefault="00E01D76" w:rsidP="004A2C00">
      <w:pPr>
        <w:contextualSpacing/>
        <w:rPr>
          <w:b/>
          <w:bCs/>
          <w:color w:val="000000" w:themeColor="text1"/>
        </w:rPr>
      </w:pPr>
    </w:p>
    <w:p w14:paraId="41BB2543" w14:textId="77777777" w:rsidR="00E01D76" w:rsidRPr="009A7F4E" w:rsidRDefault="00E01D76" w:rsidP="004A2C00">
      <w:pPr>
        <w:contextualSpacing/>
        <w:rPr>
          <w:b/>
          <w:bCs/>
          <w:color w:val="000000" w:themeColor="text1"/>
        </w:rPr>
      </w:pPr>
    </w:p>
    <w:p w14:paraId="3AF34692" w14:textId="77777777" w:rsidR="00E01D76" w:rsidRPr="009A7F4E" w:rsidRDefault="00E01D76" w:rsidP="004A2C00">
      <w:pPr>
        <w:contextualSpacing/>
        <w:rPr>
          <w:b/>
          <w:bCs/>
          <w:color w:val="000000" w:themeColor="text1"/>
        </w:rPr>
      </w:pPr>
    </w:p>
    <w:p w14:paraId="3C3A8FDC" w14:textId="77777777" w:rsidR="00E01D76" w:rsidRPr="009A7F4E" w:rsidRDefault="00E01D76" w:rsidP="004A2C00">
      <w:pPr>
        <w:contextualSpacing/>
        <w:rPr>
          <w:b/>
          <w:bCs/>
          <w:color w:val="000000" w:themeColor="text1"/>
        </w:rPr>
      </w:pPr>
    </w:p>
    <w:p w14:paraId="7CA7926D" w14:textId="77777777" w:rsidR="00E01D76" w:rsidRPr="009A7F4E" w:rsidRDefault="00E01D76" w:rsidP="004A2C00">
      <w:pPr>
        <w:contextualSpacing/>
        <w:rPr>
          <w:b/>
          <w:bCs/>
          <w:color w:val="000000" w:themeColor="text1"/>
        </w:rPr>
      </w:pPr>
    </w:p>
    <w:p w14:paraId="511B2C42" w14:textId="77777777" w:rsidR="00E01D76" w:rsidRPr="009A7F4E" w:rsidRDefault="00E01D76" w:rsidP="004A2C00">
      <w:pPr>
        <w:contextualSpacing/>
        <w:rPr>
          <w:b/>
          <w:bCs/>
          <w:color w:val="000000" w:themeColor="text1"/>
        </w:rPr>
      </w:pPr>
    </w:p>
    <w:p w14:paraId="64067BD4" w14:textId="77777777" w:rsidR="00E01D76" w:rsidRPr="009A7F4E" w:rsidRDefault="00E01D76" w:rsidP="004A2C00">
      <w:pPr>
        <w:contextualSpacing/>
        <w:rPr>
          <w:b/>
          <w:bCs/>
          <w:color w:val="000000" w:themeColor="text1"/>
        </w:rPr>
      </w:pPr>
    </w:p>
    <w:p w14:paraId="349C4F9D" w14:textId="77777777" w:rsidR="00E01D76" w:rsidRPr="009A7F4E" w:rsidRDefault="00E01D76" w:rsidP="004A2C00">
      <w:pPr>
        <w:contextualSpacing/>
        <w:rPr>
          <w:b/>
          <w:bCs/>
          <w:color w:val="000000" w:themeColor="text1"/>
        </w:rPr>
      </w:pPr>
    </w:p>
    <w:p w14:paraId="0347EED6" w14:textId="77777777" w:rsidR="00E01D76" w:rsidRPr="009A7F4E" w:rsidRDefault="00E01D76" w:rsidP="004A2C00">
      <w:pPr>
        <w:contextualSpacing/>
        <w:rPr>
          <w:b/>
          <w:bCs/>
          <w:color w:val="000000" w:themeColor="text1"/>
        </w:rPr>
      </w:pPr>
    </w:p>
    <w:p w14:paraId="52E1237E" w14:textId="77777777" w:rsidR="00D76E9D" w:rsidRPr="009A7F4E" w:rsidRDefault="00D76E9D" w:rsidP="004A2C00">
      <w:pPr>
        <w:contextualSpacing/>
        <w:rPr>
          <w:b/>
          <w:bCs/>
          <w:color w:val="000000" w:themeColor="text1"/>
        </w:rPr>
      </w:pPr>
    </w:p>
    <w:p w14:paraId="151F3F25" w14:textId="77777777" w:rsidR="00D76E9D" w:rsidRPr="009A7F4E" w:rsidRDefault="00D76E9D" w:rsidP="004A2C00">
      <w:pPr>
        <w:contextualSpacing/>
        <w:rPr>
          <w:b/>
          <w:bCs/>
          <w:color w:val="000000" w:themeColor="text1"/>
        </w:rPr>
      </w:pPr>
    </w:p>
    <w:p w14:paraId="50A2486D" w14:textId="77777777" w:rsidR="00D76E9D" w:rsidRPr="009A7F4E" w:rsidRDefault="00D76E9D" w:rsidP="004A2C00">
      <w:pPr>
        <w:contextualSpacing/>
        <w:rPr>
          <w:b/>
          <w:bCs/>
          <w:color w:val="000000" w:themeColor="text1"/>
        </w:rPr>
      </w:pPr>
    </w:p>
    <w:p w14:paraId="22831B7F" w14:textId="77777777" w:rsidR="00D76E9D" w:rsidRPr="009A7F4E" w:rsidRDefault="00D76E9D" w:rsidP="004A2C00">
      <w:pPr>
        <w:contextualSpacing/>
        <w:rPr>
          <w:b/>
          <w:bCs/>
          <w:color w:val="000000" w:themeColor="text1"/>
        </w:rPr>
      </w:pPr>
    </w:p>
    <w:p w14:paraId="37321957" w14:textId="77777777" w:rsidR="00D76E9D" w:rsidRPr="009A7F4E" w:rsidRDefault="00D76E9D" w:rsidP="004A2C00">
      <w:pPr>
        <w:contextualSpacing/>
        <w:rPr>
          <w:b/>
          <w:bCs/>
          <w:color w:val="000000" w:themeColor="text1"/>
        </w:rPr>
      </w:pPr>
    </w:p>
    <w:p w14:paraId="46946CFB" w14:textId="77777777" w:rsidR="00D76E9D" w:rsidRPr="009A7F4E" w:rsidRDefault="00D76E9D" w:rsidP="004A2C00">
      <w:pPr>
        <w:contextualSpacing/>
        <w:rPr>
          <w:b/>
          <w:bCs/>
          <w:color w:val="000000" w:themeColor="text1"/>
        </w:rPr>
      </w:pPr>
    </w:p>
    <w:p w14:paraId="0C070238" w14:textId="77777777" w:rsidR="00D76E9D" w:rsidRPr="009A7F4E" w:rsidRDefault="00D76E9D" w:rsidP="004A2C00">
      <w:pPr>
        <w:contextualSpacing/>
        <w:rPr>
          <w:b/>
          <w:bCs/>
          <w:color w:val="000000" w:themeColor="text1"/>
        </w:rPr>
      </w:pPr>
    </w:p>
    <w:p w14:paraId="2DF84572" w14:textId="77777777" w:rsidR="00D76E9D" w:rsidRPr="009A7F4E" w:rsidRDefault="00D76E9D" w:rsidP="004A2C00">
      <w:pPr>
        <w:contextualSpacing/>
        <w:rPr>
          <w:b/>
          <w:bCs/>
          <w:color w:val="000000" w:themeColor="text1"/>
        </w:rPr>
      </w:pPr>
    </w:p>
    <w:p w14:paraId="446C4DFE" w14:textId="77777777" w:rsidR="00D76E9D" w:rsidRPr="009A7F4E" w:rsidRDefault="00D76E9D" w:rsidP="004A2C00">
      <w:pPr>
        <w:contextualSpacing/>
        <w:rPr>
          <w:b/>
          <w:bCs/>
          <w:color w:val="000000" w:themeColor="text1"/>
        </w:rPr>
      </w:pPr>
    </w:p>
    <w:p w14:paraId="2BAF26E6" w14:textId="77777777" w:rsidR="00D76E9D" w:rsidRPr="009A7F4E" w:rsidRDefault="00D76E9D" w:rsidP="004A2C00">
      <w:pPr>
        <w:contextualSpacing/>
        <w:rPr>
          <w:b/>
          <w:bCs/>
          <w:color w:val="000000" w:themeColor="text1"/>
        </w:rPr>
      </w:pPr>
    </w:p>
    <w:p w14:paraId="75418A3E" w14:textId="77777777" w:rsidR="00D76E9D" w:rsidRPr="009A7F4E" w:rsidRDefault="00D76E9D" w:rsidP="004A2C00">
      <w:pPr>
        <w:contextualSpacing/>
        <w:rPr>
          <w:b/>
          <w:bCs/>
          <w:color w:val="000000" w:themeColor="text1"/>
        </w:rPr>
      </w:pPr>
    </w:p>
    <w:p w14:paraId="28B2030C" w14:textId="77777777" w:rsidR="00D76E9D" w:rsidRPr="009A7F4E" w:rsidRDefault="00D76E9D" w:rsidP="004A2C00">
      <w:pPr>
        <w:contextualSpacing/>
        <w:rPr>
          <w:b/>
          <w:bCs/>
          <w:color w:val="000000" w:themeColor="text1"/>
        </w:rPr>
      </w:pPr>
    </w:p>
    <w:p w14:paraId="348852EE" w14:textId="77777777" w:rsidR="00D76E9D" w:rsidRPr="009A7F4E" w:rsidRDefault="00D76E9D" w:rsidP="004A2C00">
      <w:pPr>
        <w:contextualSpacing/>
        <w:rPr>
          <w:b/>
          <w:bCs/>
          <w:color w:val="000000" w:themeColor="text1"/>
        </w:rPr>
      </w:pPr>
    </w:p>
    <w:p w14:paraId="40A3747D" w14:textId="77777777" w:rsidR="00D76E9D" w:rsidRPr="009A7F4E" w:rsidRDefault="00D76E9D" w:rsidP="004A2C00">
      <w:pPr>
        <w:contextualSpacing/>
        <w:rPr>
          <w:b/>
          <w:bCs/>
          <w:color w:val="000000" w:themeColor="text1"/>
        </w:rPr>
      </w:pPr>
    </w:p>
    <w:p w14:paraId="20AD06A5" w14:textId="77777777" w:rsidR="00D76E9D" w:rsidRPr="009A7F4E" w:rsidRDefault="00D76E9D" w:rsidP="004A2C00">
      <w:pPr>
        <w:contextualSpacing/>
        <w:rPr>
          <w:b/>
          <w:bCs/>
          <w:color w:val="000000" w:themeColor="text1"/>
        </w:rPr>
      </w:pPr>
    </w:p>
    <w:p w14:paraId="68EB3E59" w14:textId="77777777" w:rsidR="00D76E9D" w:rsidRPr="009A7F4E" w:rsidRDefault="00D76E9D" w:rsidP="004A2C00">
      <w:pPr>
        <w:contextualSpacing/>
        <w:rPr>
          <w:b/>
          <w:bCs/>
          <w:color w:val="000000" w:themeColor="text1"/>
        </w:rPr>
      </w:pPr>
    </w:p>
    <w:p w14:paraId="26D1806A" w14:textId="77777777" w:rsidR="00D76E9D" w:rsidRPr="009A7F4E" w:rsidRDefault="00D76E9D" w:rsidP="004A2C00">
      <w:pPr>
        <w:contextualSpacing/>
        <w:rPr>
          <w:b/>
          <w:bCs/>
          <w:color w:val="000000" w:themeColor="text1"/>
        </w:rPr>
      </w:pPr>
    </w:p>
    <w:p w14:paraId="5E47B5D0" w14:textId="77777777" w:rsidR="00D76E9D" w:rsidRPr="009A7F4E" w:rsidRDefault="00D76E9D" w:rsidP="004A2C00">
      <w:pPr>
        <w:contextualSpacing/>
        <w:rPr>
          <w:b/>
          <w:bCs/>
          <w:color w:val="000000" w:themeColor="text1"/>
        </w:rPr>
      </w:pPr>
    </w:p>
    <w:p w14:paraId="5F92E758" w14:textId="77777777" w:rsidR="00E01D76" w:rsidRPr="009A7F4E" w:rsidRDefault="00E01D76" w:rsidP="004A2C00">
      <w:pPr>
        <w:contextualSpacing/>
        <w:rPr>
          <w:b/>
          <w:bCs/>
          <w:color w:val="000000" w:themeColor="text1"/>
        </w:rPr>
      </w:pPr>
    </w:p>
    <w:p w14:paraId="2BD61879" w14:textId="77777777" w:rsidR="00E01D76" w:rsidRPr="009A7F4E" w:rsidRDefault="00E01D76" w:rsidP="004A2C00">
      <w:pPr>
        <w:contextualSpacing/>
        <w:rPr>
          <w:b/>
          <w:bCs/>
          <w:color w:val="000000" w:themeColor="text1"/>
        </w:rPr>
      </w:pPr>
    </w:p>
    <w:p w14:paraId="7CB9B0EE" w14:textId="4F599B31" w:rsidR="00E01D76" w:rsidRPr="009A7F4E" w:rsidRDefault="00D76E9D" w:rsidP="004A2C00">
      <w:pPr>
        <w:contextualSpacing/>
        <w:rPr>
          <w:b/>
          <w:bCs/>
          <w:color w:val="000000" w:themeColor="text1"/>
        </w:rPr>
      </w:pPr>
      <w:r w:rsidRPr="009A7F4E">
        <w:rPr>
          <w:b/>
          <w:bCs/>
          <w:color w:val="000000" w:themeColor="text1"/>
        </w:rPr>
        <w:lastRenderedPageBreak/>
        <w:t xml:space="preserve">2. </w:t>
      </w:r>
      <w:r w:rsidR="00E01D76" w:rsidRPr="009A7F4E">
        <w:rPr>
          <w:b/>
          <w:bCs/>
          <w:color w:val="000000" w:themeColor="text1"/>
        </w:rPr>
        <w:t>Methods</w:t>
      </w:r>
    </w:p>
    <w:p w14:paraId="636248E1" w14:textId="6B0033EE" w:rsidR="00915440" w:rsidRPr="009A7F4E" w:rsidRDefault="00915440" w:rsidP="004A2C00">
      <w:pPr>
        <w:contextualSpacing/>
        <w:rPr>
          <w:color w:val="000000" w:themeColor="text1"/>
        </w:rPr>
      </w:pPr>
      <w:r w:rsidRPr="009A7F4E">
        <w:rPr>
          <w:color w:val="000000" w:themeColor="text1"/>
        </w:rPr>
        <w:t xml:space="preserve">The economics evaluations followed standard guidelines for the design, analysis, and reporting of our models, including the Consolidated Health Economics Evaluation Reporting Standards (CHEERS) reporting guideline for economic evaluations. This study included published clinical trial data without individual patient data and was </w:t>
      </w:r>
      <w:r w:rsidR="00C0009E" w:rsidRPr="009A7F4E">
        <w:rPr>
          <w:color w:val="000000" w:themeColor="text1"/>
        </w:rPr>
        <w:t>approved</w:t>
      </w:r>
      <w:r w:rsidRPr="009A7F4E">
        <w:rPr>
          <w:color w:val="000000" w:themeColor="text1"/>
        </w:rPr>
        <w:t xml:space="preserve"> by the institutional review board of Harvard University</w:t>
      </w:r>
      <w:r w:rsidR="00C0009E" w:rsidRPr="009A7F4E">
        <w:rPr>
          <w:color w:val="000000" w:themeColor="text1"/>
        </w:rPr>
        <w:t xml:space="preserve"> and Dana Farber Cancer Institute</w:t>
      </w:r>
      <w:r w:rsidRPr="009A7F4E">
        <w:rPr>
          <w:color w:val="000000" w:themeColor="text1"/>
        </w:rPr>
        <w:t>.</w:t>
      </w:r>
    </w:p>
    <w:p w14:paraId="7482686B" w14:textId="77777777" w:rsidR="00590513" w:rsidRPr="009A7F4E" w:rsidRDefault="00590513" w:rsidP="004A2C00">
      <w:pPr>
        <w:contextualSpacing/>
        <w:rPr>
          <w:b/>
          <w:bCs/>
          <w:color w:val="000000" w:themeColor="text1"/>
        </w:rPr>
      </w:pPr>
    </w:p>
    <w:p w14:paraId="20404EEA" w14:textId="77777777" w:rsidR="00502938" w:rsidRPr="009A7F4E" w:rsidRDefault="00D76E9D" w:rsidP="00502938">
      <w:pPr>
        <w:rPr>
          <w:b/>
          <w:bCs/>
          <w:color w:val="000000" w:themeColor="text1"/>
        </w:rPr>
      </w:pPr>
      <w:r w:rsidRPr="009A7F4E">
        <w:rPr>
          <w:b/>
          <w:bCs/>
          <w:color w:val="000000" w:themeColor="text1"/>
        </w:rPr>
        <w:t xml:space="preserve">2.1 </w:t>
      </w:r>
      <w:r w:rsidR="00E01D76" w:rsidRPr="00E01D76">
        <w:rPr>
          <w:b/>
          <w:bCs/>
          <w:color w:val="000000" w:themeColor="text1"/>
        </w:rPr>
        <w:t>Decision Model</w:t>
      </w:r>
    </w:p>
    <w:p w14:paraId="7B239236" w14:textId="446EA782" w:rsidR="000067EF" w:rsidRPr="009A7F4E" w:rsidRDefault="00502938" w:rsidP="000067EF">
      <w:pPr>
        <w:rPr>
          <w:b/>
          <w:bCs/>
          <w:color w:val="000000" w:themeColor="text1"/>
        </w:rPr>
      </w:pPr>
      <w:r w:rsidRPr="009A7F4E">
        <w:rPr>
          <w:color w:val="000000" w:themeColor="text1"/>
        </w:rPr>
        <w:t xml:space="preserve">We constructed a partitioned survival analysis model to </w:t>
      </w:r>
      <w:r w:rsidR="00590513" w:rsidRPr="009A7F4E">
        <w:rPr>
          <w:color w:val="000000" w:themeColor="text1"/>
        </w:rPr>
        <w:t xml:space="preserve">simulate costs, quality of life, toxic effects, progression, and survival among patients receiving </w:t>
      </w:r>
      <w:r w:rsidR="00F268F7" w:rsidRPr="00590513">
        <w:rPr>
          <w:color w:val="000000" w:themeColor="text1"/>
        </w:rPr>
        <w:t>nivolumab-ipilimumab combination therapy</w:t>
      </w:r>
      <w:r w:rsidR="00F268F7" w:rsidRPr="009A7F4E">
        <w:rPr>
          <w:color w:val="000000" w:themeColor="text1"/>
        </w:rPr>
        <w:t xml:space="preserve"> or nivolumab monotherapy as first-line treatment for </w:t>
      </w:r>
      <w:r w:rsidR="00F268F7" w:rsidRPr="009A7F4E">
        <w:rPr>
          <w:color w:val="000000" w:themeColor="text1"/>
        </w:rPr>
        <w:t>unresectable stage III or stage IV advanced melanoma</w:t>
      </w:r>
      <w:r w:rsidR="00F268F7" w:rsidRPr="009A7F4E">
        <w:rPr>
          <w:color w:val="000000" w:themeColor="text1"/>
        </w:rPr>
        <w:t xml:space="preserve">. We built our model and derived model inputs based on results reported in the </w:t>
      </w:r>
      <w:proofErr w:type="spellStart"/>
      <w:r w:rsidR="00F268F7" w:rsidRPr="009A7F4E">
        <w:rPr>
          <w:color w:val="000000" w:themeColor="text1"/>
        </w:rPr>
        <w:t>CheckMate</w:t>
      </w:r>
      <w:proofErr w:type="spellEnd"/>
      <w:r w:rsidR="00F268F7" w:rsidRPr="009A7F4E">
        <w:rPr>
          <w:color w:val="000000" w:themeColor="text1"/>
        </w:rPr>
        <w:t xml:space="preserve"> 067 clinical trial, as well as several cohorts of patients with metastatic melanoma from previous studies and clinical trials. In a previous analysis of whole-exome sequencing (WES) of patients with metastatic melanoma treated with aPD-1 ICB, it was found that genomic heterogeneity and low genomic ploidy were important biomarkers in predicting intrinsic resistance in ICB-naïve patients (cross-validation area under the curve (AUC) of 0.76).</w:t>
      </w:r>
      <w:r w:rsidR="0067690A" w:rsidRPr="009A7F4E">
        <w:rPr>
          <w:color w:val="000000" w:themeColor="text1"/>
        </w:rPr>
        <w:t xml:space="preserve"> These results were further validated on an independent cohort from two other clinical trials (</w:t>
      </w:r>
      <w:proofErr w:type="spellStart"/>
      <w:r w:rsidR="0067690A" w:rsidRPr="009A7F4E">
        <w:rPr>
          <w:color w:val="000000" w:themeColor="text1"/>
        </w:rPr>
        <w:t>CheckMate</w:t>
      </w:r>
      <w:proofErr w:type="spellEnd"/>
      <w:r w:rsidR="0067690A" w:rsidRPr="009A7F4E">
        <w:rPr>
          <w:color w:val="000000" w:themeColor="text1"/>
        </w:rPr>
        <w:t xml:space="preserve"> 038 and </w:t>
      </w:r>
      <w:proofErr w:type="spellStart"/>
      <w:r w:rsidR="0067690A" w:rsidRPr="009A7F4E">
        <w:rPr>
          <w:color w:val="000000" w:themeColor="text1"/>
        </w:rPr>
        <w:t>CheckMate</w:t>
      </w:r>
      <w:proofErr w:type="spellEnd"/>
      <w:r w:rsidR="0067690A" w:rsidRPr="009A7F4E">
        <w:rPr>
          <w:color w:val="000000" w:themeColor="text1"/>
        </w:rPr>
        <w:t xml:space="preserve"> 064), and these biomarkers were found to be robust predictors of intrinsic resistance to therapy.</w:t>
      </w:r>
      <w:r w:rsidR="000067EF" w:rsidRPr="009A7F4E">
        <w:rPr>
          <w:color w:val="000000" w:themeColor="text1"/>
        </w:rPr>
        <w:t xml:space="preserve"> </w:t>
      </w:r>
    </w:p>
    <w:p w14:paraId="4C9183B5" w14:textId="77777777" w:rsidR="0067690A" w:rsidRPr="009A7F4E" w:rsidRDefault="0067690A" w:rsidP="00502938">
      <w:pPr>
        <w:rPr>
          <w:color w:val="000000" w:themeColor="text1"/>
        </w:rPr>
      </w:pPr>
    </w:p>
    <w:p w14:paraId="46779045" w14:textId="6E48D49B" w:rsidR="006F744D" w:rsidRPr="009A7F4E" w:rsidRDefault="0067690A" w:rsidP="000067EF">
      <w:pPr>
        <w:rPr>
          <w:color w:val="000000" w:themeColor="text1"/>
        </w:rPr>
      </w:pPr>
      <w:r w:rsidRPr="009A7F4E">
        <w:rPr>
          <w:color w:val="000000" w:themeColor="text1"/>
        </w:rPr>
        <w:t xml:space="preserve">In our </w:t>
      </w:r>
      <w:r w:rsidRPr="009A7F4E">
        <w:rPr>
          <w:color w:val="000000" w:themeColor="text1"/>
        </w:rPr>
        <w:t xml:space="preserve">partitioned </w:t>
      </w:r>
      <w:r w:rsidRPr="009A7F4E">
        <w:rPr>
          <w:color w:val="000000" w:themeColor="text1"/>
        </w:rPr>
        <w:t xml:space="preserve">survival model, patients could progress through three mutually exclusive health states: stable disease, progressed disease, and death. Figure 1 illustrates these possible transitions, as well as the three first-line treatment strategies we sought to evaluate: (1) </w:t>
      </w:r>
      <w:r w:rsidRPr="00590513">
        <w:rPr>
          <w:color w:val="000000" w:themeColor="text1"/>
        </w:rPr>
        <w:t>nivolumab-ipilimumab combination therapy</w:t>
      </w:r>
      <w:r w:rsidRPr="009A7F4E">
        <w:rPr>
          <w:color w:val="000000" w:themeColor="text1"/>
        </w:rPr>
        <w:t xml:space="preserve">, (2) </w:t>
      </w:r>
      <w:r w:rsidRPr="00590513">
        <w:rPr>
          <w:color w:val="000000" w:themeColor="text1"/>
        </w:rPr>
        <w:t xml:space="preserve">nivolumab </w:t>
      </w:r>
      <w:r w:rsidRPr="009A7F4E">
        <w:rPr>
          <w:color w:val="000000" w:themeColor="text1"/>
        </w:rPr>
        <w:t>mono</w:t>
      </w:r>
      <w:r w:rsidRPr="00590513">
        <w:rPr>
          <w:color w:val="000000" w:themeColor="text1"/>
        </w:rPr>
        <w:t>therapy</w:t>
      </w:r>
      <w:r w:rsidRPr="009A7F4E">
        <w:rPr>
          <w:color w:val="000000" w:themeColor="text1"/>
        </w:rPr>
        <w:t>, and (3) a biomarker guided strategy in which first-line treatment decisions are determined based on predictions of intrinsic resistance to monotherapy.</w:t>
      </w:r>
      <w:r w:rsidR="00364F15" w:rsidRPr="009A7F4E">
        <w:rPr>
          <w:color w:val="000000" w:themeColor="text1"/>
        </w:rPr>
        <w:t xml:space="preserve"> While the cost-effectiveness of first-line </w:t>
      </w:r>
      <w:r w:rsidR="00364F15" w:rsidRPr="00590513">
        <w:rPr>
          <w:color w:val="000000" w:themeColor="text1"/>
        </w:rPr>
        <w:t>nivolumab-ipilimumab combination therapy</w:t>
      </w:r>
      <w:r w:rsidR="00364F15" w:rsidRPr="009A7F4E">
        <w:rPr>
          <w:color w:val="000000" w:themeColor="text1"/>
        </w:rPr>
        <w:t xml:space="preserve"> has been evaluated elsewhere using </w:t>
      </w:r>
      <w:r w:rsidR="001063E8" w:rsidRPr="009A7F4E">
        <w:rPr>
          <w:color w:val="000000" w:themeColor="text1"/>
        </w:rPr>
        <w:t>less complete follow-up</w:t>
      </w:r>
      <w:r w:rsidR="00364F15" w:rsidRPr="009A7F4E">
        <w:rPr>
          <w:color w:val="000000" w:themeColor="text1"/>
        </w:rPr>
        <w:t xml:space="preserve"> data [cite], our </w:t>
      </w:r>
      <w:r w:rsidR="001063E8" w:rsidRPr="009A7F4E">
        <w:rPr>
          <w:color w:val="000000" w:themeColor="text1"/>
        </w:rPr>
        <w:t xml:space="preserve">main </w:t>
      </w:r>
      <w:r w:rsidR="00364F15" w:rsidRPr="009A7F4E">
        <w:rPr>
          <w:color w:val="000000" w:themeColor="text1"/>
        </w:rPr>
        <w:t>contribution lies in quantifying the value of a biomarker for first-line treatment decision. Though</w:t>
      </w:r>
      <w:r w:rsidRPr="009A7F4E">
        <w:rPr>
          <w:color w:val="000000" w:themeColor="text1"/>
        </w:rPr>
        <w:t xml:space="preserve"> our base case analysis evaluates the cost-effectiveness of </w:t>
      </w:r>
      <w:r w:rsidR="000067EF" w:rsidRPr="009A7F4E">
        <w:rPr>
          <w:color w:val="000000" w:themeColor="text1"/>
        </w:rPr>
        <w:t xml:space="preserve">using genomic </w:t>
      </w:r>
      <w:r w:rsidR="000067EF" w:rsidRPr="009A7F4E">
        <w:rPr>
          <w:color w:val="000000" w:themeColor="text1"/>
        </w:rPr>
        <w:t>heterogeneity</w:t>
      </w:r>
      <w:r w:rsidR="000067EF" w:rsidRPr="009A7F4E">
        <w:rPr>
          <w:color w:val="000000" w:themeColor="text1"/>
        </w:rPr>
        <w:t xml:space="preserve"> and ploidy</w:t>
      </w:r>
      <w:r w:rsidR="00364F15" w:rsidRPr="009A7F4E">
        <w:rPr>
          <w:color w:val="000000" w:themeColor="text1"/>
        </w:rPr>
        <w:t xml:space="preserve"> to decide first-line treatment</w:t>
      </w:r>
      <w:r w:rsidR="000067EF" w:rsidRPr="009A7F4E">
        <w:rPr>
          <w:color w:val="000000" w:themeColor="text1"/>
        </w:rPr>
        <w:t xml:space="preserve">, our sensitivity analysis demonstrates a value of information analysis that can be used to assess the economic value of newly discovered biomarkers that may be better or worse in predicting intrinsic resistance to monotherapy or toxicity related adverse events under combination therapy. </w:t>
      </w:r>
      <w:r w:rsidR="000067EF" w:rsidRPr="00590513">
        <w:rPr>
          <w:color w:val="000000" w:themeColor="text1"/>
        </w:rPr>
        <w:t>We used a 1-month cycle length and a horizon extending over 10 years</w:t>
      </w:r>
      <w:r w:rsidR="000067EF" w:rsidRPr="009A7F4E">
        <w:rPr>
          <w:color w:val="000000" w:themeColor="text1"/>
        </w:rPr>
        <w:t>. R programming language, version 4.4.3, was used to develop and analyze the model.</w:t>
      </w:r>
    </w:p>
    <w:p w14:paraId="78AD96FE" w14:textId="069D1D40" w:rsidR="006F744D" w:rsidRPr="009A7F4E" w:rsidRDefault="006F744D" w:rsidP="006F744D">
      <w:pPr>
        <w:pStyle w:val="Caption"/>
        <w:keepNext/>
        <w:jc w:val="center"/>
        <w:rPr>
          <w:rFonts w:ascii="Times New Roman" w:hAnsi="Times New Roman" w:cs="Times New Roman"/>
          <w:color w:val="000000" w:themeColor="text1"/>
          <w:sz w:val="24"/>
          <w:szCs w:val="24"/>
        </w:rPr>
      </w:pPr>
      <w:r w:rsidRPr="009A7F4E">
        <w:rPr>
          <w:rFonts w:ascii="Times New Roman" w:hAnsi="Times New Roman" w:cs="Times New Roman"/>
          <w:color w:val="000000" w:themeColor="text1"/>
          <w:sz w:val="24"/>
          <w:szCs w:val="24"/>
        </w:rPr>
        <w:lastRenderedPageBreak/>
        <w:t xml:space="preserve">Figure </w:t>
      </w:r>
      <w:r w:rsidRPr="009A7F4E">
        <w:rPr>
          <w:rFonts w:ascii="Times New Roman" w:hAnsi="Times New Roman" w:cs="Times New Roman"/>
          <w:color w:val="000000" w:themeColor="text1"/>
          <w:sz w:val="24"/>
          <w:szCs w:val="24"/>
        </w:rPr>
        <w:fldChar w:fldCharType="begin"/>
      </w:r>
      <w:r w:rsidRPr="009A7F4E">
        <w:rPr>
          <w:rFonts w:ascii="Times New Roman" w:hAnsi="Times New Roman" w:cs="Times New Roman"/>
          <w:color w:val="000000" w:themeColor="text1"/>
          <w:sz w:val="24"/>
          <w:szCs w:val="24"/>
        </w:rPr>
        <w:instrText xml:space="preserve"> SEQ Figure \* ARABIC </w:instrText>
      </w:r>
      <w:r w:rsidRPr="009A7F4E">
        <w:rPr>
          <w:rFonts w:ascii="Times New Roman" w:hAnsi="Times New Roman" w:cs="Times New Roman"/>
          <w:color w:val="000000" w:themeColor="text1"/>
          <w:sz w:val="24"/>
          <w:szCs w:val="24"/>
        </w:rPr>
        <w:fldChar w:fldCharType="separate"/>
      </w:r>
      <w:r w:rsidR="00765B60" w:rsidRPr="009A7F4E">
        <w:rPr>
          <w:rFonts w:ascii="Times New Roman" w:hAnsi="Times New Roman" w:cs="Times New Roman"/>
          <w:noProof/>
          <w:color w:val="000000" w:themeColor="text1"/>
          <w:sz w:val="24"/>
          <w:szCs w:val="24"/>
        </w:rPr>
        <w:t>1</w:t>
      </w:r>
      <w:r w:rsidRPr="009A7F4E">
        <w:rPr>
          <w:rFonts w:ascii="Times New Roman" w:hAnsi="Times New Roman" w:cs="Times New Roman"/>
          <w:color w:val="000000" w:themeColor="text1"/>
          <w:sz w:val="24"/>
          <w:szCs w:val="24"/>
        </w:rPr>
        <w:fldChar w:fldCharType="end"/>
      </w:r>
      <w:r w:rsidRPr="009A7F4E">
        <w:rPr>
          <w:rFonts w:ascii="Times New Roman" w:hAnsi="Times New Roman" w:cs="Times New Roman"/>
          <w:color w:val="000000" w:themeColor="text1"/>
          <w:sz w:val="24"/>
          <w:szCs w:val="24"/>
        </w:rPr>
        <w:t>: Partitioned Survival Analysis Model for the Study Scenarios</w:t>
      </w:r>
    </w:p>
    <w:p w14:paraId="2F93C145" w14:textId="2BBA8D18" w:rsidR="00364F15" w:rsidRPr="009A7F4E" w:rsidRDefault="006F744D" w:rsidP="00207353">
      <w:pPr>
        <w:keepNext/>
        <w:jc w:val="center"/>
        <w:rPr>
          <w:color w:val="000000" w:themeColor="text1"/>
        </w:rPr>
      </w:pPr>
      <w:r w:rsidRPr="009A7F4E">
        <w:rPr>
          <w:b/>
          <w:bCs/>
          <w:noProof/>
          <w:color w:val="000000" w:themeColor="text1"/>
        </w:rPr>
        <w:drawing>
          <wp:inline distT="0" distB="0" distL="0" distR="0" wp14:anchorId="037AEB80" wp14:editId="1DA92D1F">
            <wp:extent cx="5261956" cy="2959850"/>
            <wp:effectExtent l="0" t="0" r="0" b="0"/>
            <wp:docPr id="175074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41735" name="Picture 1750741735"/>
                    <pic:cNvPicPr/>
                  </pic:nvPicPr>
                  <pic:blipFill>
                    <a:blip r:embed="rId7"/>
                    <a:stretch>
                      <a:fillRect/>
                    </a:stretch>
                  </pic:blipFill>
                  <pic:spPr>
                    <a:xfrm>
                      <a:off x="0" y="0"/>
                      <a:ext cx="5271146" cy="2965019"/>
                    </a:xfrm>
                    <a:prstGeom prst="rect">
                      <a:avLst/>
                    </a:prstGeom>
                  </pic:spPr>
                </pic:pic>
              </a:graphicData>
            </a:graphic>
          </wp:inline>
        </w:drawing>
      </w:r>
    </w:p>
    <w:p w14:paraId="18504375" w14:textId="674F42F8" w:rsidR="00D473D0" w:rsidRPr="009A7F4E" w:rsidRDefault="00CB171C" w:rsidP="00D473D0">
      <w:pPr>
        <w:keepNext/>
        <w:rPr>
          <w:i/>
          <w:iCs/>
          <w:color w:val="000000" w:themeColor="text1"/>
          <w:sz w:val="18"/>
          <w:szCs w:val="18"/>
        </w:rPr>
      </w:pPr>
      <w:r w:rsidRPr="009A7F4E">
        <w:rPr>
          <w:i/>
          <w:iCs/>
          <w:color w:val="000000" w:themeColor="text1"/>
          <w:sz w:val="18"/>
          <w:szCs w:val="18"/>
        </w:rPr>
        <w:t xml:space="preserve">Notes: </w:t>
      </w:r>
      <w:r w:rsidR="00D473D0" w:rsidRPr="009A7F4E">
        <w:rPr>
          <w:i/>
          <w:iCs/>
          <w:color w:val="000000" w:themeColor="text1"/>
          <w:sz w:val="18"/>
          <w:szCs w:val="18"/>
        </w:rPr>
        <w:t>Arrows represent transitions between health states.</w:t>
      </w:r>
    </w:p>
    <w:p w14:paraId="53FCB847" w14:textId="77777777" w:rsidR="00D473D0" w:rsidRPr="009A7F4E" w:rsidRDefault="00D473D0" w:rsidP="00D473D0">
      <w:pPr>
        <w:keepNext/>
        <w:rPr>
          <w:i/>
          <w:iCs/>
          <w:color w:val="000000" w:themeColor="text1"/>
        </w:rPr>
      </w:pPr>
    </w:p>
    <w:p w14:paraId="526A4A62" w14:textId="77777777" w:rsidR="00364F15" w:rsidRPr="009A7F4E" w:rsidRDefault="00364F15" w:rsidP="00364F15">
      <w:pPr>
        <w:pStyle w:val="NormalWeb"/>
        <w:spacing w:before="0" w:beforeAutospacing="0" w:after="0" w:afterAutospacing="0"/>
        <w:rPr>
          <w:b/>
          <w:bCs/>
          <w:color w:val="000000" w:themeColor="text1"/>
        </w:rPr>
      </w:pPr>
      <w:r w:rsidRPr="009A7F4E">
        <w:rPr>
          <w:b/>
          <w:bCs/>
          <w:color w:val="000000" w:themeColor="text1"/>
        </w:rPr>
        <w:t>2.2 Treatment Details</w:t>
      </w:r>
    </w:p>
    <w:p w14:paraId="52B47508" w14:textId="1C943E36" w:rsidR="00364F15" w:rsidRPr="009A7F4E" w:rsidRDefault="00364F15" w:rsidP="00364F15">
      <w:pPr>
        <w:pStyle w:val="NormalWeb"/>
        <w:spacing w:before="0" w:beforeAutospacing="0" w:after="0" w:afterAutospacing="0"/>
        <w:rPr>
          <w:b/>
          <w:bCs/>
          <w:color w:val="000000" w:themeColor="text1"/>
        </w:rPr>
      </w:pPr>
      <w:r w:rsidRPr="009A7F4E">
        <w:rPr>
          <w:color w:val="000000" w:themeColor="text1"/>
        </w:rPr>
        <w:t xml:space="preserve">The </w:t>
      </w:r>
      <w:proofErr w:type="spellStart"/>
      <w:r w:rsidRPr="009A7F4E">
        <w:rPr>
          <w:color w:val="000000" w:themeColor="text1"/>
        </w:rPr>
        <w:t>CheckMate</w:t>
      </w:r>
      <w:proofErr w:type="spellEnd"/>
      <w:r w:rsidRPr="009A7F4E">
        <w:rPr>
          <w:color w:val="000000" w:themeColor="text1"/>
        </w:rPr>
        <w:t xml:space="preserve"> 067 clinical trial randomly assigned patients with previously untreated, histologically confirmed, unresectable stage III or stage IV advanced melanoma to one of three treatment arms: nivolumab</w:t>
      </w:r>
      <w:r w:rsidR="00822950" w:rsidRPr="009A7F4E">
        <w:rPr>
          <w:color w:val="000000" w:themeColor="text1"/>
        </w:rPr>
        <w:t>-</w:t>
      </w:r>
      <w:r w:rsidRPr="009A7F4E">
        <w:rPr>
          <w:color w:val="000000" w:themeColor="text1"/>
        </w:rPr>
        <w:t xml:space="preserve">ipilimumab combination therapy, </w:t>
      </w:r>
      <w:r w:rsidR="00822950" w:rsidRPr="009A7F4E">
        <w:rPr>
          <w:color w:val="000000" w:themeColor="text1"/>
        </w:rPr>
        <w:t>nivolumab monotherapy</w:t>
      </w:r>
      <w:r w:rsidR="00822950" w:rsidRPr="009A7F4E">
        <w:rPr>
          <w:color w:val="000000" w:themeColor="text1"/>
        </w:rPr>
        <w:t xml:space="preserve">, </w:t>
      </w:r>
      <w:r w:rsidRPr="009A7F4E">
        <w:rPr>
          <w:color w:val="000000" w:themeColor="text1"/>
        </w:rPr>
        <w:t xml:space="preserve">or ipilimumab monotherapy. Treatment was continued until disease progression, development of unacceptable toxic effects, or withdrawal of consent. In our model, consistent with current clinical practice and the </w:t>
      </w:r>
      <w:proofErr w:type="spellStart"/>
      <w:r w:rsidRPr="009A7F4E">
        <w:rPr>
          <w:color w:val="000000" w:themeColor="text1"/>
        </w:rPr>
        <w:t>CheckMate</w:t>
      </w:r>
      <w:proofErr w:type="spellEnd"/>
      <w:r w:rsidRPr="009A7F4E">
        <w:rPr>
          <w:color w:val="000000" w:themeColor="text1"/>
        </w:rPr>
        <w:t xml:space="preserve"> 067 protocol, nivolumab monotherapy was administered intravenously at a dose of 3 mg/kg every two weeks until progression or toxicity. Combination therapy comprised induction therapy with nivolumab (1 mg/kg) plus ipilimumab (3 mg/kg) administered every three weeks for up to four doses, followed by nivolumab maintenance (3 mg/kg every two weeks).</w:t>
      </w:r>
    </w:p>
    <w:p w14:paraId="6FFA8F2B" w14:textId="77777777" w:rsidR="00364F15" w:rsidRPr="009A7F4E" w:rsidRDefault="00364F15" w:rsidP="00364F15">
      <w:pPr>
        <w:pStyle w:val="NormalWeb"/>
        <w:rPr>
          <w:color w:val="000000" w:themeColor="text1"/>
        </w:rPr>
      </w:pPr>
      <w:r w:rsidRPr="009A7F4E">
        <w:rPr>
          <w:color w:val="000000" w:themeColor="text1"/>
        </w:rPr>
        <w:t xml:space="preserve">The biomarker-driven strategy incorporated a predictive model developed by Tarantino et al., leveraging genomic heterogeneity and ploidy derived from whole-exome sequencing (WES) of pretreatment tumors in immunotherapy-naïve patients. This model identifies patients intrinsically resistant to nivolumab monotherapy with high precision (positive predictive value ~90%). Patients predicted resistant to nivolumab monotherapy received combination therapy, whereas predicted responders received nivolumab monotherapy. The biomarker model's base-case performance parameters were [placeholder: sensitivity of 60% and specificity of 88%]. The Tarantino et al. study population closely matched the patient demographics, clinical characteristics, and disease stage of the </w:t>
      </w:r>
      <w:proofErr w:type="spellStart"/>
      <w:r w:rsidRPr="009A7F4E">
        <w:rPr>
          <w:color w:val="000000" w:themeColor="text1"/>
        </w:rPr>
        <w:t>CheckMate</w:t>
      </w:r>
      <w:proofErr w:type="spellEnd"/>
      <w:r w:rsidRPr="009A7F4E">
        <w:rPr>
          <w:color w:val="000000" w:themeColor="text1"/>
        </w:rPr>
        <w:t xml:space="preserve"> 067 cohort, enhancing generalizability and applicability of the biomarker-driven approach.</w:t>
      </w:r>
    </w:p>
    <w:p w14:paraId="7A534799" w14:textId="77A9492D" w:rsidR="00364F15" w:rsidRPr="009A7F4E" w:rsidRDefault="00364F15" w:rsidP="00364F15">
      <w:pPr>
        <w:pStyle w:val="NormalWeb"/>
        <w:rPr>
          <w:color w:val="000000" w:themeColor="text1"/>
        </w:rPr>
      </w:pPr>
      <w:r w:rsidRPr="009A7F4E">
        <w:rPr>
          <w:color w:val="000000" w:themeColor="text1"/>
        </w:rPr>
        <w:t xml:space="preserve">Treatment durations in the model were limited to a maximum of 24 months, in line with </w:t>
      </w:r>
      <w:proofErr w:type="spellStart"/>
      <w:r w:rsidRPr="009A7F4E">
        <w:rPr>
          <w:color w:val="000000" w:themeColor="text1"/>
        </w:rPr>
        <w:t>CheckMate</w:t>
      </w:r>
      <w:proofErr w:type="spellEnd"/>
      <w:r w:rsidRPr="009A7F4E">
        <w:rPr>
          <w:color w:val="000000" w:themeColor="text1"/>
        </w:rPr>
        <w:t xml:space="preserve"> 067 observations and clinical guidelines recommending treatment discontinuation after sustained response. Early discontinuation due to treatment-related adverse events was </w:t>
      </w:r>
      <w:r w:rsidRPr="009A7F4E">
        <w:rPr>
          <w:color w:val="000000" w:themeColor="text1"/>
        </w:rPr>
        <w:lastRenderedPageBreak/>
        <w:t xml:space="preserve">explicitly modeled based on trial-reported discontinuation rates (44.4% for combination therapy, 15.7% for nivolumab monotherapy), occurring predominantly within the first three months. Subsequent systemic therapy </w:t>
      </w:r>
      <w:proofErr w:type="gramStart"/>
      <w:r w:rsidR="00652B67" w:rsidRPr="009A7F4E">
        <w:rPr>
          <w:color w:val="000000" w:themeColor="text1"/>
        </w:rPr>
        <w:t>uses</w:t>
      </w:r>
      <w:proofErr w:type="gramEnd"/>
      <w:r w:rsidRPr="009A7F4E">
        <w:rPr>
          <w:color w:val="000000" w:themeColor="text1"/>
        </w:rPr>
        <w:t xml:space="preserve"> and associated costs were based on </w:t>
      </w:r>
      <w:proofErr w:type="spellStart"/>
      <w:r w:rsidRPr="009A7F4E">
        <w:rPr>
          <w:color w:val="000000" w:themeColor="text1"/>
        </w:rPr>
        <w:t>CheckMate</w:t>
      </w:r>
      <w:proofErr w:type="spellEnd"/>
      <w:r w:rsidRPr="009A7F4E">
        <w:rPr>
          <w:color w:val="000000" w:themeColor="text1"/>
        </w:rPr>
        <w:t xml:space="preserve"> 067 trial data, reflecting real-world treatment patterns and accurately capturing the downstream economic implications of first-line immunotherapy selection.</w:t>
      </w:r>
    </w:p>
    <w:p w14:paraId="2DBEE662" w14:textId="74954230" w:rsidR="001E52CB" w:rsidRPr="009A7F4E" w:rsidRDefault="001E52CB" w:rsidP="00502938">
      <w:pPr>
        <w:rPr>
          <w:b/>
          <w:bCs/>
          <w:color w:val="000000" w:themeColor="text1"/>
        </w:rPr>
      </w:pPr>
      <w:r w:rsidRPr="009A7F4E">
        <w:rPr>
          <w:b/>
          <w:bCs/>
          <w:color w:val="000000" w:themeColor="text1"/>
        </w:rPr>
        <w:t>2.3 Model Probabilities</w:t>
      </w:r>
    </w:p>
    <w:p w14:paraId="11B1174A" w14:textId="05281BCE" w:rsidR="00765B60" w:rsidRPr="009A7F4E" w:rsidRDefault="00CB1096" w:rsidP="00502938">
      <w:pPr>
        <w:rPr>
          <w:color w:val="000000" w:themeColor="text1"/>
        </w:rPr>
      </w:pPr>
      <w:r w:rsidRPr="009A7F4E">
        <w:rPr>
          <w:color w:val="000000" w:themeColor="text1"/>
        </w:rPr>
        <w:t xml:space="preserve">Patients entered the partitioned survival analysis model in the progression-free disease state, where they could remain progression-free or transition to progressed disease or death based on </w:t>
      </w:r>
      <w:proofErr w:type="spellStart"/>
      <w:r w:rsidRPr="009A7F4E">
        <w:rPr>
          <w:color w:val="000000" w:themeColor="text1"/>
        </w:rPr>
        <w:t>CheckMate</w:t>
      </w:r>
      <w:proofErr w:type="spellEnd"/>
      <w:r w:rsidRPr="009A7F4E">
        <w:rPr>
          <w:color w:val="000000" w:themeColor="text1"/>
        </w:rPr>
        <w:t xml:space="preserve"> 067 </w:t>
      </w:r>
      <w:r w:rsidRPr="009A7F4E">
        <w:rPr>
          <w:color w:val="000000" w:themeColor="text1"/>
        </w:rPr>
        <w:t>trial-derived probabilities.</w:t>
      </w:r>
      <w:r w:rsidRPr="009A7F4E">
        <w:rPr>
          <w:color w:val="000000" w:themeColor="text1"/>
        </w:rPr>
        <w:t xml:space="preserve"> Progression free survival (PFS) and overall survival (OS) data were extracted from the reported Kaplan-Meier curves and used to </w:t>
      </w:r>
      <w:r w:rsidRPr="009A7F4E">
        <w:rPr>
          <w:color w:val="000000" w:themeColor="text1"/>
        </w:rPr>
        <w:t>generate pseudo</w:t>
      </w:r>
      <w:r w:rsidRPr="009A7F4E">
        <w:rPr>
          <w:color w:val="000000" w:themeColor="text1"/>
        </w:rPr>
        <w:t>-</w:t>
      </w:r>
      <w:r w:rsidRPr="009A7F4E">
        <w:rPr>
          <w:color w:val="000000" w:themeColor="text1"/>
        </w:rPr>
        <w:t>individual patient data</w:t>
      </w:r>
      <w:r w:rsidRPr="009A7F4E">
        <w:rPr>
          <w:color w:val="000000" w:themeColor="text1"/>
        </w:rPr>
        <w:t xml:space="preserve"> using methods described elsewhere [cite]. </w:t>
      </w:r>
      <w:r w:rsidRPr="009A7F4E">
        <w:rPr>
          <w:color w:val="000000" w:themeColor="text1"/>
        </w:rPr>
        <w:t>Competing parametric models were fitted to the reconstructed data</w:t>
      </w:r>
      <w:r w:rsidRPr="009A7F4E">
        <w:rPr>
          <w:color w:val="000000" w:themeColor="text1"/>
        </w:rPr>
        <w:t xml:space="preserve"> and the </w:t>
      </w:r>
      <w:r w:rsidRPr="009A7F4E">
        <w:rPr>
          <w:color w:val="000000" w:themeColor="text1"/>
        </w:rPr>
        <w:t>best-fitting models were selected based on the Akaike information criterion</w:t>
      </w:r>
      <w:r w:rsidRPr="009A7F4E">
        <w:rPr>
          <w:color w:val="000000" w:themeColor="text1"/>
        </w:rPr>
        <w:t xml:space="preserve">. </w:t>
      </w:r>
      <w:r w:rsidRPr="009A7F4E">
        <w:rPr>
          <w:color w:val="000000" w:themeColor="text1"/>
        </w:rPr>
        <w:t xml:space="preserve">Model validation was conducted by comparing model-predicted survival outcomes with actual survival data from </w:t>
      </w:r>
      <w:proofErr w:type="spellStart"/>
      <w:r w:rsidRPr="009A7F4E">
        <w:rPr>
          <w:color w:val="000000" w:themeColor="text1"/>
        </w:rPr>
        <w:t>CheckMate</w:t>
      </w:r>
      <w:proofErr w:type="spellEnd"/>
      <w:r w:rsidRPr="009A7F4E">
        <w:rPr>
          <w:color w:val="000000" w:themeColor="text1"/>
        </w:rPr>
        <w:t xml:space="preserve"> 067, demonstrating high fidelity between predicted and observed outcomes for OS and PFS across multiple</w:t>
      </w:r>
      <w:r w:rsidRPr="009A7F4E">
        <w:rPr>
          <w:color w:val="000000" w:themeColor="text1"/>
        </w:rPr>
        <w:t xml:space="preserve"> published</w:t>
      </w:r>
      <w:r w:rsidRPr="009A7F4E">
        <w:rPr>
          <w:color w:val="000000" w:themeColor="text1"/>
        </w:rPr>
        <w:t xml:space="preserve"> time points</w:t>
      </w:r>
      <w:r w:rsidRPr="009A7F4E">
        <w:rPr>
          <w:color w:val="000000" w:themeColor="text1"/>
        </w:rPr>
        <w:t xml:space="preserve"> over the ten-year period</w:t>
      </w:r>
      <w:r w:rsidRPr="009A7F4E">
        <w:rPr>
          <w:color w:val="000000" w:themeColor="text1"/>
        </w:rPr>
        <w:t xml:space="preserve"> (36, 60, and 120 months) (Figure 2). Consistent with previous cost-effectiveness analyses, we incorporated grades 3-5 treatment-related adverse events</w:t>
      </w:r>
      <w:r w:rsidRPr="009A7F4E">
        <w:rPr>
          <w:color w:val="000000" w:themeColor="text1"/>
        </w:rPr>
        <w:t xml:space="preserve"> (AE)</w:t>
      </w:r>
      <w:r w:rsidRPr="009A7F4E">
        <w:rPr>
          <w:color w:val="000000" w:themeColor="text1"/>
        </w:rPr>
        <w:t xml:space="preserve"> into the model, using probabilities directly extracted from trial data. </w:t>
      </w:r>
      <w:r w:rsidRPr="009A7F4E">
        <w:rPr>
          <w:color w:val="000000" w:themeColor="text1"/>
        </w:rPr>
        <w:t xml:space="preserve">Methods for incorporating AEs into the model are further described in </w:t>
      </w:r>
      <w:proofErr w:type="spellStart"/>
      <w:r w:rsidRPr="009A7F4E">
        <w:rPr>
          <w:color w:val="000000" w:themeColor="text1"/>
        </w:rPr>
        <w:t>eMethods</w:t>
      </w:r>
      <w:proofErr w:type="spellEnd"/>
      <w:r w:rsidRPr="009A7F4E">
        <w:rPr>
          <w:color w:val="000000" w:themeColor="text1"/>
        </w:rPr>
        <w:t xml:space="preserve"> in the Supplement. </w:t>
      </w:r>
    </w:p>
    <w:p w14:paraId="6583C0A5" w14:textId="77777777" w:rsidR="00207353" w:rsidRPr="009A7F4E" w:rsidRDefault="00207353" w:rsidP="00502938">
      <w:pPr>
        <w:rPr>
          <w:color w:val="000000" w:themeColor="text1"/>
        </w:rPr>
      </w:pPr>
    </w:p>
    <w:p w14:paraId="7AEB1378" w14:textId="7535A1F6" w:rsidR="001063E8" w:rsidRPr="009A7F4E" w:rsidRDefault="00207353" w:rsidP="007C550A">
      <w:pPr>
        <w:rPr>
          <w:color w:val="000000" w:themeColor="text1"/>
        </w:rPr>
      </w:pPr>
      <w:r w:rsidRPr="009A7F4E">
        <w:rPr>
          <w:color w:val="000000" w:themeColor="text1"/>
        </w:rPr>
        <w:t>Transition probabilities for</w:t>
      </w:r>
      <w:r w:rsidR="007C550A">
        <w:rPr>
          <w:color w:val="000000" w:themeColor="text1"/>
        </w:rPr>
        <w:t xml:space="preserve"> nivolumab monotherapy responder and resistant were derived using proportionally weighted survival functions. Recognizing that the nivolumab monotherapy arm of </w:t>
      </w:r>
      <w:proofErr w:type="spellStart"/>
      <w:r w:rsidR="007C550A">
        <w:rPr>
          <w:color w:val="000000" w:themeColor="text1"/>
        </w:rPr>
        <w:t>CheckMate</w:t>
      </w:r>
      <w:proofErr w:type="spellEnd"/>
      <w:r w:rsidR="007C550A">
        <w:rPr>
          <w:color w:val="000000" w:themeColor="text1"/>
        </w:rPr>
        <w:t xml:space="preserve"> 067 is a composite of patients with varying responses to PD-1 blockade, we constructed counterfactual survival curves where </w:t>
      </w:r>
      <w:r w:rsidR="001063E8" w:rsidRPr="009A7F4E">
        <w:rPr>
          <w:color w:val="000000" w:themeColor="text1"/>
        </w:rPr>
        <w:t>responder</w:t>
      </w:r>
      <w:r w:rsidR="007C550A">
        <w:rPr>
          <w:color w:val="000000" w:themeColor="text1"/>
        </w:rPr>
        <w:t xml:space="preserve"> OS and PFS</w:t>
      </w:r>
      <w:r w:rsidR="001063E8" w:rsidRPr="009A7F4E">
        <w:rPr>
          <w:color w:val="000000" w:themeColor="text1"/>
        </w:rPr>
        <w:t xml:space="preserve"> are upper-bounded by </w:t>
      </w:r>
      <w:r w:rsidR="007C550A">
        <w:rPr>
          <w:color w:val="000000" w:themeColor="text1"/>
        </w:rPr>
        <w:t xml:space="preserve">our model estimates in the </w:t>
      </w:r>
      <w:r w:rsidR="007C550A" w:rsidRPr="009A7F4E">
        <w:rPr>
          <w:color w:val="000000" w:themeColor="text1"/>
        </w:rPr>
        <w:t>nivolumab-ipilimumab combination therapy</w:t>
      </w:r>
      <w:r w:rsidR="001063E8" w:rsidRPr="009A7F4E">
        <w:rPr>
          <w:color w:val="000000" w:themeColor="text1"/>
        </w:rPr>
        <w:t xml:space="preserve">, while intrinsically resistant patients have markedly poorer outcomes. </w:t>
      </w:r>
      <w:r w:rsidR="007C550A">
        <w:rPr>
          <w:color w:val="000000" w:themeColor="text1"/>
        </w:rPr>
        <w:t>Therefore, the</w:t>
      </w:r>
      <w:r w:rsidR="001063E8" w:rsidRPr="009A7F4E">
        <w:rPr>
          <w:color w:val="000000" w:themeColor="text1"/>
        </w:rPr>
        <w:t xml:space="preserve"> survival function for the </w:t>
      </w:r>
      <w:r w:rsidR="007C550A">
        <w:rPr>
          <w:color w:val="000000" w:themeColor="text1"/>
        </w:rPr>
        <w:t xml:space="preserve">nivolumab monotherapy </w:t>
      </w:r>
      <w:r w:rsidR="001063E8" w:rsidRPr="009A7F4E">
        <w:rPr>
          <w:color w:val="000000" w:themeColor="text1"/>
        </w:rPr>
        <w:t>arm was modeled as a weighted average:</w:t>
      </w:r>
    </w:p>
    <w:p w14:paraId="2756CA12" w14:textId="77777777" w:rsidR="001063E8" w:rsidRPr="009A7F4E" w:rsidRDefault="001063E8" w:rsidP="001063E8">
      <w:pPr>
        <w:spacing w:before="100" w:beforeAutospacing="1" w:after="100" w:afterAutospacing="1"/>
        <w:contextualSpacing/>
        <w:rPr>
          <w:color w:val="000000" w:themeColor="text1"/>
        </w:rPr>
      </w:pPr>
    </w:p>
    <w:p w14:paraId="4792E889" w14:textId="77777777" w:rsidR="001063E8" w:rsidRPr="009A7F4E" w:rsidRDefault="001063E8" w:rsidP="001063E8">
      <w:pPr>
        <w:spacing w:before="100" w:beforeAutospacing="1" w:after="100" w:afterAutospacing="1"/>
        <w:contextualSpacing/>
        <w:jc w:val="cente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NIVO</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NIV</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Responder</m:t>
                </m:r>
              </m:sub>
            </m:sSub>
          </m:sub>
        </m:sSub>
        <m:r>
          <w:rPr>
            <w:rFonts w:ascii="Cambria Math" w:hAnsi="Cambria Math"/>
            <w:color w:val="000000" w:themeColor="text1"/>
          </w:rPr>
          <m:t>(t)+</m:t>
        </m:r>
        <m:d>
          <m:dPr>
            <m:ctrlPr>
              <w:rPr>
                <w:rFonts w:ascii="Cambria Math" w:hAnsi="Cambria Math"/>
                <w:i/>
                <w:color w:val="000000" w:themeColor="text1"/>
              </w:rPr>
            </m:ctrlPr>
          </m:dPr>
          <m:e>
            <m:r>
              <w:rPr>
                <w:rFonts w:ascii="Cambria Math" w:hAnsi="Cambria Math"/>
                <w:color w:val="000000" w:themeColor="text1"/>
              </w:rPr>
              <m:t>1-ω</m:t>
            </m:r>
          </m:e>
        </m:d>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NIV</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Resistant</m:t>
                </m:r>
              </m:sub>
            </m:sSub>
          </m:sub>
        </m:sSub>
        <m:r>
          <w:rPr>
            <w:rFonts w:ascii="Cambria Math" w:hAnsi="Cambria Math"/>
            <w:color w:val="000000" w:themeColor="text1"/>
          </w:rPr>
          <m:t>(t)</m:t>
        </m:r>
      </m:oMath>
      <w:r w:rsidRPr="009A7F4E">
        <w:rPr>
          <w:color w:val="000000" w:themeColor="text1"/>
        </w:rPr>
        <w:t>,</w:t>
      </w:r>
    </w:p>
    <w:p w14:paraId="69EF9AFF" w14:textId="77777777" w:rsidR="001063E8" w:rsidRPr="009A7F4E" w:rsidRDefault="001063E8" w:rsidP="001063E8">
      <w:pPr>
        <w:spacing w:before="100" w:beforeAutospacing="1" w:after="100" w:afterAutospacing="1"/>
        <w:contextualSpacing/>
        <w:rPr>
          <w:color w:val="000000" w:themeColor="text1"/>
        </w:rPr>
      </w:pPr>
    </w:p>
    <w:p w14:paraId="281A1090" w14:textId="716B1BC9" w:rsidR="001063E8" w:rsidRDefault="001063E8" w:rsidP="007C550A">
      <w:pPr>
        <w:spacing w:before="100" w:beforeAutospacing="1" w:after="100" w:afterAutospacing="1"/>
        <w:contextualSpacing/>
        <w:rPr>
          <w:color w:val="000000" w:themeColor="text1"/>
        </w:rPr>
      </w:pPr>
      <w:r w:rsidRPr="009A7F4E">
        <w:rPr>
          <w:color w:val="000000" w:themeColor="text1"/>
        </w:rPr>
        <w:t>where </w:t>
      </w:r>
      <m:oMath>
        <m:r>
          <w:rPr>
            <w:rFonts w:ascii="Cambria Math" w:hAnsi="Cambria Math"/>
            <w:color w:val="000000" w:themeColor="text1"/>
          </w:rPr>
          <m:t>ω</m:t>
        </m:r>
      </m:oMath>
      <w:r w:rsidRPr="009A7F4E">
        <w:rPr>
          <w:color w:val="000000" w:themeColor="text1"/>
        </w:rPr>
        <w:t xml:space="preserve"> (assumed to be 0.6 in the base case) represents the proportion of true responders. A similar approach was applied to derive PFS curves. Figure 3 presents these counterfactual survival estimates, with the solid line depicting the observed </w:t>
      </w:r>
      <w:r w:rsidR="000C690C">
        <w:rPr>
          <w:color w:val="000000" w:themeColor="text1"/>
        </w:rPr>
        <w:t>nivolumab monotherapy OS and PFS</w:t>
      </w:r>
      <w:r w:rsidRPr="009A7F4E">
        <w:rPr>
          <w:color w:val="000000" w:themeColor="text1"/>
        </w:rPr>
        <w:t xml:space="preserve"> curve and the dashed lines representing the derived curves for responders and resistant patients. These functions were incorporated into our sensitivity analyses to evaluate the impact of</w:t>
      </w:r>
      <w:r w:rsidR="007C550A">
        <w:rPr>
          <w:color w:val="000000" w:themeColor="text1"/>
        </w:rPr>
        <w:t xml:space="preserve"> proportion of intrinsically resistant patients on our main outcomes.</w:t>
      </w:r>
    </w:p>
    <w:p w14:paraId="3CD0541C" w14:textId="77777777" w:rsidR="001063E8" w:rsidRPr="009A7F4E" w:rsidRDefault="001063E8" w:rsidP="00502938">
      <w:pPr>
        <w:rPr>
          <w:color w:val="000000" w:themeColor="text1"/>
        </w:rPr>
      </w:pPr>
    </w:p>
    <w:p w14:paraId="3BA932EB" w14:textId="3A7D0056" w:rsidR="00CB1096" w:rsidRPr="009A7F4E" w:rsidRDefault="00D0737E" w:rsidP="00502938">
      <w:pPr>
        <w:rPr>
          <w:b/>
          <w:bCs/>
          <w:color w:val="000000" w:themeColor="text1"/>
        </w:rPr>
      </w:pPr>
      <w:r w:rsidRPr="009A7F4E">
        <w:rPr>
          <w:b/>
          <w:bCs/>
          <w:color w:val="000000" w:themeColor="text1"/>
        </w:rPr>
        <w:t>2.4 Costs</w:t>
      </w:r>
    </w:p>
    <w:p w14:paraId="4CD56611" w14:textId="77C89385" w:rsidR="00CB1096" w:rsidRPr="009A7F4E" w:rsidRDefault="00A52697" w:rsidP="00502938">
      <w:pPr>
        <w:rPr>
          <w:color w:val="000000" w:themeColor="text1"/>
        </w:rPr>
      </w:pPr>
      <w:r w:rsidRPr="009A7F4E">
        <w:rPr>
          <w:color w:val="000000" w:themeColor="text1"/>
        </w:rPr>
        <w:t xml:space="preserve">Drug costs were calculated by summing the drug’s average wholesale price with a 7% reduction with the costs of infusion and follow-up and monitoring. Details regarding the ways in which drug costs were estimated are available in the </w:t>
      </w:r>
      <w:proofErr w:type="spellStart"/>
      <w:r w:rsidRPr="009A7F4E">
        <w:rPr>
          <w:color w:val="000000" w:themeColor="text1"/>
        </w:rPr>
        <w:t>eMethods</w:t>
      </w:r>
      <w:proofErr w:type="spellEnd"/>
      <w:r w:rsidRPr="009A7F4E">
        <w:rPr>
          <w:color w:val="000000" w:themeColor="text1"/>
        </w:rPr>
        <w:t xml:space="preserve"> in the Supplement. Toxic effects costs were included as a weighted average based on the number of reported toxic effects in the clinical trial. The costs of grades 3 and 4 toxic effects that were incorporated into our model are summarized in </w:t>
      </w:r>
      <w:proofErr w:type="spellStart"/>
      <w:r w:rsidRPr="009A7F4E">
        <w:rPr>
          <w:color w:val="000000" w:themeColor="text1"/>
        </w:rPr>
        <w:t>eTable</w:t>
      </w:r>
      <w:proofErr w:type="spellEnd"/>
      <w:r w:rsidRPr="009A7F4E">
        <w:rPr>
          <w:color w:val="000000" w:themeColor="text1"/>
        </w:rPr>
        <w:t xml:space="preserve"> 2 in the Supplement. WES costs were […]. All costs were adjusted to </w:t>
      </w:r>
      <w:r w:rsidRPr="009A7F4E">
        <w:rPr>
          <w:color w:val="000000" w:themeColor="text1"/>
        </w:rPr>
        <w:lastRenderedPageBreak/>
        <w:t>20XX US dollars using the Consumer Price Index and are show in the Table along with their respective literature sources.</w:t>
      </w:r>
    </w:p>
    <w:p w14:paraId="79A84B4A" w14:textId="77777777" w:rsidR="00D0737E" w:rsidRPr="009A7F4E" w:rsidRDefault="00D0737E" w:rsidP="00502938">
      <w:pPr>
        <w:rPr>
          <w:color w:val="000000" w:themeColor="text1"/>
        </w:rPr>
      </w:pPr>
    </w:p>
    <w:p w14:paraId="739D8512" w14:textId="1A117C63" w:rsidR="00A52697" w:rsidRPr="009A7F4E" w:rsidRDefault="00A52697" w:rsidP="00502938">
      <w:pPr>
        <w:rPr>
          <w:b/>
          <w:bCs/>
          <w:color w:val="000000" w:themeColor="text1"/>
        </w:rPr>
      </w:pPr>
      <w:r w:rsidRPr="009A7F4E">
        <w:rPr>
          <w:b/>
          <w:bCs/>
          <w:color w:val="000000" w:themeColor="text1"/>
        </w:rPr>
        <w:t>2.5 Outcome Measures</w:t>
      </w:r>
    </w:p>
    <w:p w14:paraId="41974E1E" w14:textId="72996349" w:rsidR="00765B60" w:rsidRPr="009A7F4E" w:rsidRDefault="00A52697" w:rsidP="00502938">
      <w:pPr>
        <w:rPr>
          <w:color w:val="000000" w:themeColor="text1"/>
        </w:rPr>
      </w:pPr>
      <w:r w:rsidRPr="009A7F4E">
        <w:rPr>
          <w:color w:val="000000" w:themeColor="text1"/>
        </w:rPr>
        <w:t>Treatment effectiveness was measured in quality-adjusted life-years (QALYs), which is a weighted aggregate of health utilities over time. Toxic effects were considered a decrement in health utility</w:t>
      </w:r>
      <w:r w:rsidR="00207353" w:rsidRPr="009A7F4E">
        <w:rPr>
          <w:color w:val="000000" w:themeColor="text1"/>
        </w:rPr>
        <w:t xml:space="preserve"> that were calculated using weighted averages for the decrement associated with the specific toxic AE that were applied in a time-dependent manner that paralleled </w:t>
      </w:r>
      <w:r w:rsidR="00207353" w:rsidRPr="009A7F4E">
        <w:rPr>
          <w:color w:val="000000" w:themeColor="text1"/>
        </w:rPr>
        <w:t xml:space="preserve">to reflect the changing burden </w:t>
      </w:r>
      <w:r w:rsidR="00207353" w:rsidRPr="009A7F4E">
        <w:rPr>
          <w:color w:val="000000" w:themeColor="text1"/>
        </w:rPr>
        <w:t xml:space="preserve">and resolution </w:t>
      </w:r>
      <w:r w:rsidR="00207353" w:rsidRPr="009A7F4E">
        <w:rPr>
          <w:color w:val="000000" w:themeColor="text1"/>
        </w:rPr>
        <w:t>of adverse event</w:t>
      </w:r>
      <w:r w:rsidR="00207353" w:rsidRPr="009A7F4E">
        <w:rPr>
          <w:color w:val="000000" w:themeColor="text1"/>
        </w:rPr>
        <w:t xml:space="preserve"> patterns</w:t>
      </w:r>
      <w:r w:rsidR="00207353" w:rsidRPr="009A7F4E">
        <w:rPr>
          <w:color w:val="000000" w:themeColor="text1"/>
        </w:rPr>
        <w:t xml:space="preserve"> over time</w:t>
      </w:r>
      <w:r w:rsidR="00207353" w:rsidRPr="009A7F4E">
        <w:rPr>
          <w:color w:val="000000" w:themeColor="text1"/>
        </w:rPr>
        <w:t xml:space="preserve"> (</w:t>
      </w:r>
      <w:proofErr w:type="spellStart"/>
      <w:r w:rsidR="00207353" w:rsidRPr="009A7F4E">
        <w:rPr>
          <w:color w:val="000000" w:themeColor="text1"/>
        </w:rPr>
        <w:t>eMethods</w:t>
      </w:r>
      <w:proofErr w:type="spellEnd"/>
      <w:r w:rsidR="00207353" w:rsidRPr="009A7F4E">
        <w:rPr>
          <w:color w:val="000000" w:themeColor="text1"/>
        </w:rPr>
        <w:t>). Health utility values are summarized in the Table along with their respective literature sources. An annual discount rate of 3</w:t>
      </w:r>
      <w:r w:rsidR="00652B67">
        <w:rPr>
          <w:color w:val="000000" w:themeColor="text1"/>
        </w:rPr>
        <w:t>%</w:t>
      </w:r>
      <w:r w:rsidR="00207353" w:rsidRPr="009A7F4E">
        <w:rPr>
          <w:color w:val="000000" w:themeColor="text1"/>
        </w:rPr>
        <w:t xml:space="preserve"> was applied to all costs and QALYs.</w:t>
      </w:r>
    </w:p>
    <w:p w14:paraId="6C274077" w14:textId="77777777" w:rsidR="00765B60" w:rsidRPr="009A7F4E" w:rsidRDefault="00765B60" w:rsidP="00502938">
      <w:pPr>
        <w:rPr>
          <w:color w:val="000000" w:themeColor="text1"/>
        </w:rPr>
      </w:pPr>
    </w:p>
    <w:p w14:paraId="2B25F5EC" w14:textId="77777777" w:rsidR="00765B60" w:rsidRPr="009A7F4E" w:rsidRDefault="00765B60" w:rsidP="00502938">
      <w:pPr>
        <w:rPr>
          <w:color w:val="000000" w:themeColor="text1"/>
        </w:rPr>
      </w:pPr>
    </w:p>
    <w:p w14:paraId="1FA55DA7" w14:textId="06F4D118" w:rsidR="00765B60" w:rsidRPr="009A7F4E" w:rsidRDefault="00765B60" w:rsidP="00765B60">
      <w:pPr>
        <w:pStyle w:val="Caption"/>
        <w:keepNext/>
        <w:jc w:val="center"/>
        <w:rPr>
          <w:rFonts w:ascii="Times New Roman" w:hAnsi="Times New Roman" w:cs="Times New Roman"/>
          <w:color w:val="000000" w:themeColor="text1"/>
          <w:sz w:val="24"/>
          <w:szCs w:val="24"/>
        </w:rPr>
      </w:pPr>
      <w:r w:rsidRPr="009A7F4E">
        <w:rPr>
          <w:rFonts w:ascii="Times New Roman" w:hAnsi="Times New Roman" w:cs="Times New Roman"/>
          <w:color w:val="000000" w:themeColor="text1"/>
          <w:sz w:val="24"/>
          <w:szCs w:val="24"/>
        </w:rPr>
        <w:t xml:space="preserve">Figure </w:t>
      </w:r>
      <w:r w:rsidRPr="009A7F4E">
        <w:rPr>
          <w:rFonts w:ascii="Times New Roman" w:hAnsi="Times New Roman" w:cs="Times New Roman"/>
          <w:color w:val="000000" w:themeColor="text1"/>
          <w:sz w:val="24"/>
          <w:szCs w:val="24"/>
        </w:rPr>
        <w:fldChar w:fldCharType="begin"/>
      </w:r>
      <w:r w:rsidRPr="009A7F4E">
        <w:rPr>
          <w:rFonts w:ascii="Times New Roman" w:hAnsi="Times New Roman" w:cs="Times New Roman"/>
          <w:color w:val="000000" w:themeColor="text1"/>
          <w:sz w:val="24"/>
          <w:szCs w:val="24"/>
        </w:rPr>
        <w:instrText xml:space="preserve"> SEQ Figure \* ARABIC </w:instrText>
      </w:r>
      <w:r w:rsidRPr="009A7F4E">
        <w:rPr>
          <w:rFonts w:ascii="Times New Roman" w:hAnsi="Times New Roman" w:cs="Times New Roman"/>
          <w:color w:val="000000" w:themeColor="text1"/>
          <w:sz w:val="24"/>
          <w:szCs w:val="24"/>
        </w:rPr>
        <w:fldChar w:fldCharType="separate"/>
      </w:r>
      <w:r w:rsidRPr="009A7F4E">
        <w:rPr>
          <w:rFonts w:ascii="Times New Roman" w:hAnsi="Times New Roman" w:cs="Times New Roman"/>
          <w:noProof/>
          <w:color w:val="000000" w:themeColor="text1"/>
          <w:sz w:val="24"/>
          <w:szCs w:val="24"/>
        </w:rPr>
        <w:t>2</w:t>
      </w:r>
      <w:r w:rsidRPr="009A7F4E">
        <w:rPr>
          <w:rFonts w:ascii="Times New Roman" w:hAnsi="Times New Roman" w:cs="Times New Roman"/>
          <w:color w:val="000000" w:themeColor="text1"/>
          <w:sz w:val="24"/>
          <w:szCs w:val="24"/>
        </w:rPr>
        <w:fldChar w:fldCharType="end"/>
      </w:r>
      <w:r w:rsidRPr="009A7F4E">
        <w:rPr>
          <w:rFonts w:ascii="Times New Roman" w:hAnsi="Times New Roman" w:cs="Times New Roman"/>
          <w:color w:val="000000" w:themeColor="text1"/>
          <w:sz w:val="24"/>
          <w:szCs w:val="24"/>
        </w:rPr>
        <w:t>: Model Validation</w:t>
      </w:r>
    </w:p>
    <w:p w14:paraId="525D3528" w14:textId="5CCD17CC" w:rsidR="00765B60" w:rsidRPr="009A7F4E" w:rsidRDefault="00765B60" w:rsidP="00502938">
      <w:pPr>
        <w:rPr>
          <w:color w:val="000000" w:themeColor="text1"/>
        </w:rPr>
      </w:pPr>
      <w:r w:rsidRPr="009A7F4E">
        <w:rPr>
          <w:b/>
          <w:bCs/>
          <w:noProof/>
          <w:color w:val="000000" w:themeColor="text1"/>
        </w:rPr>
        <w:drawing>
          <wp:inline distT="0" distB="0" distL="0" distR="0" wp14:anchorId="4316C5E6" wp14:editId="1BA25392">
            <wp:extent cx="5943600" cy="4953000"/>
            <wp:effectExtent l="0" t="0" r="0" b="0"/>
            <wp:docPr id="1157544023" name="Picture 2" descr="A graph of different types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44023" name="Picture 2" descr="A graph of different types of patie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1F53381A" w14:textId="77777777" w:rsidR="00765B60" w:rsidRPr="009A7F4E" w:rsidRDefault="00765B60" w:rsidP="00502938">
      <w:pPr>
        <w:rPr>
          <w:color w:val="000000" w:themeColor="text1"/>
        </w:rPr>
      </w:pPr>
    </w:p>
    <w:p w14:paraId="11E66BA9" w14:textId="77777777" w:rsidR="00765B60" w:rsidRPr="009A7F4E" w:rsidRDefault="00765B60" w:rsidP="00502938">
      <w:pPr>
        <w:rPr>
          <w:color w:val="000000" w:themeColor="text1"/>
        </w:rPr>
      </w:pPr>
    </w:p>
    <w:p w14:paraId="1C5E329A" w14:textId="4067949F" w:rsidR="00765B60" w:rsidRDefault="001F0EE2" w:rsidP="00502938">
      <w:pPr>
        <w:rPr>
          <w:b/>
          <w:bCs/>
          <w:color w:val="000000" w:themeColor="text1"/>
        </w:rPr>
      </w:pPr>
      <w:r w:rsidRPr="001F0EE2">
        <w:rPr>
          <w:b/>
          <w:bCs/>
          <w:color w:val="000000" w:themeColor="text1"/>
        </w:rPr>
        <w:t>2.6 Statistical Analysis</w:t>
      </w:r>
    </w:p>
    <w:p w14:paraId="61E74BCB" w14:textId="0E6601FE" w:rsidR="000E5485" w:rsidRDefault="001F0EE2" w:rsidP="000E5485">
      <w:pPr>
        <w:rPr>
          <w:color w:val="000000"/>
        </w:rPr>
      </w:pPr>
      <w:r>
        <w:rPr>
          <w:color w:val="000000" w:themeColor="text1"/>
        </w:rPr>
        <w:lastRenderedPageBreak/>
        <w:t xml:space="preserve">Cost-effectiveness was </w:t>
      </w:r>
      <w:r w:rsidR="000E5485">
        <w:rPr>
          <w:color w:val="000000" w:themeColor="text1"/>
        </w:rPr>
        <w:t xml:space="preserve">assessed using </w:t>
      </w:r>
      <w:r w:rsidR="000E5485">
        <w:rPr>
          <w:color w:val="000000"/>
        </w:rPr>
        <w:t>the incremental cost-effectiveness ratio (ICER), calculated as the difference in total costs (in US dollars) divided by the difference in effectiveness measured in quality-adjusted life-years (QALYs) between treatment strategies. We adopted a willingness-to-pay (WTP) threshold of $100,000 per QALY, consistent with standard benchmarks in health economics literature, considering ICERs below this threshold as indicative of cost-effectiveness.</w:t>
      </w:r>
    </w:p>
    <w:p w14:paraId="7FEF13AC" w14:textId="5F830CE3" w:rsidR="000E5485" w:rsidRDefault="000E5485" w:rsidP="000E5485">
      <w:pPr>
        <w:pStyle w:val="NormalWeb"/>
        <w:rPr>
          <w:color w:val="000000"/>
        </w:rPr>
      </w:pPr>
      <w:r>
        <w:rPr>
          <w:color w:val="000000"/>
        </w:rPr>
        <w:t>To evaluate the robustness of our results and identify influential model parameters, we performed one-way deterministic sensitivity analyses. Individual parameters, including drug costs, treatment durations, adverse event probabilities and costs, utility values, biomarker model performance characteristics (sensitivity and specificity), and proportions of intrinsically resistant patients, were varied independently across clinically plausible ranges, with resulting ICER variations reported in a tornado diagram.</w:t>
      </w:r>
      <w:r>
        <w:rPr>
          <w:color w:val="000000"/>
        </w:rPr>
        <w:t xml:space="preserve"> </w:t>
      </w:r>
      <w:r>
        <w:rPr>
          <w:color w:val="000000"/>
        </w:rPr>
        <w:t>To further quantify uncertainty, probabilistic sensitivity analysis (PSA) was conducted using a Monte Carlo simulation with 10,000 iterations. PSA simultaneously incorporated uncertainty around key parameters, with cost parameters modeled using gamma distributions and health utilities, transition probabilities, and biomarker performance parameters modeled using beta distributions. Where standard deviations (SD) for these distributions were unavailable from the literature, we applied a conservative estimate of 20% of the parameter means. Sensitivity of results to alternative SD assumptions (ranging from 10% to 40% of means) was also tested to ensure robustness of conclusions.</w:t>
      </w:r>
    </w:p>
    <w:p w14:paraId="11D2AF0A" w14:textId="77777777" w:rsidR="000E5485" w:rsidRDefault="000E5485" w:rsidP="000E5485">
      <w:pPr>
        <w:pStyle w:val="NormalWeb"/>
        <w:rPr>
          <w:color w:val="000000"/>
        </w:rPr>
      </w:pPr>
      <w:r>
        <w:rPr>
          <w:color w:val="000000"/>
        </w:rPr>
        <w:t>Additionally, we conducted a value of information (VOI) analysis specifically targeting the performance of biomarkers used to guide treatment decisions. This analysis examined the economic value associated with varying biomarker sensitivity and specificity parameters, providing insights into the potential cost-effectiveness gains achievable through future biomarker development and optimization.</w:t>
      </w:r>
    </w:p>
    <w:p w14:paraId="268ADDB1" w14:textId="73293C21" w:rsidR="000E5485" w:rsidRPr="00C35EF1" w:rsidRDefault="00C35EF1" w:rsidP="000E5485">
      <w:pPr>
        <w:pStyle w:val="NormalWeb"/>
        <w:rPr>
          <w:b/>
          <w:bCs/>
          <w:color w:val="000000"/>
        </w:rPr>
      </w:pPr>
      <w:r w:rsidRPr="00C35EF1">
        <w:rPr>
          <w:b/>
          <w:bCs/>
          <w:color w:val="000000"/>
        </w:rPr>
        <w:t>3. Results</w:t>
      </w:r>
    </w:p>
    <w:p w14:paraId="2E5C75EF" w14:textId="436AC33B" w:rsidR="00C35EF1" w:rsidRDefault="00C35EF1" w:rsidP="000E5485">
      <w:pPr>
        <w:pStyle w:val="NormalWeb"/>
        <w:rPr>
          <w:b/>
          <w:bCs/>
          <w:color w:val="000000"/>
        </w:rPr>
      </w:pPr>
      <w:r w:rsidRPr="00C35EF1">
        <w:rPr>
          <w:b/>
          <w:bCs/>
          <w:color w:val="000000"/>
        </w:rPr>
        <w:t>3.1 Base Case Analysis</w:t>
      </w:r>
    </w:p>
    <w:p w14:paraId="1A7907B8" w14:textId="19AA8048" w:rsidR="00C35EF1" w:rsidRDefault="00C35EF1" w:rsidP="000E5485">
      <w:pPr>
        <w:pStyle w:val="NormalWeb"/>
        <w:rPr>
          <w:b/>
          <w:bCs/>
          <w:color w:val="000000"/>
        </w:rPr>
      </w:pPr>
      <w:r>
        <w:rPr>
          <w:b/>
          <w:bCs/>
          <w:color w:val="000000"/>
        </w:rPr>
        <w:t>3.2 One-Way Sensitivity Analyses</w:t>
      </w:r>
    </w:p>
    <w:p w14:paraId="79969F1F" w14:textId="44AE6499" w:rsidR="00C35EF1" w:rsidRDefault="00C35EF1" w:rsidP="000E5485">
      <w:pPr>
        <w:pStyle w:val="NormalWeb"/>
        <w:rPr>
          <w:b/>
          <w:bCs/>
          <w:color w:val="000000"/>
        </w:rPr>
      </w:pPr>
      <w:r>
        <w:rPr>
          <w:b/>
          <w:bCs/>
          <w:color w:val="000000"/>
        </w:rPr>
        <w:t xml:space="preserve">3.3 Probabilistic </w:t>
      </w:r>
      <w:r>
        <w:rPr>
          <w:b/>
          <w:bCs/>
          <w:color w:val="000000"/>
        </w:rPr>
        <w:t>Sensitivity Analys</w:t>
      </w:r>
      <w:r>
        <w:rPr>
          <w:b/>
          <w:bCs/>
          <w:color w:val="000000"/>
        </w:rPr>
        <w:t>i</w:t>
      </w:r>
      <w:r>
        <w:rPr>
          <w:b/>
          <w:bCs/>
          <w:color w:val="000000"/>
        </w:rPr>
        <w:t>s</w:t>
      </w:r>
    </w:p>
    <w:p w14:paraId="0E8F399C" w14:textId="0049FFFD" w:rsidR="00C35EF1" w:rsidRDefault="00C35EF1" w:rsidP="000E5485">
      <w:pPr>
        <w:pStyle w:val="NormalWeb"/>
        <w:rPr>
          <w:b/>
          <w:bCs/>
          <w:color w:val="000000"/>
        </w:rPr>
      </w:pPr>
      <w:r>
        <w:rPr>
          <w:b/>
          <w:bCs/>
          <w:color w:val="000000"/>
        </w:rPr>
        <w:t>4. Discussion</w:t>
      </w:r>
    </w:p>
    <w:p w14:paraId="1E762D21" w14:textId="3C54890E" w:rsidR="00C35EF1" w:rsidRDefault="00C35EF1" w:rsidP="000E5485">
      <w:pPr>
        <w:pStyle w:val="NormalWeb"/>
        <w:rPr>
          <w:b/>
          <w:bCs/>
          <w:color w:val="000000"/>
        </w:rPr>
      </w:pPr>
      <w:r>
        <w:rPr>
          <w:b/>
          <w:bCs/>
          <w:color w:val="000000"/>
        </w:rPr>
        <w:t>4.1 Limitations</w:t>
      </w:r>
    </w:p>
    <w:p w14:paraId="243D25B9" w14:textId="318B2AD0" w:rsidR="00C35EF1" w:rsidRPr="00C35EF1" w:rsidRDefault="00C35EF1" w:rsidP="000E5485">
      <w:pPr>
        <w:pStyle w:val="NormalWeb"/>
        <w:rPr>
          <w:b/>
          <w:bCs/>
          <w:color w:val="000000"/>
        </w:rPr>
      </w:pPr>
      <w:r>
        <w:rPr>
          <w:b/>
          <w:bCs/>
          <w:color w:val="000000"/>
        </w:rPr>
        <w:t>5. Conclusion</w:t>
      </w:r>
    </w:p>
    <w:p w14:paraId="70923665" w14:textId="77777777" w:rsidR="00D0737E" w:rsidRPr="009A7F4E" w:rsidRDefault="00D0737E" w:rsidP="00502938">
      <w:pPr>
        <w:rPr>
          <w:color w:val="000000" w:themeColor="text1"/>
        </w:rPr>
      </w:pPr>
    </w:p>
    <w:p w14:paraId="46A0AB97" w14:textId="77777777" w:rsidR="00CB1096" w:rsidRPr="009A7F4E" w:rsidRDefault="00CB1096" w:rsidP="00502938">
      <w:pPr>
        <w:rPr>
          <w:b/>
          <w:bCs/>
          <w:color w:val="000000" w:themeColor="text1"/>
        </w:rPr>
      </w:pPr>
    </w:p>
    <w:p w14:paraId="4826DAA5" w14:textId="77777777" w:rsidR="001E52CB" w:rsidRPr="009A7F4E" w:rsidRDefault="001E52CB" w:rsidP="001E52CB">
      <w:pPr>
        <w:rPr>
          <w:color w:val="000000" w:themeColor="text1"/>
        </w:rPr>
      </w:pPr>
    </w:p>
    <w:p w14:paraId="7EDA5F15" w14:textId="77777777" w:rsidR="001E52CB" w:rsidRPr="009A7F4E" w:rsidRDefault="001E52CB" w:rsidP="00502938">
      <w:pPr>
        <w:rPr>
          <w:color w:val="000000" w:themeColor="text1"/>
        </w:rPr>
      </w:pPr>
    </w:p>
    <w:p w14:paraId="2FED00D2" w14:textId="77777777" w:rsidR="000067EF" w:rsidRPr="009A7F4E" w:rsidRDefault="000067EF" w:rsidP="00502938">
      <w:pPr>
        <w:rPr>
          <w:color w:val="000000" w:themeColor="text1"/>
        </w:rPr>
      </w:pPr>
    </w:p>
    <w:p w14:paraId="3C0D8BA0" w14:textId="77777777" w:rsidR="00E01D76" w:rsidRPr="009A7F4E" w:rsidRDefault="00E01D76" w:rsidP="00E01D76">
      <w:pPr>
        <w:rPr>
          <w:b/>
          <w:bCs/>
          <w:color w:val="000000" w:themeColor="text1"/>
        </w:rPr>
      </w:pPr>
    </w:p>
    <w:p w14:paraId="029507A5" w14:textId="77777777" w:rsidR="00364F15" w:rsidRPr="009A7F4E" w:rsidRDefault="00364F15" w:rsidP="00E01D76">
      <w:pPr>
        <w:rPr>
          <w:b/>
          <w:bCs/>
          <w:color w:val="000000" w:themeColor="text1"/>
        </w:rPr>
      </w:pPr>
    </w:p>
    <w:p w14:paraId="495671F9" w14:textId="77777777" w:rsidR="00364F15" w:rsidRPr="009A7F4E" w:rsidRDefault="00364F15" w:rsidP="00E01D76">
      <w:pPr>
        <w:rPr>
          <w:b/>
          <w:bCs/>
          <w:color w:val="000000" w:themeColor="text1"/>
        </w:rPr>
      </w:pPr>
    </w:p>
    <w:p w14:paraId="221304B8" w14:textId="77777777" w:rsidR="00364F15" w:rsidRPr="009A7F4E" w:rsidRDefault="00364F15" w:rsidP="00E01D76">
      <w:pPr>
        <w:rPr>
          <w:b/>
          <w:bCs/>
          <w:color w:val="000000" w:themeColor="text1"/>
        </w:rPr>
      </w:pPr>
    </w:p>
    <w:p w14:paraId="39C7300C" w14:textId="77777777" w:rsidR="00364F15" w:rsidRPr="009A7F4E" w:rsidRDefault="00364F15" w:rsidP="00E01D76">
      <w:pPr>
        <w:rPr>
          <w:b/>
          <w:bCs/>
          <w:color w:val="000000" w:themeColor="text1"/>
        </w:rPr>
      </w:pPr>
    </w:p>
    <w:p w14:paraId="58A8AB25" w14:textId="77777777" w:rsidR="00364F15" w:rsidRPr="009A7F4E" w:rsidRDefault="00364F15" w:rsidP="00E01D76">
      <w:pPr>
        <w:rPr>
          <w:b/>
          <w:bCs/>
          <w:color w:val="000000" w:themeColor="text1"/>
        </w:rPr>
      </w:pPr>
    </w:p>
    <w:p w14:paraId="662370CA" w14:textId="77777777" w:rsidR="00364F15" w:rsidRPr="009A7F4E" w:rsidRDefault="00364F15" w:rsidP="00E01D76">
      <w:pPr>
        <w:rPr>
          <w:b/>
          <w:bCs/>
          <w:color w:val="000000" w:themeColor="text1"/>
        </w:rPr>
      </w:pPr>
    </w:p>
    <w:p w14:paraId="4D0D41AB" w14:textId="77777777" w:rsidR="00364F15" w:rsidRPr="009A7F4E" w:rsidRDefault="00364F15" w:rsidP="00E01D76">
      <w:pPr>
        <w:rPr>
          <w:b/>
          <w:bCs/>
          <w:color w:val="000000" w:themeColor="text1"/>
        </w:rPr>
      </w:pPr>
    </w:p>
    <w:p w14:paraId="78FC0534" w14:textId="77777777" w:rsidR="00364F15" w:rsidRPr="009A7F4E" w:rsidRDefault="00364F15" w:rsidP="00E01D76">
      <w:pPr>
        <w:rPr>
          <w:b/>
          <w:bCs/>
          <w:color w:val="000000" w:themeColor="text1"/>
        </w:rPr>
      </w:pPr>
    </w:p>
    <w:p w14:paraId="4FC15CEE" w14:textId="77777777" w:rsidR="00364F15" w:rsidRPr="009A7F4E" w:rsidRDefault="00364F15" w:rsidP="00E01D76">
      <w:pPr>
        <w:rPr>
          <w:b/>
          <w:bCs/>
          <w:color w:val="000000" w:themeColor="text1"/>
        </w:rPr>
      </w:pPr>
    </w:p>
    <w:p w14:paraId="362CA7B1" w14:textId="77777777" w:rsidR="00364F15" w:rsidRPr="009A7F4E" w:rsidRDefault="00364F15" w:rsidP="00E01D76">
      <w:pPr>
        <w:rPr>
          <w:b/>
          <w:bCs/>
          <w:color w:val="000000" w:themeColor="text1"/>
        </w:rPr>
      </w:pPr>
    </w:p>
    <w:p w14:paraId="6AB22D79" w14:textId="77777777" w:rsidR="00364F15" w:rsidRPr="009A7F4E" w:rsidRDefault="00364F15" w:rsidP="00E01D76">
      <w:pPr>
        <w:rPr>
          <w:b/>
          <w:bCs/>
          <w:color w:val="000000" w:themeColor="text1"/>
        </w:rPr>
      </w:pPr>
    </w:p>
    <w:p w14:paraId="7373A047" w14:textId="77777777" w:rsidR="00364F15" w:rsidRPr="009A7F4E" w:rsidRDefault="00364F15" w:rsidP="00E01D76">
      <w:pPr>
        <w:rPr>
          <w:b/>
          <w:bCs/>
          <w:color w:val="000000" w:themeColor="text1"/>
        </w:rPr>
      </w:pPr>
    </w:p>
    <w:p w14:paraId="1C592D1D" w14:textId="77777777" w:rsidR="00502938" w:rsidRPr="009A7F4E" w:rsidRDefault="00502938" w:rsidP="00E01D76">
      <w:pPr>
        <w:rPr>
          <w:b/>
          <w:bCs/>
          <w:color w:val="000000" w:themeColor="text1"/>
        </w:rPr>
      </w:pPr>
    </w:p>
    <w:p w14:paraId="770C7F8B" w14:textId="77777777" w:rsidR="00E01D76" w:rsidRPr="009A7F4E" w:rsidRDefault="00E01D76" w:rsidP="00E01D76">
      <w:pPr>
        <w:rPr>
          <w:b/>
          <w:bCs/>
          <w:color w:val="000000" w:themeColor="text1"/>
        </w:rPr>
      </w:pPr>
    </w:p>
    <w:p w14:paraId="74753AD2" w14:textId="4D9A3610" w:rsidR="00E01D76" w:rsidRPr="009A7F4E" w:rsidRDefault="00E01D76" w:rsidP="00590513">
      <w:pPr>
        <w:jc w:val="center"/>
        <w:rPr>
          <w:b/>
          <w:bCs/>
          <w:color w:val="000000" w:themeColor="text1"/>
        </w:rPr>
      </w:pPr>
    </w:p>
    <w:p w14:paraId="5265FAEB" w14:textId="77777777" w:rsidR="00364F15" w:rsidRPr="009A7F4E" w:rsidRDefault="00364F15" w:rsidP="00364F15">
      <w:pPr>
        <w:rPr>
          <w:b/>
          <w:bCs/>
          <w:color w:val="000000" w:themeColor="text1"/>
        </w:rPr>
      </w:pPr>
    </w:p>
    <w:p w14:paraId="3D87DD74" w14:textId="77777777" w:rsidR="00364F15" w:rsidRPr="009A7F4E" w:rsidRDefault="00364F15" w:rsidP="00364F15">
      <w:pPr>
        <w:pStyle w:val="NormalWeb"/>
        <w:rPr>
          <w:color w:val="000000" w:themeColor="text1"/>
        </w:rPr>
      </w:pPr>
      <w:r w:rsidRPr="009A7F4E">
        <w:rPr>
          <w:color w:val="000000" w:themeColor="text1"/>
        </w:rPr>
        <w:t xml:space="preserve">Detailed survival probabilities for overall survival (OS) and progression-free survival (PFS) were obtained from digitized Kaplan-Meier curves from the </w:t>
      </w:r>
      <w:proofErr w:type="spellStart"/>
      <w:r w:rsidRPr="009A7F4E">
        <w:rPr>
          <w:color w:val="000000" w:themeColor="text1"/>
        </w:rPr>
        <w:t>CheckMate</w:t>
      </w:r>
      <w:proofErr w:type="spellEnd"/>
      <w:r w:rsidRPr="009A7F4E">
        <w:rPr>
          <w:color w:val="000000" w:themeColor="text1"/>
        </w:rPr>
        <w:t xml:space="preserve"> 067 trial using the </w:t>
      </w:r>
      <w:proofErr w:type="spellStart"/>
      <w:r w:rsidRPr="009A7F4E">
        <w:rPr>
          <w:color w:val="000000" w:themeColor="text1"/>
        </w:rPr>
        <w:t>IPDfromKM</w:t>
      </w:r>
      <w:proofErr w:type="spellEnd"/>
      <w:r w:rsidRPr="009A7F4E">
        <w:rPr>
          <w:color w:val="000000" w:themeColor="text1"/>
        </w:rPr>
        <w:t xml:space="preserve"> package in R. Natural cubic spline models were fitted to reconstructed patient-level data for accurate representation of survival dynamics specific to immunotherapy.</w:t>
      </w:r>
    </w:p>
    <w:p w14:paraId="227D5739" w14:textId="77777777" w:rsidR="00364F15" w:rsidRPr="009A7F4E" w:rsidRDefault="00364F15" w:rsidP="00364F15">
      <w:pPr>
        <w:rPr>
          <w:b/>
          <w:bCs/>
          <w:color w:val="000000" w:themeColor="text1"/>
        </w:rPr>
      </w:pPr>
    </w:p>
    <w:p w14:paraId="7394598B" w14:textId="77777777" w:rsidR="00364F15" w:rsidRPr="009A7F4E" w:rsidRDefault="00364F15" w:rsidP="00364F15">
      <w:pPr>
        <w:rPr>
          <w:b/>
          <w:bCs/>
          <w:color w:val="000000" w:themeColor="text1"/>
        </w:rPr>
      </w:pPr>
    </w:p>
    <w:p w14:paraId="339EF10B" w14:textId="77777777" w:rsidR="00A02883" w:rsidRPr="009A7F4E" w:rsidRDefault="00A02883" w:rsidP="00A02883">
      <w:pPr>
        <w:pStyle w:val="NormalWeb"/>
        <w:spacing w:before="0" w:beforeAutospacing="0" w:after="0" w:afterAutospacing="0"/>
        <w:rPr>
          <w:b/>
          <w:bCs/>
          <w:color w:val="000000" w:themeColor="text1"/>
        </w:rPr>
      </w:pPr>
      <w:r w:rsidRPr="009A7F4E">
        <w:rPr>
          <w:b/>
          <w:bCs/>
          <w:color w:val="000000" w:themeColor="text1"/>
        </w:rPr>
        <w:t>2.2 Treatment Details</w:t>
      </w:r>
    </w:p>
    <w:p w14:paraId="3E63861B" w14:textId="7A694592" w:rsidR="00A02883" w:rsidRPr="009A7F4E" w:rsidRDefault="00A02883" w:rsidP="00A02883">
      <w:pPr>
        <w:pStyle w:val="NormalWeb"/>
        <w:spacing w:before="0" w:beforeAutospacing="0" w:after="0" w:afterAutospacing="0"/>
        <w:rPr>
          <w:b/>
          <w:bCs/>
          <w:color w:val="000000" w:themeColor="text1"/>
        </w:rPr>
      </w:pPr>
      <w:r w:rsidRPr="009A7F4E">
        <w:rPr>
          <w:color w:val="000000" w:themeColor="text1"/>
        </w:rPr>
        <w:t xml:space="preserve">The </w:t>
      </w:r>
      <w:proofErr w:type="spellStart"/>
      <w:r w:rsidRPr="009A7F4E">
        <w:rPr>
          <w:color w:val="000000" w:themeColor="text1"/>
        </w:rPr>
        <w:t>CheckMate</w:t>
      </w:r>
      <w:proofErr w:type="spellEnd"/>
      <w:r w:rsidRPr="009A7F4E">
        <w:rPr>
          <w:color w:val="000000" w:themeColor="text1"/>
        </w:rPr>
        <w:t xml:space="preserve"> 067 clinical trial randomly assigned patients with previously untreated, histologically confirmed, unresectable stage III or stage IV advanced melanoma to one of three treatment arms: nivolumab monotherapy, nivolumab plus ipilimumab combination therapy, or ipilimumab monotherapy. Treatment was continued until disease progression, development of unacceptable toxic effects, or withdrawal of consent. In our model, consistent with current clinical practice and the </w:t>
      </w:r>
      <w:proofErr w:type="spellStart"/>
      <w:r w:rsidRPr="009A7F4E">
        <w:rPr>
          <w:color w:val="000000" w:themeColor="text1"/>
        </w:rPr>
        <w:t>CheckMate</w:t>
      </w:r>
      <w:proofErr w:type="spellEnd"/>
      <w:r w:rsidRPr="009A7F4E">
        <w:rPr>
          <w:color w:val="000000" w:themeColor="text1"/>
        </w:rPr>
        <w:t xml:space="preserve"> 067 protocol, nivolumab monotherapy was administered intravenously at a dose of 3 mg/kg every two weeks until progression or toxicity. Combination therapy comprised induction therapy with nivolumab (1 mg/kg) plus ipilimumab (3 mg/kg) administered every three weeks for up to four doses, followed by nivolumab maintenance (3 mg/kg every two weeks).</w:t>
      </w:r>
    </w:p>
    <w:p w14:paraId="0B1C8F75" w14:textId="77777777" w:rsidR="00A02883" w:rsidRPr="009A7F4E" w:rsidRDefault="00A02883" w:rsidP="00A02883">
      <w:pPr>
        <w:pStyle w:val="NormalWeb"/>
        <w:rPr>
          <w:color w:val="000000" w:themeColor="text1"/>
        </w:rPr>
      </w:pPr>
      <w:r w:rsidRPr="009A7F4E">
        <w:rPr>
          <w:color w:val="000000" w:themeColor="text1"/>
        </w:rPr>
        <w:t xml:space="preserve">The biomarker-driven strategy incorporated a predictive model developed by Tarantino et al., leveraging genomic heterogeneity and ploidy derived from whole-exome sequencing (WES) of pretreatment tumors in immunotherapy-naïve patients. This model identifies patients intrinsically resistant to nivolumab monotherapy with high precision (positive predictive value ~90%). Patients predicted resistant to nivolumab monotherapy received combination therapy, whereas predicted responders received nivolumab monotherapy. The biomarker model's base-case performance parameters were [placeholder: sensitivity of 60% and specificity of 88%]. The Tarantino et al. study population closely matched the patient demographics, clinical characteristics, and disease stage of the </w:t>
      </w:r>
      <w:proofErr w:type="spellStart"/>
      <w:r w:rsidRPr="009A7F4E">
        <w:rPr>
          <w:color w:val="000000" w:themeColor="text1"/>
        </w:rPr>
        <w:t>CheckMate</w:t>
      </w:r>
      <w:proofErr w:type="spellEnd"/>
      <w:r w:rsidRPr="009A7F4E">
        <w:rPr>
          <w:color w:val="000000" w:themeColor="text1"/>
        </w:rPr>
        <w:t xml:space="preserve"> 067 cohort, enhancing generalizability and applicability of the biomarker-driven approach.</w:t>
      </w:r>
    </w:p>
    <w:p w14:paraId="519D60D1" w14:textId="73D6683E" w:rsidR="00E01D76" w:rsidRPr="009A7F4E" w:rsidRDefault="00A02883" w:rsidP="00A71B62">
      <w:pPr>
        <w:pStyle w:val="NormalWeb"/>
        <w:rPr>
          <w:color w:val="000000" w:themeColor="text1"/>
        </w:rPr>
      </w:pPr>
      <w:r w:rsidRPr="009A7F4E">
        <w:rPr>
          <w:color w:val="000000" w:themeColor="text1"/>
        </w:rPr>
        <w:lastRenderedPageBreak/>
        <w:t xml:space="preserve">Treatment durations in the model were limited to a maximum of 24 months, in line with </w:t>
      </w:r>
      <w:proofErr w:type="spellStart"/>
      <w:r w:rsidRPr="009A7F4E">
        <w:rPr>
          <w:color w:val="000000" w:themeColor="text1"/>
        </w:rPr>
        <w:t>CheckMate</w:t>
      </w:r>
      <w:proofErr w:type="spellEnd"/>
      <w:r w:rsidRPr="009A7F4E">
        <w:rPr>
          <w:color w:val="000000" w:themeColor="text1"/>
        </w:rPr>
        <w:t xml:space="preserve"> 067 observations and clinical guidelines recommending treatment discontinuation after sustained response. Early discontinuation due to treatment-related adverse events was explicitly modeled based on trial-reported discontinuation rates (44.4% for combination therapy, 15.7% for nivolumab monotherapy), occurring predominantly within the first three months. Subsequent systemic therapy </w:t>
      </w:r>
      <w:proofErr w:type="gramStart"/>
      <w:r w:rsidRPr="009A7F4E">
        <w:rPr>
          <w:color w:val="000000" w:themeColor="text1"/>
        </w:rPr>
        <w:t>use</w:t>
      </w:r>
      <w:proofErr w:type="gramEnd"/>
      <w:r w:rsidRPr="009A7F4E">
        <w:rPr>
          <w:color w:val="000000" w:themeColor="text1"/>
        </w:rPr>
        <w:t xml:space="preserve"> and associated costs were based on </w:t>
      </w:r>
      <w:proofErr w:type="spellStart"/>
      <w:r w:rsidRPr="009A7F4E">
        <w:rPr>
          <w:color w:val="000000" w:themeColor="text1"/>
        </w:rPr>
        <w:t>CheckMate</w:t>
      </w:r>
      <w:proofErr w:type="spellEnd"/>
      <w:r w:rsidRPr="009A7F4E">
        <w:rPr>
          <w:color w:val="000000" w:themeColor="text1"/>
        </w:rPr>
        <w:t xml:space="preserve"> 067 trial data, reflecting real-world treatment patterns and accurately capturing the downstream economic implications of first-line immunotherapy selection.</w:t>
      </w:r>
    </w:p>
    <w:p w14:paraId="3A2A08A9" w14:textId="77777777" w:rsidR="00E01D76" w:rsidRPr="009A7F4E" w:rsidRDefault="00E01D76" w:rsidP="004A2C00">
      <w:pPr>
        <w:contextualSpacing/>
        <w:rPr>
          <w:b/>
          <w:bCs/>
          <w:color w:val="000000" w:themeColor="text1"/>
        </w:rPr>
      </w:pPr>
    </w:p>
    <w:p w14:paraId="4B5FA96E" w14:textId="60C1D6DE" w:rsidR="00E01D76" w:rsidRPr="009A7F4E" w:rsidRDefault="00E01D76" w:rsidP="004A2C00">
      <w:pPr>
        <w:contextualSpacing/>
        <w:rPr>
          <w:b/>
          <w:bCs/>
          <w:color w:val="000000" w:themeColor="text1"/>
        </w:rPr>
      </w:pPr>
    </w:p>
    <w:p w14:paraId="32B9EE83" w14:textId="77777777" w:rsidR="00E01D76" w:rsidRPr="009A7F4E" w:rsidRDefault="00E01D76" w:rsidP="004A2C00">
      <w:pPr>
        <w:contextualSpacing/>
        <w:rPr>
          <w:b/>
          <w:bCs/>
          <w:color w:val="000000" w:themeColor="text1"/>
        </w:rPr>
      </w:pPr>
    </w:p>
    <w:p w14:paraId="6E828CCF" w14:textId="77777777" w:rsidR="00E01D76" w:rsidRPr="009A7F4E" w:rsidRDefault="00E01D76" w:rsidP="004A2C00">
      <w:pPr>
        <w:contextualSpacing/>
        <w:rPr>
          <w:b/>
          <w:bCs/>
          <w:color w:val="000000" w:themeColor="text1"/>
        </w:rPr>
      </w:pPr>
    </w:p>
    <w:p w14:paraId="1ACB5427" w14:textId="77777777" w:rsidR="00E01D76" w:rsidRPr="009A7F4E" w:rsidRDefault="00E01D76" w:rsidP="004A2C00">
      <w:pPr>
        <w:contextualSpacing/>
        <w:rPr>
          <w:b/>
          <w:bCs/>
          <w:color w:val="000000" w:themeColor="text1"/>
        </w:rPr>
      </w:pPr>
    </w:p>
    <w:p w14:paraId="06A84209" w14:textId="77777777" w:rsidR="00E01D76" w:rsidRPr="009A7F4E" w:rsidRDefault="00E01D76" w:rsidP="004A2C00">
      <w:pPr>
        <w:contextualSpacing/>
        <w:rPr>
          <w:b/>
          <w:bCs/>
          <w:color w:val="000000" w:themeColor="text1"/>
        </w:rPr>
      </w:pPr>
    </w:p>
    <w:p w14:paraId="374EAEA3" w14:textId="77777777" w:rsidR="00E01D76" w:rsidRPr="009A7F4E" w:rsidRDefault="00E01D76" w:rsidP="004A2C00">
      <w:pPr>
        <w:contextualSpacing/>
        <w:rPr>
          <w:b/>
          <w:bCs/>
          <w:color w:val="000000" w:themeColor="text1"/>
        </w:rPr>
      </w:pPr>
    </w:p>
    <w:p w14:paraId="51A03EF4" w14:textId="77777777" w:rsidR="00E01D76" w:rsidRPr="009A7F4E" w:rsidRDefault="00E01D76" w:rsidP="004A2C00">
      <w:pPr>
        <w:contextualSpacing/>
        <w:rPr>
          <w:b/>
          <w:bCs/>
          <w:color w:val="000000" w:themeColor="text1"/>
        </w:rPr>
      </w:pPr>
    </w:p>
    <w:p w14:paraId="77A1F926" w14:textId="77777777" w:rsidR="00E01D76" w:rsidRPr="009A7F4E" w:rsidRDefault="00E01D76" w:rsidP="004A2C00">
      <w:pPr>
        <w:contextualSpacing/>
        <w:rPr>
          <w:b/>
          <w:bCs/>
          <w:color w:val="000000" w:themeColor="text1"/>
        </w:rPr>
      </w:pPr>
    </w:p>
    <w:p w14:paraId="7D34B849" w14:textId="77777777" w:rsidR="00E01D76" w:rsidRPr="009A7F4E" w:rsidRDefault="00E01D76" w:rsidP="004A2C00">
      <w:pPr>
        <w:contextualSpacing/>
        <w:rPr>
          <w:b/>
          <w:bCs/>
          <w:color w:val="000000" w:themeColor="text1"/>
        </w:rPr>
      </w:pPr>
    </w:p>
    <w:p w14:paraId="3C2377CD" w14:textId="77777777" w:rsidR="00A71B62" w:rsidRPr="009A7F4E" w:rsidRDefault="00A71B62" w:rsidP="004A2C00">
      <w:pPr>
        <w:contextualSpacing/>
        <w:rPr>
          <w:b/>
          <w:bCs/>
          <w:color w:val="000000" w:themeColor="text1"/>
        </w:rPr>
      </w:pPr>
    </w:p>
    <w:p w14:paraId="20B9AE55" w14:textId="77777777" w:rsidR="00A71B62" w:rsidRPr="009A7F4E" w:rsidRDefault="00A71B62" w:rsidP="004A2C00">
      <w:pPr>
        <w:contextualSpacing/>
        <w:rPr>
          <w:b/>
          <w:bCs/>
          <w:color w:val="000000" w:themeColor="text1"/>
        </w:rPr>
      </w:pPr>
    </w:p>
    <w:p w14:paraId="55E6C3D2" w14:textId="77777777" w:rsidR="00A71B62" w:rsidRPr="009A7F4E" w:rsidRDefault="00A71B62" w:rsidP="004A2C00">
      <w:pPr>
        <w:contextualSpacing/>
        <w:rPr>
          <w:b/>
          <w:bCs/>
          <w:color w:val="000000" w:themeColor="text1"/>
        </w:rPr>
      </w:pPr>
    </w:p>
    <w:p w14:paraId="5D4C73D6" w14:textId="77777777" w:rsidR="00A71B62" w:rsidRPr="009A7F4E" w:rsidRDefault="00A71B62" w:rsidP="004A2C00">
      <w:pPr>
        <w:contextualSpacing/>
        <w:rPr>
          <w:b/>
          <w:bCs/>
          <w:color w:val="000000" w:themeColor="text1"/>
        </w:rPr>
      </w:pPr>
    </w:p>
    <w:p w14:paraId="284041E4" w14:textId="77777777" w:rsidR="00A71B62" w:rsidRPr="009A7F4E" w:rsidRDefault="00A71B62" w:rsidP="004A2C00">
      <w:pPr>
        <w:contextualSpacing/>
        <w:rPr>
          <w:b/>
          <w:bCs/>
          <w:color w:val="000000" w:themeColor="text1"/>
        </w:rPr>
      </w:pPr>
    </w:p>
    <w:p w14:paraId="7E6B587D" w14:textId="77777777" w:rsidR="00A71B62" w:rsidRPr="009A7F4E" w:rsidRDefault="00A71B62" w:rsidP="004A2C00">
      <w:pPr>
        <w:contextualSpacing/>
        <w:rPr>
          <w:b/>
          <w:bCs/>
          <w:color w:val="000000" w:themeColor="text1"/>
        </w:rPr>
      </w:pPr>
    </w:p>
    <w:p w14:paraId="55EF7CBB" w14:textId="77777777" w:rsidR="00A71B62" w:rsidRPr="009A7F4E" w:rsidRDefault="00A71B62" w:rsidP="004A2C00">
      <w:pPr>
        <w:contextualSpacing/>
        <w:rPr>
          <w:b/>
          <w:bCs/>
          <w:color w:val="000000" w:themeColor="text1"/>
        </w:rPr>
      </w:pPr>
    </w:p>
    <w:p w14:paraId="58AE7A33" w14:textId="77777777" w:rsidR="00A71B62" w:rsidRPr="009A7F4E" w:rsidRDefault="00A71B62" w:rsidP="004A2C00">
      <w:pPr>
        <w:contextualSpacing/>
        <w:rPr>
          <w:b/>
          <w:bCs/>
          <w:color w:val="000000" w:themeColor="text1"/>
        </w:rPr>
      </w:pPr>
    </w:p>
    <w:p w14:paraId="75B1DC66" w14:textId="77777777" w:rsidR="00A71B62" w:rsidRPr="009A7F4E" w:rsidRDefault="00A71B62" w:rsidP="004A2C00">
      <w:pPr>
        <w:contextualSpacing/>
        <w:rPr>
          <w:b/>
          <w:bCs/>
          <w:color w:val="000000" w:themeColor="text1"/>
        </w:rPr>
      </w:pPr>
    </w:p>
    <w:p w14:paraId="04812880" w14:textId="77777777" w:rsidR="00A71B62" w:rsidRPr="009A7F4E" w:rsidRDefault="00A71B62" w:rsidP="004A2C00">
      <w:pPr>
        <w:contextualSpacing/>
        <w:rPr>
          <w:b/>
          <w:bCs/>
          <w:color w:val="000000" w:themeColor="text1"/>
        </w:rPr>
      </w:pPr>
    </w:p>
    <w:p w14:paraId="6F25B615" w14:textId="77777777" w:rsidR="00A71B62" w:rsidRPr="009A7F4E" w:rsidRDefault="00A71B62" w:rsidP="004A2C00">
      <w:pPr>
        <w:contextualSpacing/>
        <w:rPr>
          <w:b/>
          <w:bCs/>
          <w:color w:val="000000" w:themeColor="text1"/>
        </w:rPr>
      </w:pPr>
    </w:p>
    <w:p w14:paraId="38E4522F" w14:textId="77777777" w:rsidR="00A71B62" w:rsidRPr="009A7F4E" w:rsidRDefault="00A71B62" w:rsidP="004A2C00">
      <w:pPr>
        <w:contextualSpacing/>
        <w:rPr>
          <w:b/>
          <w:bCs/>
          <w:color w:val="000000" w:themeColor="text1"/>
        </w:rPr>
      </w:pPr>
    </w:p>
    <w:p w14:paraId="4F29F784" w14:textId="77777777" w:rsidR="00A71B62" w:rsidRPr="009A7F4E" w:rsidRDefault="00A71B62" w:rsidP="004A2C00">
      <w:pPr>
        <w:contextualSpacing/>
        <w:rPr>
          <w:b/>
          <w:bCs/>
          <w:color w:val="000000" w:themeColor="text1"/>
        </w:rPr>
      </w:pPr>
    </w:p>
    <w:p w14:paraId="3A5947FF" w14:textId="77777777" w:rsidR="00A71B62" w:rsidRPr="009A7F4E" w:rsidRDefault="00A71B62" w:rsidP="004A2C00">
      <w:pPr>
        <w:contextualSpacing/>
        <w:rPr>
          <w:b/>
          <w:bCs/>
          <w:color w:val="000000" w:themeColor="text1"/>
        </w:rPr>
      </w:pPr>
    </w:p>
    <w:p w14:paraId="427315CC" w14:textId="77777777" w:rsidR="00A71B62" w:rsidRPr="009A7F4E" w:rsidRDefault="00A71B62" w:rsidP="004A2C00">
      <w:pPr>
        <w:contextualSpacing/>
        <w:rPr>
          <w:b/>
          <w:bCs/>
          <w:color w:val="000000" w:themeColor="text1"/>
        </w:rPr>
      </w:pPr>
    </w:p>
    <w:p w14:paraId="030A8F22" w14:textId="77777777" w:rsidR="00E01D76" w:rsidRPr="009A7F4E" w:rsidRDefault="00E01D76" w:rsidP="004A2C00">
      <w:pPr>
        <w:contextualSpacing/>
        <w:rPr>
          <w:b/>
          <w:bCs/>
          <w:color w:val="000000" w:themeColor="text1"/>
        </w:rPr>
      </w:pPr>
    </w:p>
    <w:p w14:paraId="73E7C518" w14:textId="77777777" w:rsidR="00E01D76" w:rsidRPr="009A7F4E" w:rsidRDefault="00E01D76" w:rsidP="004A2C00">
      <w:pPr>
        <w:contextualSpacing/>
        <w:rPr>
          <w:b/>
          <w:bCs/>
          <w:color w:val="000000" w:themeColor="text1"/>
        </w:rPr>
      </w:pPr>
    </w:p>
    <w:p w14:paraId="3EE56681" w14:textId="0FBD6B5C" w:rsidR="00AF35A1" w:rsidRPr="009A7F4E" w:rsidRDefault="00AF35A1" w:rsidP="004A2C00">
      <w:pPr>
        <w:contextualSpacing/>
        <w:rPr>
          <w:b/>
          <w:bCs/>
          <w:color w:val="000000" w:themeColor="text1"/>
        </w:rPr>
      </w:pPr>
      <w:r w:rsidRPr="009A7F4E">
        <w:rPr>
          <w:b/>
          <w:bCs/>
          <w:color w:val="000000" w:themeColor="text1"/>
        </w:rPr>
        <w:t>Introduction</w:t>
      </w:r>
    </w:p>
    <w:p w14:paraId="2075051E" w14:textId="085C3C4D" w:rsidR="00AF35A1" w:rsidRPr="009A7F4E" w:rsidRDefault="00AF35A1" w:rsidP="004A2C00">
      <w:pPr>
        <w:contextualSpacing/>
        <w:rPr>
          <w:color w:val="000000" w:themeColor="text1"/>
        </w:rPr>
      </w:pPr>
      <w:r w:rsidRPr="009A7F4E">
        <w:rPr>
          <w:color w:val="000000" w:themeColor="text1"/>
        </w:rPr>
        <w:t>Immune checkpoint blockade (ICB) has significantly altered the treatment landscape for advanced melanoma, offering prolonged survival in a subset of patients who achieve durable responses. Single-agent antibodies targeting the programmed cell-death protein 1 (PD-1) pathway, such as nivolumab and pembrolizumab, can lead to lasting remissions in some individuals</w:t>
      </w:r>
      <w:r w:rsidR="00022792" w:rsidRPr="009A7F4E">
        <w:rPr>
          <w:color w:val="000000" w:themeColor="text1"/>
        </w:rPr>
        <w:t>. Still, many</w:t>
      </w:r>
      <w:r w:rsidRPr="009A7F4E">
        <w:rPr>
          <w:color w:val="000000" w:themeColor="text1"/>
        </w:rPr>
        <w:t xml:space="preserve"> patients either fail to respond or eventually develop resistance. Combination therapy with </w:t>
      </w:r>
      <w:r w:rsidR="00022792" w:rsidRPr="009A7F4E">
        <w:rPr>
          <w:color w:val="000000" w:themeColor="text1"/>
        </w:rPr>
        <w:t>anti–PD–1</w:t>
      </w:r>
      <w:r w:rsidRPr="009A7F4E">
        <w:rPr>
          <w:color w:val="000000" w:themeColor="text1"/>
        </w:rPr>
        <w:t xml:space="preserve"> and </w:t>
      </w:r>
      <w:r w:rsidR="00022792" w:rsidRPr="009A7F4E">
        <w:rPr>
          <w:color w:val="000000" w:themeColor="text1"/>
        </w:rPr>
        <w:t>anti–CTLA–4</w:t>
      </w:r>
      <w:r w:rsidRPr="009A7F4E">
        <w:rPr>
          <w:color w:val="000000" w:themeColor="text1"/>
        </w:rPr>
        <w:t xml:space="preserve"> agents (e.g., ipilimumab plus nivolumab) can further improve response rates and progression-free survival, but often at the cost of substantial immune-related toxicity. This trade-off highlights the need for better </w:t>
      </w:r>
      <w:r w:rsidRPr="009A7F4E">
        <w:rPr>
          <w:color w:val="000000" w:themeColor="text1"/>
        </w:rPr>
        <w:lastRenderedPageBreak/>
        <w:t xml:space="preserve">biomarkers to guide treatment intensity, ensuring that combination therapy is reserved for those most likely to benefit while sparing others from avoidable toxicity and expense.  </w:t>
      </w:r>
    </w:p>
    <w:p w14:paraId="1E549221" w14:textId="77777777" w:rsidR="00AF35A1" w:rsidRPr="009A7F4E" w:rsidRDefault="00AF35A1" w:rsidP="004A2C00">
      <w:pPr>
        <w:contextualSpacing/>
        <w:rPr>
          <w:color w:val="000000" w:themeColor="text1"/>
        </w:rPr>
      </w:pPr>
    </w:p>
    <w:p w14:paraId="5DFDD063" w14:textId="55B4D79B" w:rsidR="008C666E" w:rsidRPr="009A7F4E" w:rsidRDefault="00AF35A1" w:rsidP="004A2C00">
      <w:pPr>
        <w:contextualSpacing/>
        <w:rPr>
          <w:color w:val="000000" w:themeColor="text1"/>
        </w:rPr>
      </w:pPr>
      <w:r w:rsidRPr="009A7F4E">
        <w:rPr>
          <w:color w:val="000000" w:themeColor="text1"/>
        </w:rPr>
        <w:t xml:space="preserve">Recent work has suggested that features such as high genomic heterogeneity and low ploidy may robustly identify patients intrinsically resistant to PD-1 blockade. In a series of studies, Tarantino et al. used whole-exome sequencing of pretreatment tumors to develop a model with high positive predictive value for resistance to single-agent PD-1 therapy. Their findings also suggested that patients predicted to be intrinsically resistant might benefit disproportionately from combination therapy, further underscoring the potential for a biomarker-guided approach.  </w:t>
      </w:r>
    </w:p>
    <w:p w14:paraId="6EEFD4CC" w14:textId="77777777" w:rsidR="008C666E" w:rsidRPr="009A7F4E" w:rsidRDefault="008C666E" w:rsidP="004A2C00">
      <w:pPr>
        <w:contextualSpacing/>
        <w:rPr>
          <w:color w:val="000000" w:themeColor="text1"/>
        </w:rPr>
      </w:pPr>
    </w:p>
    <w:p w14:paraId="47C648AC" w14:textId="77777777" w:rsidR="008C666E" w:rsidRPr="009A7F4E" w:rsidRDefault="00AF35A1" w:rsidP="004A2C00">
      <w:pPr>
        <w:contextualSpacing/>
        <w:rPr>
          <w:color w:val="000000" w:themeColor="text1"/>
        </w:rPr>
      </w:pPr>
      <w:r w:rsidRPr="009A7F4E">
        <w:rPr>
          <w:color w:val="000000" w:themeColor="text1"/>
        </w:rPr>
        <w:t xml:space="preserve">Despite these promising insights, there has been limited investigation into the clinical and economic implications of using such biomarkers to personalize first-line immunotherapy decisions. It remains unclear how accurate a predictive model must be to justify the additional toxicity and cost of combination therapy for patients labeled as resistant to PD-1 blockade. This question is especially pertinent given the potential for performance drift or generalizability issues when biomarkers are translated from tightly controlled research settings to broader clinical practice.  </w:t>
      </w:r>
    </w:p>
    <w:p w14:paraId="282E328C" w14:textId="77777777" w:rsidR="008C666E" w:rsidRPr="009A7F4E" w:rsidRDefault="008C666E" w:rsidP="004A2C00">
      <w:pPr>
        <w:contextualSpacing/>
        <w:rPr>
          <w:color w:val="000000" w:themeColor="text1"/>
        </w:rPr>
      </w:pPr>
    </w:p>
    <w:p w14:paraId="7D1B6D9A" w14:textId="7472F8D6" w:rsidR="00A85558" w:rsidRPr="009A7F4E" w:rsidRDefault="00AF35A1" w:rsidP="004A2C00">
      <w:pPr>
        <w:contextualSpacing/>
        <w:rPr>
          <w:color w:val="000000" w:themeColor="text1"/>
        </w:rPr>
      </w:pPr>
      <w:r w:rsidRPr="009A7F4E">
        <w:rPr>
          <w:color w:val="000000" w:themeColor="text1"/>
        </w:rPr>
        <w:t xml:space="preserve">In this study, we address these gaps by conducting a cost-effectiveness analysis </w:t>
      </w:r>
      <w:r w:rsidR="00022792" w:rsidRPr="009A7F4E">
        <w:rPr>
          <w:color w:val="000000" w:themeColor="text1"/>
        </w:rPr>
        <w:t>incorporating</w:t>
      </w:r>
      <w:r w:rsidRPr="009A7F4E">
        <w:rPr>
          <w:color w:val="000000" w:themeColor="text1"/>
        </w:rPr>
        <w:t xml:space="preserve"> the latest survival data from the </w:t>
      </w:r>
      <w:proofErr w:type="spellStart"/>
      <w:r w:rsidRPr="009A7F4E">
        <w:rPr>
          <w:color w:val="000000" w:themeColor="text1"/>
        </w:rPr>
        <w:t>CheckMate</w:t>
      </w:r>
      <w:proofErr w:type="spellEnd"/>
      <w:r w:rsidRPr="009A7F4E">
        <w:rPr>
          <w:color w:val="000000" w:themeColor="text1"/>
        </w:rPr>
        <w:t xml:space="preserve"> 067 trial and the biomarker model proposed by Tarantino et al. Using a partitioned survival approach, we simulate long-term outcomes and costs over a 10-year horizon for three strategies: (1) single-agent PD-1 blockade for all patients, (2) combination </w:t>
      </w:r>
      <w:r w:rsidR="00022792" w:rsidRPr="009A7F4E">
        <w:rPr>
          <w:color w:val="000000" w:themeColor="text1"/>
        </w:rPr>
        <w:t>anti–PD–1</w:t>
      </w:r>
      <w:r w:rsidRPr="009A7F4E">
        <w:rPr>
          <w:color w:val="000000" w:themeColor="text1"/>
        </w:rPr>
        <w:t xml:space="preserve"> and anti–CTLA-4 therapy for all patients, and (3) a biomarker-driven strategy that escalates patients to combination therapy only if they are predicted to be intrinsically resistant. In addition, we introduce a framework for evaluating how variations in model performance (e.g., sensitivity and specificity) affect the overall value of a biomarker-driven approach. By quantifying how good a model needs to be before </w:t>
      </w:r>
      <w:r w:rsidR="00022792" w:rsidRPr="009A7F4E">
        <w:rPr>
          <w:color w:val="000000" w:themeColor="text1"/>
        </w:rPr>
        <w:t>providing</w:t>
      </w:r>
      <w:r w:rsidRPr="009A7F4E">
        <w:rPr>
          <w:color w:val="000000" w:themeColor="text1"/>
        </w:rPr>
        <w:t xml:space="preserve"> clinical and economic benefit, our work highlights the critical interplay between predictive accuracy and resource utilization in </w:t>
      </w:r>
      <w:r w:rsidR="00022792" w:rsidRPr="009A7F4E">
        <w:rPr>
          <w:color w:val="000000" w:themeColor="text1"/>
        </w:rPr>
        <w:t>pursuing</w:t>
      </w:r>
      <w:r w:rsidRPr="009A7F4E">
        <w:rPr>
          <w:color w:val="000000" w:themeColor="text1"/>
        </w:rPr>
        <w:t xml:space="preserve"> personalized immunotherapy for advanced melanoma.</w:t>
      </w:r>
    </w:p>
    <w:p w14:paraId="3E697DEB" w14:textId="77777777" w:rsidR="004A2C00" w:rsidRPr="009A7F4E" w:rsidRDefault="004A2C00" w:rsidP="004A2C00">
      <w:pPr>
        <w:contextualSpacing/>
        <w:rPr>
          <w:color w:val="000000" w:themeColor="text1"/>
        </w:rPr>
      </w:pPr>
    </w:p>
    <w:p w14:paraId="47C3C83B" w14:textId="0EE68C01" w:rsidR="00740636" w:rsidRPr="009A7F4E" w:rsidRDefault="004A2C00" w:rsidP="004A2C00">
      <w:pPr>
        <w:spacing w:before="100" w:beforeAutospacing="1" w:after="100" w:afterAutospacing="1"/>
        <w:contextualSpacing/>
        <w:outlineLvl w:val="1"/>
        <w:rPr>
          <w:b/>
          <w:bCs/>
          <w:color w:val="000000" w:themeColor="text1"/>
        </w:rPr>
      </w:pPr>
      <w:r w:rsidRPr="009A7F4E">
        <w:rPr>
          <w:b/>
          <w:bCs/>
          <w:color w:val="000000" w:themeColor="text1"/>
        </w:rPr>
        <w:t>Methods</w:t>
      </w:r>
    </w:p>
    <w:p w14:paraId="6A9B30EA" w14:textId="77777777" w:rsidR="004A2C00" w:rsidRPr="009A7F4E" w:rsidRDefault="004A2C00" w:rsidP="004A2C00">
      <w:pPr>
        <w:spacing w:before="100" w:beforeAutospacing="1" w:after="100" w:afterAutospacing="1"/>
        <w:contextualSpacing/>
        <w:outlineLvl w:val="2"/>
        <w:rPr>
          <w:b/>
          <w:bCs/>
          <w:color w:val="000000" w:themeColor="text1"/>
        </w:rPr>
      </w:pPr>
      <w:r w:rsidRPr="009A7F4E">
        <w:rPr>
          <w:b/>
          <w:bCs/>
          <w:color w:val="000000" w:themeColor="text1"/>
        </w:rPr>
        <w:t>Model Structure and Treatment Strategies</w:t>
      </w:r>
    </w:p>
    <w:p w14:paraId="5EB0664F" w14:textId="79C10E38" w:rsidR="004A2C00" w:rsidRPr="009A7F4E" w:rsidRDefault="004A2C00" w:rsidP="004A2C00">
      <w:pPr>
        <w:spacing w:before="100" w:beforeAutospacing="1" w:after="100" w:afterAutospacing="1"/>
        <w:contextualSpacing/>
        <w:rPr>
          <w:color w:val="000000" w:themeColor="text1"/>
        </w:rPr>
      </w:pPr>
      <w:r w:rsidRPr="009A7F4E">
        <w:rPr>
          <w:color w:val="000000" w:themeColor="text1"/>
        </w:rPr>
        <w:t>This analysis adheres to established guidelines for cost-effectiveness research (Sanders et al., 2016; CHEERS</w:t>
      </w:r>
      <w:r w:rsidR="00022792" w:rsidRPr="009A7F4E">
        <w:rPr>
          <w:color w:val="000000" w:themeColor="text1"/>
        </w:rPr>
        <w:t>,</w:t>
      </w:r>
      <w:r w:rsidRPr="009A7F4E">
        <w:rPr>
          <w:color w:val="000000" w:themeColor="text1"/>
        </w:rPr>
        <w:t xml:space="preserve"> 2022). We developed a partitioned survival model to evaluate three first-line treatment strategies for advanced melanoma over a 10-year horizon with monthly cycles.</w:t>
      </w:r>
      <w:r w:rsidR="00FD4B4D" w:rsidRPr="009A7F4E">
        <w:rPr>
          <w:color w:val="000000" w:themeColor="text1"/>
        </w:rPr>
        <w:t xml:space="preserve"> An overview of the model structure is shown in Figure 1.</w:t>
      </w:r>
      <w:r w:rsidRPr="009A7F4E">
        <w:rPr>
          <w:color w:val="000000" w:themeColor="text1"/>
        </w:rPr>
        <w:t xml:space="preserve"> The strategies compared were:</w:t>
      </w:r>
    </w:p>
    <w:p w14:paraId="08D92ED6" w14:textId="77777777" w:rsidR="002263C2" w:rsidRPr="009A7F4E" w:rsidRDefault="002263C2" w:rsidP="004A2C00">
      <w:pPr>
        <w:spacing w:before="100" w:beforeAutospacing="1" w:after="100" w:afterAutospacing="1"/>
        <w:contextualSpacing/>
        <w:rPr>
          <w:color w:val="000000" w:themeColor="text1"/>
        </w:rPr>
      </w:pPr>
    </w:p>
    <w:p w14:paraId="3051D4B8" w14:textId="77777777" w:rsidR="004A2C00" w:rsidRPr="009A7F4E" w:rsidRDefault="004A2C00" w:rsidP="004A2C00">
      <w:pPr>
        <w:numPr>
          <w:ilvl w:val="0"/>
          <w:numId w:val="1"/>
        </w:numPr>
        <w:spacing w:before="100" w:beforeAutospacing="1" w:after="100" w:afterAutospacing="1"/>
        <w:contextualSpacing/>
        <w:rPr>
          <w:color w:val="000000" w:themeColor="text1"/>
        </w:rPr>
      </w:pPr>
      <w:r w:rsidRPr="009A7F4E">
        <w:rPr>
          <w:b/>
          <w:bCs/>
          <w:color w:val="000000" w:themeColor="text1"/>
        </w:rPr>
        <w:t>Nivolumab Monotherapy (NIVO):</w:t>
      </w:r>
      <w:r w:rsidRPr="009A7F4E">
        <w:rPr>
          <w:color w:val="000000" w:themeColor="text1"/>
        </w:rPr>
        <w:t xml:space="preserve"> Patients receive single-agent PD-1 blockade following the regimen used in </w:t>
      </w:r>
      <w:proofErr w:type="spellStart"/>
      <w:r w:rsidRPr="009A7F4E">
        <w:rPr>
          <w:color w:val="000000" w:themeColor="text1"/>
        </w:rPr>
        <w:t>CheckMate</w:t>
      </w:r>
      <w:proofErr w:type="spellEnd"/>
      <w:r w:rsidRPr="009A7F4E">
        <w:rPr>
          <w:color w:val="000000" w:themeColor="text1"/>
        </w:rPr>
        <w:t xml:space="preserve"> 067, where nivolumab was administered at 3 mg/kg every two weeks until disease progression or unacceptable toxicity.</w:t>
      </w:r>
    </w:p>
    <w:p w14:paraId="4E5A5F86" w14:textId="77777777" w:rsidR="004A2C00" w:rsidRPr="009A7F4E" w:rsidRDefault="004A2C00" w:rsidP="004A2C00">
      <w:pPr>
        <w:numPr>
          <w:ilvl w:val="0"/>
          <w:numId w:val="1"/>
        </w:numPr>
        <w:spacing w:before="100" w:beforeAutospacing="1" w:after="100" w:afterAutospacing="1"/>
        <w:contextualSpacing/>
        <w:rPr>
          <w:color w:val="000000" w:themeColor="text1"/>
        </w:rPr>
      </w:pPr>
      <w:r w:rsidRPr="009A7F4E">
        <w:rPr>
          <w:b/>
          <w:bCs/>
          <w:color w:val="000000" w:themeColor="text1"/>
        </w:rPr>
        <w:t>Combination Therapy (NIVO+IPI):</w:t>
      </w:r>
      <w:r w:rsidRPr="009A7F4E">
        <w:rPr>
          <w:color w:val="000000" w:themeColor="text1"/>
        </w:rPr>
        <w:t xml:space="preserve"> Patients receive combination treatment with nivolumab plus ipilimumab as per the </w:t>
      </w:r>
      <w:proofErr w:type="spellStart"/>
      <w:r w:rsidRPr="009A7F4E">
        <w:rPr>
          <w:color w:val="000000" w:themeColor="text1"/>
        </w:rPr>
        <w:t>CheckMate</w:t>
      </w:r>
      <w:proofErr w:type="spellEnd"/>
      <w:r w:rsidRPr="009A7F4E">
        <w:rPr>
          <w:color w:val="000000" w:themeColor="text1"/>
        </w:rPr>
        <w:t xml:space="preserve"> 067 protocol. In this arm, patients received four doses of ipilimumab (3 mg/kg every three weeks) concurrently with nivolumab (1 mg/kg), followed by nivolumab maintenance therapy. Although combination therapy has demonstrated improved response rates and progression-free survival (PFS), it is associated with higher toxicity and costs.</w:t>
      </w:r>
    </w:p>
    <w:p w14:paraId="7C0F78DC" w14:textId="7FF48EBD" w:rsidR="004A2C00" w:rsidRPr="009A7F4E" w:rsidRDefault="004A2C00" w:rsidP="004A2C00">
      <w:pPr>
        <w:numPr>
          <w:ilvl w:val="0"/>
          <w:numId w:val="1"/>
        </w:numPr>
        <w:spacing w:before="100" w:beforeAutospacing="1" w:after="100" w:afterAutospacing="1"/>
        <w:contextualSpacing/>
        <w:rPr>
          <w:color w:val="000000" w:themeColor="text1"/>
        </w:rPr>
      </w:pPr>
      <w:r w:rsidRPr="009A7F4E">
        <w:rPr>
          <w:b/>
          <w:bCs/>
          <w:color w:val="000000" w:themeColor="text1"/>
        </w:rPr>
        <w:lastRenderedPageBreak/>
        <w:t>Biomarker-Guided Strategy:</w:t>
      </w:r>
      <w:r w:rsidRPr="009A7F4E">
        <w:rPr>
          <w:color w:val="000000" w:themeColor="text1"/>
        </w:rPr>
        <w:t> All patients undergo whole-exome sequencing (WES) to assess genomic heterogeneity and ploidy, following the methodology of Tarantino et al. The Tarantino model classifies patients based on their predicted response to PD-1 blockade. Patients predicted to be intrinsically resistant to PD-1 monotherapy (base-case sensitivity of 60% and specificity of 88%) are triaged to receive NIVO+IPI, while those predicted to be responders receive NIVO. This strategy is designed to mitigate unnecessary toxicity by reserving combination therapy for those most likely to benefit.</w:t>
      </w:r>
    </w:p>
    <w:p w14:paraId="0FECED38" w14:textId="77777777" w:rsidR="0048311B" w:rsidRPr="009A7F4E" w:rsidRDefault="0048311B" w:rsidP="004A2C00">
      <w:pPr>
        <w:spacing w:before="100" w:beforeAutospacing="1" w:after="100" w:afterAutospacing="1"/>
        <w:contextualSpacing/>
        <w:rPr>
          <w:color w:val="000000" w:themeColor="text1"/>
        </w:rPr>
      </w:pPr>
    </w:p>
    <w:p w14:paraId="101F7F9A" w14:textId="2DCFA376" w:rsidR="0048311B" w:rsidRPr="009A7F4E" w:rsidRDefault="0048311B" w:rsidP="0048311B">
      <w:pPr>
        <w:pStyle w:val="Caption"/>
        <w:keepNext/>
        <w:jc w:val="center"/>
        <w:rPr>
          <w:rFonts w:ascii="Times New Roman" w:hAnsi="Times New Roman" w:cs="Times New Roman"/>
          <w:color w:val="000000" w:themeColor="text1"/>
          <w:sz w:val="24"/>
          <w:szCs w:val="24"/>
        </w:rPr>
      </w:pPr>
      <w:r w:rsidRPr="009A7F4E">
        <w:rPr>
          <w:rFonts w:ascii="Times New Roman" w:hAnsi="Times New Roman" w:cs="Times New Roman"/>
          <w:color w:val="000000" w:themeColor="text1"/>
          <w:sz w:val="24"/>
          <w:szCs w:val="24"/>
        </w:rPr>
        <w:t xml:space="preserve">Figure </w:t>
      </w:r>
      <w:r w:rsidR="006F744D" w:rsidRPr="009A7F4E">
        <w:rPr>
          <w:rFonts w:ascii="Times New Roman" w:hAnsi="Times New Roman" w:cs="Times New Roman"/>
          <w:color w:val="000000" w:themeColor="text1"/>
          <w:sz w:val="24"/>
          <w:szCs w:val="24"/>
        </w:rPr>
        <w:fldChar w:fldCharType="begin"/>
      </w:r>
      <w:r w:rsidR="006F744D" w:rsidRPr="009A7F4E">
        <w:rPr>
          <w:rFonts w:ascii="Times New Roman" w:hAnsi="Times New Roman" w:cs="Times New Roman"/>
          <w:color w:val="000000" w:themeColor="text1"/>
          <w:sz w:val="24"/>
          <w:szCs w:val="24"/>
        </w:rPr>
        <w:instrText xml:space="preserve"> SEQ Figure \* ARABIC </w:instrText>
      </w:r>
      <w:r w:rsidR="006F744D" w:rsidRPr="009A7F4E">
        <w:rPr>
          <w:rFonts w:ascii="Times New Roman" w:hAnsi="Times New Roman" w:cs="Times New Roman"/>
          <w:color w:val="000000" w:themeColor="text1"/>
          <w:sz w:val="24"/>
          <w:szCs w:val="24"/>
        </w:rPr>
        <w:fldChar w:fldCharType="separate"/>
      </w:r>
      <w:r w:rsidR="00765B60" w:rsidRPr="009A7F4E">
        <w:rPr>
          <w:rFonts w:ascii="Times New Roman" w:hAnsi="Times New Roman" w:cs="Times New Roman"/>
          <w:noProof/>
          <w:color w:val="000000" w:themeColor="text1"/>
          <w:sz w:val="24"/>
          <w:szCs w:val="24"/>
        </w:rPr>
        <w:t>3</w:t>
      </w:r>
      <w:r w:rsidR="006F744D" w:rsidRPr="009A7F4E">
        <w:rPr>
          <w:rFonts w:ascii="Times New Roman" w:hAnsi="Times New Roman" w:cs="Times New Roman"/>
          <w:color w:val="000000" w:themeColor="text1"/>
          <w:sz w:val="24"/>
          <w:szCs w:val="24"/>
        </w:rPr>
        <w:fldChar w:fldCharType="end"/>
      </w:r>
      <w:r w:rsidRPr="009A7F4E">
        <w:rPr>
          <w:rFonts w:ascii="Times New Roman" w:hAnsi="Times New Roman" w:cs="Times New Roman"/>
          <w:color w:val="000000" w:themeColor="text1"/>
          <w:sz w:val="24"/>
          <w:szCs w:val="24"/>
        </w:rPr>
        <w:t>: Partitioned Survival Analysis Model for the Study Scenarios</w:t>
      </w:r>
    </w:p>
    <w:p w14:paraId="559D132A" w14:textId="77777777" w:rsidR="0048311B" w:rsidRPr="009A7F4E" w:rsidRDefault="0048311B" w:rsidP="0048311B">
      <w:pPr>
        <w:spacing w:before="100" w:beforeAutospacing="1" w:after="100" w:afterAutospacing="1"/>
        <w:contextualSpacing/>
        <w:jc w:val="center"/>
        <w:rPr>
          <w:color w:val="000000" w:themeColor="text1"/>
        </w:rPr>
      </w:pPr>
      <w:r w:rsidRPr="009A7F4E">
        <w:rPr>
          <w:noProof/>
          <w:color w:val="000000" w:themeColor="text1"/>
        </w:rPr>
        <w:drawing>
          <wp:inline distT="0" distB="0" distL="0" distR="0" wp14:anchorId="675CA1A3" wp14:editId="106663FA">
            <wp:extent cx="4689835" cy="2636529"/>
            <wp:effectExtent l="0" t="0" r="0" b="5080"/>
            <wp:docPr id="662815270" name="Picture 1" descr="A diagram of a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15270" name="Picture 1" descr="A diagram of a diseas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4379" cy="2650327"/>
                    </a:xfrm>
                    <a:prstGeom prst="rect">
                      <a:avLst/>
                    </a:prstGeom>
                  </pic:spPr>
                </pic:pic>
              </a:graphicData>
            </a:graphic>
          </wp:inline>
        </w:drawing>
      </w:r>
    </w:p>
    <w:p w14:paraId="237F3C89" w14:textId="77777777" w:rsidR="0048311B" w:rsidRPr="009A7F4E" w:rsidRDefault="0048311B" w:rsidP="004A2C00">
      <w:pPr>
        <w:spacing w:before="100" w:beforeAutospacing="1" w:after="100" w:afterAutospacing="1"/>
        <w:contextualSpacing/>
        <w:rPr>
          <w:color w:val="000000" w:themeColor="text1"/>
        </w:rPr>
      </w:pPr>
    </w:p>
    <w:p w14:paraId="789C8050" w14:textId="77777777" w:rsidR="004A2C00" w:rsidRPr="009A7F4E" w:rsidRDefault="004A2C00" w:rsidP="004A2C00">
      <w:pPr>
        <w:spacing w:before="100" w:beforeAutospacing="1" w:after="100" w:afterAutospacing="1"/>
        <w:contextualSpacing/>
        <w:outlineLvl w:val="2"/>
        <w:rPr>
          <w:b/>
          <w:bCs/>
          <w:color w:val="000000" w:themeColor="text1"/>
        </w:rPr>
      </w:pPr>
      <w:r w:rsidRPr="009A7F4E">
        <w:rPr>
          <w:b/>
          <w:bCs/>
          <w:color w:val="000000" w:themeColor="text1"/>
        </w:rPr>
        <w:t>Survival Modeling and Calibration</w:t>
      </w:r>
    </w:p>
    <w:p w14:paraId="26F36896" w14:textId="03463EB5" w:rsidR="004A2C00" w:rsidRPr="009A7F4E" w:rsidRDefault="004A2C00" w:rsidP="004A2C00">
      <w:pPr>
        <w:spacing w:before="100" w:beforeAutospacing="1" w:after="100" w:afterAutospacing="1"/>
        <w:contextualSpacing/>
        <w:rPr>
          <w:color w:val="000000" w:themeColor="text1"/>
        </w:rPr>
      </w:pPr>
      <w:r w:rsidRPr="009A7F4E">
        <w:rPr>
          <w:color w:val="000000" w:themeColor="text1"/>
        </w:rPr>
        <w:t xml:space="preserve">Transition probabilities for overall survival (OS) and PFS were derived via partitioned survival analysis using the </w:t>
      </w:r>
      <w:proofErr w:type="spellStart"/>
      <w:r w:rsidRPr="009A7F4E">
        <w:rPr>
          <w:color w:val="000000" w:themeColor="text1"/>
        </w:rPr>
        <w:t>CheckMate</w:t>
      </w:r>
      <w:proofErr w:type="spellEnd"/>
      <w:r w:rsidRPr="009A7F4E">
        <w:rPr>
          <w:color w:val="000000" w:themeColor="text1"/>
        </w:rPr>
        <w:t xml:space="preserve"> 067 trial</w:t>
      </w:r>
      <w:r w:rsidR="00022792" w:rsidRPr="009A7F4E">
        <w:rPr>
          <w:color w:val="000000" w:themeColor="text1"/>
        </w:rPr>
        <w:t xml:space="preserve"> data</w:t>
      </w:r>
      <w:r w:rsidRPr="009A7F4E">
        <w:rPr>
          <w:color w:val="000000" w:themeColor="text1"/>
        </w:rPr>
        <w:t xml:space="preserve">. We digitized published Kaplan–Meier curves using </w:t>
      </w:r>
      <w:proofErr w:type="spellStart"/>
      <w:r w:rsidRPr="009A7F4E">
        <w:rPr>
          <w:color w:val="000000" w:themeColor="text1"/>
        </w:rPr>
        <w:t>GetData</w:t>
      </w:r>
      <w:proofErr w:type="spellEnd"/>
      <w:r w:rsidRPr="009A7F4E">
        <w:rPr>
          <w:color w:val="000000" w:themeColor="text1"/>
        </w:rPr>
        <w:t xml:space="preserve"> Graph Digitizer and generated pseudo–individual patient data with the </w:t>
      </w:r>
      <w:proofErr w:type="spellStart"/>
      <w:r w:rsidRPr="009A7F4E">
        <w:rPr>
          <w:color w:val="000000" w:themeColor="text1"/>
        </w:rPr>
        <w:t>IPDfromKM</w:t>
      </w:r>
      <w:proofErr w:type="spellEnd"/>
      <w:r w:rsidRPr="009A7F4E">
        <w:rPr>
          <w:color w:val="000000" w:themeColor="text1"/>
        </w:rPr>
        <w:t xml:space="preserve"> package in R. Competing parametric models—including exponential, Weibull, and log-logistic functions—as well as natural cubic spline models were fitted to the reconstructed data. The best-fitting models were selected based on the Akaike information criterion, ensuring robust </w:t>
      </w:r>
      <w:r w:rsidR="00022792" w:rsidRPr="009A7F4E">
        <w:rPr>
          <w:color w:val="000000" w:themeColor="text1"/>
        </w:rPr>
        <w:t>survival extrapolation</w:t>
      </w:r>
      <w:r w:rsidRPr="009A7F4E">
        <w:rPr>
          <w:color w:val="000000" w:themeColor="text1"/>
        </w:rPr>
        <w:t xml:space="preserve"> beyond the trial period (Figure 2 displays the overlay of our fitted curves with the observed Kaplan–Meier data).</w:t>
      </w:r>
    </w:p>
    <w:p w14:paraId="48398619" w14:textId="77777777" w:rsidR="00740636" w:rsidRPr="009A7F4E" w:rsidRDefault="00740636" w:rsidP="004A2C00">
      <w:pPr>
        <w:spacing w:before="100" w:beforeAutospacing="1" w:after="100" w:afterAutospacing="1"/>
        <w:contextualSpacing/>
        <w:rPr>
          <w:color w:val="000000" w:themeColor="text1"/>
        </w:rPr>
      </w:pPr>
    </w:p>
    <w:p w14:paraId="5E111360" w14:textId="7B208003" w:rsidR="0048311B" w:rsidRPr="009A7F4E" w:rsidRDefault="0048311B" w:rsidP="0048311B">
      <w:pPr>
        <w:pStyle w:val="Caption"/>
        <w:keepNext/>
        <w:jc w:val="center"/>
        <w:rPr>
          <w:rFonts w:ascii="Times New Roman" w:hAnsi="Times New Roman" w:cs="Times New Roman"/>
          <w:color w:val="000000" w:themeColor="text1"/>
          <w:sz w:val="24"/>
          <w:szCs w:val="24"/>
        </w:rPr>
      </w:pPr>
      <w:r w:rsidRPr="009A7F4E">
        <w:rPr>
          <w:rFonts w:ascii="Times New Roman" w:hAnsi="Times New Roman" w:cs="Times New Roman"/>
          <w:color w:val="000000" w:themeColor="text1"/>
          <w:sz w:val="24"/>
          <w:szCs w:val="24"/>
        </w:rPr>
        <w:lastRenderedPageBreak/>
        <w:t xml:space="preserve">Figure </w:t>
      </w:r>
      <w:r w:rsidR="006F744D" w:rsidRPr="009A7F4E">
        <w:rPr>
          <w:rFonts w:ascii="Times New Roman" w:hAnsi="Times New Roman" w:cs="Times New Roman"/>
          <w:color w:val="000000" w:themeColor="text1"/>
          <w:sz w:val="24"/>
          <w:szCs w:val="24"/>
        </w:rPr>
        <w:fldChar w:fldCharType="begin"/>
      </w:r>
      <w:r w:rsidR="006F744D" w:rsidRPr="009A7F4E">
        <w:rPr>
          <w:rFonts w:ascii="Times New Roman" w:hAnsi="Times New Roman" w:cs="Times New Roman"/>
          <w:color w:val="000000" w:themeColor="text1"/>
          <w:sz w:val="24"/>
          <w:szCs w:val="24"/>
        </w:rPr>
        <w:instrText xml:space="preserve"> SEQ Figure \* ARABIC </w:instrText>
      </w:r>
      <w:r w:rsidR="006F744D" w:rsidRPr="009A7F4E">
        <w:rPr>
          <w:rFonts w:ascii="Times New Roman" w:hAnsi="Times New Roman" w:cs="Times New Roman"/>
          <w:color w:val="000000" w:themeColor="text1"/>
          <w:sz w:val="24"/>
          <w:szCs w:val="24"/>
        </w:rPr>
        <w:fldChar w:fldCharType="separate"/>
      </w:r>
      <w:r w:rsidR="00765B60" w:rsidRPr="009A7F4E">
        <w:rPr>
          <w:rFonts w:ascii="Times New Roman" w:hAnsi="Times New Roman" w:cs="Times New Roman"/>
          <w:noProof/>
          <w:color w:val="000000" w:themeColor="text1"/>
          <w:sz w:val="24"/>
          <w:szCs w:val="24"/>
        </w:rPr>
        <w:t>4</w:t>
      </w:r>
      <w:r w:rsidR="006F744D" w:rsidRPr="009A7F4E">
        <w:rPr>
          <w:rFonts w:ascii="Times New Roman" w:hAnsi="Times New Roman" w:cs="Times New Roman"/>
          <w:color w:val="000000" w:themeColor="text1"/>
          <w:sz w:val="24"/>
          <w:szCs w:val="24"/>
        </w:rPr>
        <w:fldChar w:fldCharType="end"/>
      </w:r>
      <w:r w:rsidRPr="009A7F4E">
        <w:rPr>
          <w:rFonts w:ascii="Times New Roman" w:hAnsi="Times New Roman" w:cs="Times New Roman"/>
          <w:color w:val="000000" w:themeColor="text1"/>
          <w:sz w:val="24"/>
          <w:szCs w:val="24"/>
        </w:rPr>
        <w:t>: Model Validation</w:t>
      </w:r>
    </w:p>
    <w:p w14:paraId="56552ECA" w14:textId="26AA3A7E" w:rsidR="0048311B" w:rsidRPr="009A7F4E" w:rsidRDefault="0048311B" w:rsidP="0048311B">
      <w:pPr>
        <w:spacing w:before="100" w:beforeAutospacing="1" w:after="100" w:afterAutospacing="1"/>
        <w:contextualSpacing/>
        <w:jc w:val="center"/>
        <w:outlineLvl w:val="2"/>
        <w:rPr>
          <w:b/>
          <w:bCs/>
          <w:color w:val="000000" w:themeColor="text1"/>
        </w:rPr>
      </w:pPr>
      <w:r w:rsidRPr="009A7F4E">
        <w:rPr>
          <w:b/>
          <w:bCs/>
          <w:noProof/>
          <w:color w:val="000000" w:themeColor="text1"/>
        </w:rPr>
        <w:drawing>
          <wp:inline distT="0" distB="0" distL="0" distR="0" wp14:anchorId="6B92C777" wp14:editId="1D9C4DEE">
            <wp:extent cx="5542960" cy="4619134"/>
            <wp:effectExtent l="0" t="0" r="0" b="3810"/>
            <wp:docPr id="1108980236" name="Picture 2" descr="A graph of different types of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80236" name="Picture 2" descr="A graph of different types of resul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8511" cy="4673760"/>
                    </a:xfrm>
                    <a:prstGeom prst="rect">
                      <a:avLst/>
                    </a:prstGeom>
                  </pic:spPr>
                </pic:pic>
              </a:graphicData>
            </a:graphic>
          </wp:inline>
        </w:drawing>
      </w:r>
    </w:p>
    <w:p w14:paraId="197C0E66" w14:textId="77777777" w:rsidR="0048311B" w:rsidRPr="009A7F4E" w:rsidRDefault="0048311B" w:rsidP="004A2C00">
      <w:pPr>
        <w:spacing w:before="100" w:beforeAutospacing="1" w:after="100" w:afterAutospacing="1"/>
        <w:contextualSpacing/>
        <w:outlineLvl w:val="2"/>
        <w:rPr>
          <w:b/>
          <w:bCs/>
          <w:color w:val="000000" w:themeColor="text1"/>
        </w:rPr>
      </w:pPr>
    </w:p>
    <w:p w14:paraId="63000F24" w14:textId="73BC4A52" w:rsidR="004A2C00" w:rsidRPr="009A7F4E" w:rsidRDefault="004A2C00" w:rsidP="004A2C00">
      <w:pPr>
        <w:spacing w:before="100" w:beforeAutospacing="1" w:after="100" w:afterAutospacing="1"/>
        <w:contextualSpacing/>
        <w:outlineLvl w:val="2"/>
        <w:rPr>
          <w:b/>
          <w:bCs/>
          <w:color w:val="000000" w:themeColor="text1"/>
        </w:rPr>
      </w:pPr>
      <w:r w:rsidRPr="009A7F4E">
        <w:rPr>
          <w:b/>
          <w:bCs/>
          <w:color w:val="000000" w:themeColor="text1"/>
        </w:rPr>
        <w:t>Counterfactual Survival Estimates</w:t>
      </w:r>
    </w:p>
    <w:p w14:paraId="1451D151" w14:textId="77777777" w:rsidR="004A2C00" w:rsidRPr="009A7F4E" w:rsidRDefault="004A2C00" w:rsidP="004A2C00">
      <w:pPr>
        <w:spacing w:before="100" w:beforeAutospacing="1" w:after="100" w:afterAutospacing="1"/>
        <w:contextualSpacing/>
        <w:rPr>
          <w:color w:val="000000" w:themeColor="text1"/>
        </w:rPr>
      </w:pPr>
      <w:r w:rsidRPr="009A7F4E">
        <w:rPr>
          <w:color w:val="000000" w:themeColor="text1"/>
        </w:rPr>
        <w:t xml:space="preserve">Recognizing that the NIVO arm in </w:t>
      </w:r>
      <w:proofErr w:type="spellStart"/>
      <w:r w:rsidRPr="009A7F4E">
        <w:rPr>
          <w:color w:val="000000" w:themeColor="text1"/>
        </w:rPr>
        <w:t>CheckMate</w:t>
      </w:r>
      <w:proofErr w:type="spellEnd"/>
      <w:r w:rsidRPr="009A7F4E">
        <w:rPr>
          <w:color w:val="000000" w:themeColor="text1"/>
        </w:rPr>
        <w:t xml:space="preserve"> 067 represents a composite of patients with varying responses to PD-1 blockade, we derived counterfactual survival functions for two subpopulations: true responders and intrinsically resistant patients. We hypothesized that the survival outcomes of true responders are </w:t>
      </w:r>
      <w:proofErr w:type="gramStart"/>
      <w:r w:rsidRPr="009A7F4E">
        <w:rPr>
          <w:color w:val="000000" w:themeColor="text1"/>
        </w:rPr>
        <w:t>upper-bounded</w:t>
      </w:r>
      <w:proofErr w:type="gramEnd"/>
      <w:r w:rsidRPr="009A7F4E">
        <w:rPr>
          <w:color w:val="000000" w:themeColor="text1"/>
        </w:rPr>
        <w:t xml:space="preserve"> by those observed in the NIVO+IPI arm, while intrinsically resistant patients have markedly poorer outcomes. The survival function for the NIVO arm was modeled as a weighted average:</w:t>
      </w:r>
    </w:p>
    <w:p w14:paraId="7E81D04E" w14:textId="77777777" w:rsidR="00740636" w:rsidRPr="009A7F4E" w:rsidRDefault="00740636" w:rsidP="004A2C00">
      <w:pPr>
        <w:spacing w:before="100" w:beforeAutospacing="1" w:after="100" w:afterAutospacing="1"/>
        <w:contextualSpacing/>
        <w:rPr>
          <w:color w:val="000000" w:themeColor="text1"/>
        </w:rPr>
      </w:pPr>
    </w:p>
    <w:p w14:paraId="76CFCA39" w14:textId="05E98E36" w:rsidR="00740636" w:rsidRPr="009A7F4E" w:rsidRDefault="00000000" w:rsidP="006948C7">
      <w:pPr>
        <w:spacing w:before="100" w:beforeAutospacing="1" w:after="100" w:afterAutospacing="1"/>
        <w:contextualSpacing/>
        <w:jc w:val="cente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NIVO</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NIV</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Responder</m:t>
                </m:r>
              </m:sub>
            </m:sSub>
          </m:sub>
        </m:sSub>
        <m:r>
          <w:rPr>
            <w:rFonts w:ascii="Cambria Math" w:hAnsi="Cambria Math"/>
            <w:color w:val="000000" w:themeColor="text1"/>
          </w:rPr>
          <m:t>(t)+</m:t>
        </m:r>
        <m:d>
          <m:dPr>
            <m:ctrlPr>
              <w:rPr>
                <w:rFonts w:ascii="Cambria Math" w:hAnsi="Cambria Math"/>
                <w:i/>
                <w:color w:val="000000" w:themeColor="text1"/>
              </w:rPr>
            </m:ctrlPr>
          </m:dPr>
          <m:e>
            <m:r>
              <w:rPr>
                <w:rFonts w:ascii="Cambria Math" w:hAnsi="Cambria Math"/>
                <w:color w:val="000000" w:themeColor="text1"/>
              </w:rPr>
              <m:t>1-ω</m:t>
            </m:r>
          </m:e>
        </m:d>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NIV</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Resistant</m:t>
                </m:r>
              </m:sub>
            </m:sSub>
          </m:sub>
        </m:sSub>
        <m:r>
          <w:rPr>
            <w:rFonts w:ascii="Cambria Math" w:hAnsi="Cambria Math"/>
            <w:color w:val="000000" w:themeColor="text1"/>
          </w:rPr>
          <m:t>(t)</m:t>
        </m:r>
      </m:oMath>
      <w:r w:rsidR="006948C7" w:rsidRPr="009A7F4E">
        <w:rPr>
          <w:color w:val="000000" w:themeColor="text1"/>
        </w:rPr>
        <w:t>,</w:t>
      </w:r>
    </w:p>
    <w:p w14:paraId="0E415903" w14:textId="77777777" w:rsidR="00740636" w:rsidRPr="009A7F4E" w:rsidRDefault="00740636" w:rsidP="004A2C00">
      <w:pPr>
        <w:spacing w:before="100" w:beforeAutospacing="1" w:after="100" w:afterAutospacing="1"/>
        <w:contextualSpacing/>
        <w:rPr>
          <w:color w:val="000000" w:themeColor="text1"/>
        </w:rPr>
      </w:pPr>
    </w:p>
    <w:p w14:paraId="6CE80D92" w14:textId="0C260BE2" w:rsidR="004A2C00" w:rsidRPr="009A7F4E" w:rsidRDefault="004A2C00" w:rsidP="004A2C00">
      <w:pPr>
        <w:spacing w:before="100" w:beforeAutospacing="1" w:after="100" w:afterAutospacing="1"/>
        <w:contextualSpacing/>
        <w:rPr>
          <w:color w:val="000000" w:themeColor="text1"/>
        </w:rPr>
      </w:pPr>
      <w:r w:rsidRPr="009A7F4E">
        <w:rPr>
          <w:color w:val="000000" w:themeColor="text1"/>
        </w:rPr>
        <w:t>where </w:t>
      </w:r>
      <m:oMath>
        <m:r>
          <w:rPr>
            <w:rFonts w:ascii="Cambria Math" w:hAnsi="Cambria Math"/>
            <w:color w:val="000000" w:themeColor="text1"/>
          </w:rPr>
          <m:t>ω</m:t>
        </m:r>
      </m:oMath>
      <w:r w:rsidRPr="009A7F4E">
        <w:rPr>
          <w:color w:val="000000" w:themeColor="text1"/>
        </w:rPr>
        <w:t> (assumed to be 0.6 in the base case) represents the proportion of true responders. A similar approach was applied to derive PFS curves. Figure 3 presents these counterfactual survival estimates, with the solid line depicting the observed NIVO curve and the dashed lines representing the derived curves for responders and resistant patients. These functions were incorporated into our sensitivity analyses to evaluate the impact of uncertainty in subgroup classification on cost-effectiveness outcomes.</w:t>
      </w:r>
    </w:p>
    <w:p w14:paraId="3B7FA51B" w14:textId="77777777" w:rsidR="00740636" w:rsidRPr="009A7F4E" w:rsidRDefault="00740636" w:rsidP="004A2C00">
      <w:pPr>
        <w:spacing w:before="100" w:beforeAutospacing="1" w:after="100" w:afterAutospacing="1"/>
        <w:contextualSpacing/>
        <w:rPr>
          <w:color w:val="000000" w:themeColor="text1"/>
        </w:rPr>
      </w:pPr>
    </w:p>
    <w:p w14:paraId="62259BC1" w14:textId="43723066" w:rsidR="00CF7D10" w:rsidRPr="009A7F4E" w:rsidRDefault="00CF7D10" w:rsidP="00CF7D10">
      <w:pPr>
        <w:pStyle w:val="Caption"/>
        <w:keepNext/>
        <w:jc w:val="center"/>
        <w:rPr>
          <w:rFonts w:ascii="Times New Roman" w:hAnsi="Times New Roman" w:cs="Times New Roman"/>
          <w:color w:val="000000" w:themeColor="text1"/>
          <w:sz w:val="24"/>
          <w:szCs w:val="24"/>
        </w:rPr>
      </w:pPr>
      <w:r w:rsidRPr="009A7F4E">
        <w:rPr>
          <w:rFonts w:ascii="Times New Roman" w:hAnsi="Times New Roman" w:cs="Times New Roman"/>
          <w:color w:val="000000" w:themeColor="text1"/>
          <w:sz w:val="24"/>
          <w:szCs w:val="24"/>
        </w:rPr>
        <w:lastRenderedPageBreak/>
        <w:t xml:space="preserve">Figure </w:t>
      </w:r>
      <w:r w:rsidR="006F744D" w:rsidRPr="009A7F4E">
        <w:rPr>
          <w:rFonts w:ascii="Times New Roman" w:hAnsi="Times New Roman" w:cs="Times New Roman"/>
          <w:color w:val="000000" w:themeColor="text1"/>
          <w:sz w:val="24"/>
          <w:szCs w:val="24"/>
        </w:rPr>
        <w:fldChar w:fldCharType="begin"/>
      </w:r>
      <w:r w:rsidR="006F744D" w:rsidRPr="009A7F4E">
        <w:rPr>
          <w:rFonts w:ascii="Times New Roman" w:hAnsi="Times New Roman" w:cs="Times New Roman"/>
          <w:color w:val="000000" w:themeColor="text1"/>
          <w:sz w:val="24"/>
          <w:szCs w:val="24"/>
        </w:rPr>
        <w:instrText xml:space="preserve"> SEQ Figure \* ARABIC </w:instrText>
      </w:r>
      <w:r w:rsidR="006F744D" w:rsidRPr="009A7F4E">
        <w:rPr>
          <w:rFonts w:ascii="Times New Roman" w:hAnsi="Times New Roman" w:cs="Times New Roman"/>
          <w:color w:val="000000" w:themeColor="text1"/>
          <w:sz w:val="24"/>
          <w:szCs w:val="24"/>
        </w:rPr>
        <w:fldChar w:fldCharType="separate"/>
      </w:r>
      <w:r w:rsidR="00765B60" w:rsidRPr="009A7F4E">
        <w:rPr>
          <w:rFonts w:ascii="Times New Roman" w:hAnsi="Times New Roman" w:cs="Times New Roman"/>
          <w:noProof/>
          <w:color w:val="000000" w:themeColor="text1"/>
          <w:sz w:val="24"/>
          <w:szCs w:val="24"/>
        </w:rPr>
        <w:t>5</w:t>
      </w:r>
      <w:r w:rsidR="006F744D" w:rsidRPr="009A7F4E">
        <w:rPr>
          <w:rFonts w:ascii="Times New Roman" w:hAnsi="Times New Roman" w:cs="Times New Roman"/>
          <w:color w:val="000000" w:themeColor="text1"/>
          <w:sz w:val="24"/>
          <w:szCs w:val="24"/>
        </w:rPr>
        <w:fldChar w:fldCharType="end"/>
      </w:r>
      <w:r w:rsidRPr="009A7F4E">
        <w:rPr>
          <w:rFonts w:ascii="Times New Roman" w:hAnsi="Times New Roman" w:cs="Times New Roman"/>
          <w:color w:val="000000" w:themeColor="text1"/>
          <w:sz w:val="24"/>
          <w:szCs w:val="24"/>
        </w:rPr>
        <w:t xml:space="preserve">: Base-case Counterfactual </w:t>
      </w:r>
      <w:r w:rsidR="001A05EC" w:rsidRPr="009A7F4E">
        <w:rPr>
          <w:rFonts w:ascii="Times New Roman" w:hAnsi="Times New Roman" w:cs="Times New Roman"/>
          <w:color w:val="000000" w:themeColor="text1"/>
          <w:sz w:val="24"/>
          <w:szCs w:val="24"/>
        </w:rPr>
        <w:t>OS and PFS</w:t>
      </w:r>
      <w:r w:rsidRPr="009A7F4E">
        <w:rPr>
          <w:rFonts w:ascii="Times New Roman" w:hAnsi="Times New Roman" w:cs="Times New Roman"/>
          <w:color w:val="000000" w:themeColor="text1"/>
          <w:sz w:val="24"/>
          <w:szCs w:val="24"/>
        </w:rPr>
        <w:t xml:space="preserve"> </w:t>
      </w:r>
      <w:r w:rsidR="001A05EC" w:rsidRPr="009A7F4E">
        <w:rPr>
          <w:rFonts w:ascii="Times New Roman" w:hAnsi="Times New Roman" w:cs="Times New Roman"/>
          <w:color w:val="000000" w:themeColor="text1"/>
          <w:sz w:val="24"/>
          <w:szCs w:val="24"/>
        </w:rPr>
        <w:t>for Anti-PD-1 Responders and Resistant</w:t>
      </w:r>
    </w:p>
    <w:p w14:paraId="3B6BFF09" w14:textId="0BC46E04" w:rsidR="00B65B8B" w:rsidRPr="009A7F4E" w:rsidRDefault="005821B3" w:rsidP="004A2C00">
      <w:pPr>
        <w:spacing w:before="100" w:beforeAutospacing="1" w:after="100" w:afterAutospacing="1"/>
        <w:contextualSpacing/>
        <w:rPr>
          <w:color w:val="000000" w:themeColor="text1"/>
        </w:rPr>
      </w:pPr>
      <w:r w:rsidRPr="009A7F4E">
        <w:rPr>
          <w:noProof/>
          <w:color w:val="000000" w:themeColor="text1"/>
        </w:rPr>
        <w:drawing>
          <wp:inline distT="0" distB="0" distL="0" distR="0" wp14:anchorId="09BD3898" wp14:editId="24880AA2">
            <wp:extent cx="5943600" cy="3299460"/>
            <wp:effectExtent l="0" t="0" r="0" b="2540"/>
            <wp:docPr id="1020481539"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81539" name="Picture 3" descr="A graph of different colored lines&#10;&#10;Description automatically generated"/>
                    <pic:cNvPicPr/>
                  </pic:nvPicPr>
                  <pic:blipFill rotWithShape="1">
                    <a:blip r:embed="rId11" cstate="print">
                      <a:extLst>
                        <a:ext uri="{28A0092B-C50C-407E-A947-70E740481C1C}">
                          <a14:useLocalDpi xmlns:a14="http://schemas.microsoft.com/office/drawing/2010/main" val="0"/>
                        </a:ext>
                      </a:extLst>
                    </a:blip>
                    <a:srcRect t="7479"/>
                    <a:stretch/>
                  </pic:blipFill>
                  <pic:spPr bwMode="auto">
                    <a:xfrm>
                      <a:off x="0" y="0"/>
                      <a:ext cx="5943600" cy="3299460"/>
                    </a:xfrm>
                    <a:prstGeom prst="rect">
                      <a:avLst/>
                    </a:prstGeom>
                    <a:ln>
                      <a:noFill/>
                    </a:ln>
                    <a:extLst>
                      <a:ext uri="{53640926-AAD7-44D8-BBD7-CCE9431645EC}">
                        <a14:shadowObscured xmlns:a14="http://schemas.microsoft.com/office/drawing/2010/main"/>
                      </a:ext>
                    </a:extLst>
                  </pic:spPr>
                </pic:pic>
              </a:graphicData>
            </a:graphic>
          </wp:inline>
        </w:drawing>
      </w:r>
    </w:p>
    <w:p w14:paraId="53181265" w14:textId="77777777" w:rsidR="005821B3" w:rsidRPr="009A7F4E" w:rsidRDefault="005821B3" w:rsidP="004A2C00">
      <w:pPr>
        <w:spacing w:before="100" w:beforeAutospacing="1" w:after="100" w:afterAutospacing="1"/>
        <w:contextualSpacing/>
        <w:rPr>
          <w:color w:val="000000" w:themeColor="text1"/>
        </w:rPr>
      </w:pPr>
    </w:p>
    <w:p w14:paraId="1D5D9227" w14:textId="77777777" w:rsidR="004A2C00" w:rsidRPr="009A7F4E" w:rsidRDefault="004A2C00" w:rsidP="004A2C00">
      <w:pPr>
        <w:spacing w:before="100" w:beforeAutospacing="1" w:after="100" w:afterAutospacing="1"/>
        <w:contextualSpacing/>
        <w:outlineLvl w:val="2"/>
        <w:rPr>
          <w:b/>
          <w:bCs/>
          <w:color w:val="000000" w:themeColor="text1"/>
        </w:rPr>
      </w:pPr>
      <w:r w:rsidRPr="009A7F4E">
        <w:rPr>
          <w:b/>
          <w:bCs/>
          <w:color w:val="000000" w:themeColor="text1"/>
        </w:rPr>
        <w:t>Costs, Utilities, and Adverse Events</w:t>
      </w:r>
    </w:p>
    <w:p w14:paraId="29BC9C3D" w14:textId="12D47236" w:rsidR="004A2C00" w:rsidRPr="009A7F4E" w:rsidRDefault="004A2C00" w:rsidP="004A2C00">
      <w:pPr>
        <w:spacing w:before="100" w:beforeAutospacing="1" w:after="100" w:afterAutospacing="1"/>
        <w:contextualSpacing/>
        <w:rPr>
          <w:color w:val="000000" w:themeColor="text1"/>
        </w:rPr>
      </w:pPr>
      <w:r w:rsidRPr="009A7F4E">
        <w:rPr>
          <w:color w:val="000000" w:themeColor="text1"/>
        </w:rPr>
        <w:t>Direct medical costs in the model encompassed drug acquisition, administration, and treatment-related adverse events (AEs)</w:t>
      </w:r>
      <w:r w:rsidR="00022792" w:rsidRPr="009A7F4E">
        <w:rPr>
          <w:color w:val="000000" w:themeColor="text1"/>
        </w:rPr>
        <w:t xml:space="preserve"> management</w:t>
      </w:r>
      <w:r w:rsidRPr="009A7F4E">
        <w:rPr>
          <w:color w:val="000000" w:themeColor="text1"/>
        </w:rPr>
        <w:t>. Drug costs were based on national pricing data and adjusted to current U.S. dollars, while AE management costs were derived from published literature and clinical guidelines. Health-state utilities for stable disease and progressive disease were obtained from melanoma-specific studies, with additional disutility applied for AEs. Detailed input parameters, including cost, utility values, and their associated probability distributions for probabilistic sensitivity analysis (PSA), are summarized in Table 1.</w:t>
      </w:r>
    </w:p>
    <w:p w14:paraId="0751DB68" w14:textId="77777777" w:rsidR="00B65B8B" w:rsidRPr="009A7F4E" w:rsidRDefault="00B65B8B" w:rsidP="004A2C00">
      <w:pPr>
        <w:spacing w:before="100" w:beforeAutospacing="1" w:after="100" w:afterAutospacing="1"/>
        <w:contextualSpacing/>
        <w:rPr>
          <w:color w:val="000000" w:themeColor="text1"/>
        </w:rPr>
      </w:pPr>
    </w:p>
    <w:p w14:paraId="43C2A13C" w14:textId="77777777" w:rsidR="004A2C00" w:rsidRPr="009A7F4E" w:rsidRDefault="004A2C00" w:rsidP="004A2C00">
      <w:pPr>
        <w:spacing w:before="100" w:beforeAutospacing="1" w:after="100" w:afterAutospacing="1"/>
        <w:contextualSpacing/>
        <w:outlineLvl w:val="2"/>
        <w:rPr>
          <w:b/>
          <w:bCs/>
          <w:color w:val="000000" w:themeColor="text1"/>
        </w:rPr>
      </w:pPr>
      <w:r w:rsidRPr="009A7F4E">
        <w:rPr>
          <w:b/>
          <w:bCs/>
          <w:color w:val="000000" w:themeColor="text1"/>
        </w:rPr>
        <w:t>Sensitivity Analyses</w:t>
      </w:r>
    </w:p>
    <w:p w14:paraId="40F414E5" w14:textId="60F6FE23" w:rsidR="004A2C00" w:rsidRPr="009A7F4E" w:rsidRDefault="004A2C00" w:rsidP="004A2C00">
      <w:pPr>
        <w:spacing w:before="100" w:beforeAutospacing="1" w:after="100" w:afterAutospacing="1"/>
        <w:contextualSpacing/>
        <w:rPr>
          <w:color w:val="000000" w:themeColor="text1"/>
        </w:rPr>
      </w:pPr>
      <w:r w:rsidRPr="009A7F4E">
        <w:rPr>
          <w:color w:val="000000" w:themeColor="text1"/>
        </w:rPr>
        <w:t xml:space="preserve">We conducted comprehensive sensitivity analyses to assess the robustness of our findings. One-way sensitivity analyses varied key parameters (e.g., drug costs, AE management costs, utility values, and the performance characteristics of the Tarantino model) over plausible ranges. A two-way sensitivity analysis specifically examined the impact of varying sensitivity and specificity of the Tarantino model on overall quality-adjusted life-years (QALYs). </w:t>
      </w:r>
      <w:r w:rsidR="00022792" w:rsidRPr="009A7F4E">
        <w:rPr>
          <w:color w:val="000000" w:themeColor="text1"/>
        </w:rPr>
        <w:t>Using</w:t>
      </w:r>
      <w:r w:rsidRPr="009A7F4E">
        <w:rPr>
          <w:color w:val="000000" w:themeColor="text1"/>
        </w:rPr>
        <w:t xml:space="preserve"> Monte Carlo simulation with 10,000 iterations</w:t>
      </w:r>
      <w:r w:rsidR="00022792" w:rsidRPr="009A7F4E">
        <w:rPr>
          <w:color w:val="000000" w:themeColor="text1"/>
        </w:rPr>
        <w:t>, PSA was performed</w:t>
      </w:r>
      <w:r w:rsidRPr="009A7F4E">
        <w:rPr>
          <w:color w:val="000000" w:themeColor="text1"/>
        </w:rPr>
        <w:t>, assigning gamma distributions to cost parameters and beta distributions to probability and utility inputs. The influence of ML model accuracy on overall outcomes is further illustrated by a heat map of QALYs (Figure 4), which identifies the threshold performance necessary for the biomarker-guided strategy to be cost-effective.</w:t>
      </w:r>
    </w:p>
    <w:p w14:paraId="2DFC6BCE" w14:textId="77777777" w:rsidR="00B65B8B" w:rsidRPr="009A7F4E" w:rsidRDefault="00B65B8B" w:rsidP="004A2C00">
      <w:pPr>
        <w:spacing w:before="100" w:beforeAutospacing="1" w:after="100" w:afterAutospacing="1"/>
        <w:contextualSpacing/>
        <w:rPr>
          <w:color w:val="000000" w:themeColor="text1"/>
        </w:rPr>
      </w:pPr>
    </w:p>
    <w:p w14:paraId="3E462A89" w14:textId="77777777" w:rsidR="00B65B8B" w:rsidRPr="009A7F4E" w:rsidRDefault="00B65B8B" w:rsidP="004A2C00">
      <w:pPr>
        <w:spacing w:before="100" w:beforeAutospacing="1" w:after="100" w:afterAutospacing="1"/>
        <w:contextualSpacing/>
        <w:rPr>
          <w:color w:val="000000" w:themeColor="text1"/>
        </w:rPr>
      </w:pPr>
    </w:p>
    <w:p w14:paraId="27E8A5C2" w14:textId="77777777" w:rsidR="005D2C0E" w:rsidRPr="009A7F4E" w:rsidRDefault="005D2C0E" w:rsidP="004A2C00">
      <w:pPr>
        <w:spacing w:before="100" w:beforeAutospacing="1" w:after="100" w:afterAutospacing="1"/>
        <w:contextualSpacing/>
        <w:rPr>
          <w:color w:val="000000" w:themeColor="text1"/>
        </w:rPr>
      </w:pPr>
    </w:p>
    <w:p w14:paraId="633B3097" w14:textId="77777777" w:rsidR="005D2C0E" w:rsidRPr="009A7F4E" w:rsidRDefault="005D2C0E" w:rsidP="004A2C00">
      <w:pPr>
        <w:spacing w:before="100" w:beforeAutospacing="1" w:after="100" w:afterAutospacing="1"/>
        <w:contextualSpacing/>
        <w:rPr>
          <w:color w:val="000000" w:themeColor="text1"/>
        </w:rPr>
      </w:pPr>
    </w:p>
    <w:p w14:paraId="6A8E6415" w14:textId="673950FC" w:rsidR="0039204A" w:rsidRPr="009A7F4E" w:rsidRDefault="0039204A" w:rsidP="0039204A">
      <w:pPr>
        <w:spacing w:before="100" w:beforeAutospacing="1" w:after="100" w:afterAutospacing="1"/>
        <w:rPr>
          <w:color w:val="000000" w:themeColor="text1"/>
        </w:rPr>
      </w:pP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145"/>
        <w:gridCol w:w="2610"/>
        <w:gridCol w:w="1530"/>
        <w:gridCol w:w="2065"/>
      </w:tblGrid>
      <w:tr w:rsidR="009A7F4E" w:rsidRPr="009A7F4E" w14:paraId="2D5EC860" w14:textId="77777777" w:rsidTr="00807EB8">
        <w:trPr>
          <w:tblHeader/>
          <w:tblCellSpacing w:w="15" w:type="dxa"/>
          <w:jc w:val="center"/>
        </w:trPr>
        <w:tc>
          <w:tcPr>
            <w:tcW w:w="3100" w:type="dxa"/>
            <w:tcBorders>
              <w:top w:val="single" w:sz="4" w:space="0" w:color="auto"/>
              <w:bottom w:val="single" w:sz="4" w:space="0" w:color="auto"/>
              <w:right w:val="single" w:sz="4" w:space="0" w:color="auto"/>
            </w:tcBorders>
            <w:vAlign w:val="center"/>
            <w:hideMark/>
          </w:tcPr>
          <w:p w14:paraId="73A25D5B" w14:textId="77777777" w:rsidR="0039204A" w:rsidRPr="009A7F4E" w:rsidRDefault="0039204A" w:rsidP="0039204A">
            <w:pPr>
              <w:jc w:val="center"/>
              <w:rPr>
                <w:b/>
                <w:bCs/>
                <w:color w:val="000000" w:themeColor="text1"/>
              </w:rPr>
            </w:pPr>
            <w:r w:rsidRPr="009A7F4E">
              <w:rPr>
                <w:b/>
                <w:bCs/>
                <w:color w:val="000000" w:themeColor="text1"/>
              </w:rPr>
              <w:lastRenderedPageBreak/>
              <w:t>Parameter</w:t>
            </w:r>
          </w:p>
        </w:tc>
        <w:tc>
          <w:tcPr>
            <w:tcW w:w="2580" w:type="dxa"/>
            <w:tcBorders>
              <w:top w:val="single" w:sz="4" w:space="0" w:color="auto"/>
              <w:bottom w:val="single" w:sz="4" w:space="0" w:color="auto"/>
              <w:right w:val="single" w:sz="4" w:space="0" w:color="auto"/>
            </w:tcBorders>
            <w:vAlign w:val="center"/>
            <w:hideMark/>
          </w:tcPr>
          <w:p w14:paraId="36E46332" w14:textId="77777777" w:rsidR="0039204A" w:rsidRPr="009A7F4E" w:rsidRDefault="0039204A" w:rsidP="0039204A">
            <w:pPr>
              <w:jc w:val="center"/>
              <w:rPr>
                <w:b/>
                <w:bCs/>
                <w:color w:val="000000" w:themeColor="text1"/>
              </w:rPr>
            </w:pPr>
            <w:r w:rsidRPr="009A7F4E">
              <w:rPr>
                <w:b/>
                <w:bCs/>
                <w:color w:val="000000" w:themeColor="text1"/>
              </w:rPr>
              <w:t>Value (95% CI)</w:t>
            </w:r>
          </w:p>
        </w:tc>
        <w:tc>
          <w:tcPr>
            <w:tcW w:w="1500" w:type="dxa"/>
            <w:tcBorders>
              <w:top w:val="single" w:sz="4" w:space="0" w:color="auto"/>
              <w:bottom w:val="single" w:sz="4" w:space="0" w:color="auto"/>
              <w:right w:val="single" w:sz="4" w:space="0" w:color="auto"/>
            </w:tcBorders>
            <w:vAlign w:val="center"/>
            <w:hideMark/>
          </w:tcPr>
          <w:p w14:paraId="72BE47A8" w14:textId="77777777" w:rsidR="0039204A" w:rsidRPr="009A7F4E" w:rsidRDefault="0039204A" w:rsidP="0039204A">
            <w:pPr>
              <w:jc w:val="center"/>
              <w:rPr>
                <w:b/>
                <w:bCs/>
                <w:color w:val="000000" w:themeColor="text1"/>
              </w:rPr>
            </w:pPr>
            <w:r w:rsidRPr="009A7F4E">
              <w:rPr>
                <w:b/>
                <w:bCs/>
                <w:color w:val="000000" w:themeColor="text1"/>
              </w:rPr>
              <w:t>Distribution</w:t>
            </w:r>
          </w:p>
        </w:tc>
        <w:tc>
          <w:tcPr>
            <w:tcW w:w="2020" w:type="dxa"/>
            <w:tcBorders>
              <w:top w:val="single" w:sz="4" w:space="0" w:color="auto"/>
              <w:bottom w:val="single" w:sz="4" w:space="0" w:color="auto"/>
            </w:tcBorders>
            <w:vAlign w:val="center"/>
            <w:hideMark/>
          </w:tcPr>
          <w:p w14:paraId="08CFF7B6" w14:textId="77777777" w:rsidR="0039204A" w:rsidRPr="009A7F4E" w:rsidRDefault="0039204A" w:rsidP="0039204A">
            <w:pPr>
              <w:jc w:val="center"/>
              <w:rPr>
                <w:b/>
                <w:bCs/>
                <w:color w:val="000000" w:themeColor="text1"/>
              </w:rPr>
            </w:pPr>
            <w:r w:rsidRPr="009A7F4E">
              <w:rPr>
                <w:b/>
                <w:bCs/>
                <w:color w:val="000000" w:themeColor="text1"/>
              </w:rPr>
              <w:t>Source</w:t>
            </w:r>
          </w:p>
        </w:tc>
      </w:tr>
      <w:tr w:rsidR="009A7F4E" w:rsidRPr="009A7F4E" w14:paraId="6B6DC505" w14:textId="77777777" w:rsidTr="00807EB8">
        <w:trPr>
          <w:tblCellSpacing w:w="15" w:type="dxa"/>
          <w:jc w:val="center"/>
        </w:trPr>
        <w:tc>
          <w:tcPr>
            <w:tcW w:w="3100" w:type="dxa"/>
            <w:tcBorders>
              <w:right w:val="single" w:sz="4" w:space="0" w:color="auto"/>
            </w:tcBorders>
            <w:vAlign w:val="center"/>
            <w:hideMark/>
          </w:tcPr>
          <w:p w14:paraId="2839DAC0" w14:textId="77777777" w:rsidR="0039204A" w:rsidRPr="009A7F4E" w:rsidRDefault="0039204A" w:rsidP="0039204A">
            <w:pPr>
              <w:rPr>
                <w:color w:val="000000" w:themeColor="text1"/>
              </w:rPr>
            </w:pPr>
            <w:r w:rsidRPr="009A7F4E">
              <w:rPr>
                <w:b/>
                <w:bCs/>
                <w:color w:val="000000" w:themeColor="text1"/>
              </w:rPr>
              <w:t>Drug Costs per Cycle</w:t>
            </w:r>
          </w:p>
        </w:tc>
        <w:tc>
          <w:tcPr>
            <w:tcW w:w="2580" w:type="dxa"/>
            <w:tcBorders>
              <w:right w:val="single" w:sz="4" w:space="0" w:color="auto"/>
            </w:tcBorders>
            <w:vAlign w:val="center"/>
            <w:hideMark/>
          </w:tcPr>
          <w:p w14:paraId="4E89C35A" w14:textId="77777777" w:rsidR="0039204A" w:rsidRPr="009A7F4E" w:rsidRDefault="0039204A" w:rsidP="00807EB8">
            <w:pPr>
              <w:jc w:val="center"/>
              <w:rPr>
                <w:color w:val="000000" w:themeColor="text1"/>
              </w:rPr>
            </w:pPr>
          </w:p>
        </w:tc>
        <w:tc>
          <w:tcPr>
            <w:tcW w:w="1500" w:type="dxa"/>
            <w:tcBorders>
              <w:right w:val="single" w:sz="4" w:space="0" w:color="auto"/>
            </w:tcBorders>
            <w:vAlign w:val="center"/>
            <w:hideMark/>
          </w:tcPr>
          <w:p w14:paraId="1618381A" w14:textId="77777777" w:rsidR="0039204A" w:rsidRPr="009A7F4E" w:rsidRDefault="0039204A" w:rsidP="00807EB8">
            <w:pPr>
              <w:jc w:val="center"/>
              <w:rPr>
                <w:color w:val="000000" w:themeColor="text1"/>
              </w:rPr>
            </w:pPr>
          </w:p>
        </w:tc>
        <w:tc>
          <w:tcPr>
            <w:tcW w:w="2020" w:type="dxa"/>
            <w:vAlign w:val="center"/>
            <w:hideMark/>
          </w:tcPr>
          <w:p w14:paraId="3A2D0035" w14:textId="77777777" w:rsidR="0039204A" w:rsidRPr="009A7F4E" w:rsidRDefault="0039204A" w:rsidP="00807EB8">
            <w:pPr>
              <w:jc w:val="center"/>
              <w:rPr>
                <w:color w:val="000000" w:themeColor="text1"/>
              </w:rPr>
            </w:pPr>
          </w:p>
        </w:tc>
      </w:tr>
      <w:tr w:rsidR="009A7F4E" w:rsidRPr="009A7F4E" w14:paraId="1EAE28E6" w14:textId="77777777" w:rsidTr="00807EB8">
        <w:trPr>
          <w:tblCellSpacing w:w="15" w:type="dxa"/>
          <w:jc w:val="center"/>
        </w:trPr>
        <w:tc>
          <w:tcPr>
            <w:tcW w:w="3100" w:type="dxa"/>
            <w:tcBorders>
              <w:right w:val="single" w:sz="4" w:space="0" w:color="auto"/>
            </w:tcBorders>
            <w:vAlign w:val="center"/>
            <w:hideMark/>
          </w:tcPr>
          <w:p w14:paraId="6D2C53DD" w14:textId="77777777" w:rsidR="0039204A" w:rsidRPr="009A7F4E" w:rsidRDefault="0039204A" w:rsidP="0039204A">
            <w:pPr>
              <w:rPr>
                <w:color w:val="000000" w:themeColor="text1"/>
              </w:rPr>
            </w:pPr>
            <w:r w:rsidRPr="009A7F4E">
              <w:rPr>
                <w:color w:val="000000" w:themeColor="text1"/>
              </w:rPr>
              <w:t>Nivolumab</w:t>
            </w:r>
          </w:p>
        </w:tc>
        <w:tc>
          <w:tcPr>
            <w:tcW w:w="2580" w:type="dxa"/>
            <w:tcBorders>
              <w:right w:val="single" w:sz="4" w:space="0" w:color="auto"/>
            </w:tcBorders>
            <w:vAlign w:val="center"/>
            <w:hideMark/>
          </w:tcPr>
          <w:p w14:paraId="589A39A6" w14:textId="77777777" w:rsidR="0039204A" w:rsidRPr="009A7F4E" w:rsidRDefault="0039204A" w:rsidP="00807EB8">
            <w:pPr>
              <w:jc w:val="center"/>
              <w:rPr>
                <w:color w:val="000000" w:themeColor="text1"/>
              </w:rPr>
            </w:pPr>
            <w:r w:rsidRPr="009A7F4E">
              <w:rPr>
                <w:color w:val="000000" w:themeColor="text1"/>
              </w:rPr>
              <w:t>$14,975 ($9,703–$21,417)</w:t>
            </w:r>
          </w:p>
        </w:tc>
        <w:tc>
          <w:tcPr>
            <w:tcW w:w="1500" w:type="dxa"/>
            <w:tcBorders>
              <w:right w:val="single" w:sz="4" w:space="0" w:color="auto"/>
            </w:tcBorders>
            <w:vAlign w:val="center"/>
            <w:hideMark/>
          </w:tcPr>
          <w:p w14:paraId="2FA27297" w14:textId="77777777" w:rsidR="0039204A" w:rsidRPr="009A7F4E" w:rsidRDefault="0039204A" w:rsidP="00807EB8">
            <w:pPr>
              <w:jc w:val="center"/>
              <w:rPr>
                <w:color w:val="000000" w:themeColor="text1"/>
              </w:rPr>
            </w:pPr>
            <w:r w:rsidRPr="009A7F4E">
              <w:rPr>
                <w:color w:val="000000" w:themeColor="text1"/>
              </w:rPr>
              <w:t>Gamma</w:t>
            </w:r>
          </w:p>
        </w:tc>
        <w:tc>
          <w:tcPr>
            <w:tcW w:w="2020" w:type="dxa"/>
            <w:vAlign w:val="center"/>
            <w:hideMark/>
          </w:tcPr>
          <w:p w14:paraId="0612EA2B" w14:textId="6BF89DC6" w:rsidR="0039204A" w:rsidRPr="009A7F4E" w:rsidRDefault="0039204A" w:rsidP="00807EB8">
            <w:pPr>
              <w:jc w:val="center"/>
              <w:rPr>
                <w:color w:val="000000" w:themeColor="text1"/>
              </w:rPr>
            </w:pPr>
            <w:r w:rsidRPr="009A7F4E">
              <w:rPr>
                <w:color w:val="000000" w:themeColor="text1"/>
              </w:rPr>
              <w:t>AWP</w:t>
            </w:r>
          </w:p>
        </w:tc>
      </w:tr>
      <w:tr w:rsidR="009A7F4E" w:rsidRPr="009A7F4E" w14:paraId="03D6673E" w14:textId="77777777" w:rsidTr="00807EB8">
        <w:trPr>
          <w:tblCellSpacing w:w="15" w:type="dxa"/>
          <w:jc w:val="center"/>
        </w:trPr>
        <w:tc>
          <w:tcPr>
            <w:tcW w:w="3100" w:type="dxa"/>
            <w:tcBorders>
              <w:right w:val="single" w:sz="4" w:space="0" w:color="auto"/>
            </w:tcBorders>
            <w:vAlign w:val="center"/>
            <w:hideMark/>
          </w:tcPr>
          <w:p w14:paraId="70882D64" w14:textId="77777777" w:rsidR="0039204A" w:rsidRPr="009A7F4E" w:rsidRDefault="0039204A" w:rsidP="0039204A">
            <w:pPr>
              <w:rPr>
                <w:color w:val="000000" w:themeColor="text1"/>
              </w:rPr>
            </w:pPr>
            <w:r w:rsidRPr="009A7F4E">
              <w:rPr>
                <w:color w:val="000000" w:themeColor="text1"/>
              </w:rPr>
              <w:t>Combination (NIVO+IPI)</w:t>
            </w:r>
          </w:p>
        </w:tc>
        <w:tc>
          <w:tcPr>
            <w:tcW w:w="2580" w:type="dxa"/>
            <w:tcBorders>
              <w:right w:val="single" w:sz="4" w:space="0" w:color="auto"/>
            </w:tcBorders>
            <w:vAlign w:val="center"/>
            <w:hideMark/>
          </w:tcPr>
          <w:p w14:paraId="33424F9D" w14:textId="77777777" w:rsidR="0039204A" w:rsidRPr="009A7F4E" w:rsidRDefault="0039204A" w:rsidP="00807EB8">
            <w:pPr>
              <w:jc w:val="center"/>
              <w:rPr>
                <w:color w:val="000000" w:themeColor="text1"/>
              </w:rPr>
            </w:pPr>
            <w:r w:rsidRPr="009A7F4E">
              <w:rPr>
                <w:color w:val="000000" w:themeColor="text1"/>
              </w:rPr>
              <w:t>$26,425 ($17,089–$37,662)</w:t>
            </w:r>
          </w:p>
        </w:tc>
        <w:tc>
          <w:tcPr>
            <w:tcW w:w="1500" w:type="dxa"/>
            <w:tcBorders>
              <w:right w:val="single" w:sz="4" w:space="0" w:color="auto"/>
            </w:tcBorders>
            <w:vAlign w:val="center"/>
            <w:hideMark/>
          </w:tcPr>
          <w:p w14:paraId="11F4FE4C" w14:textId="77777777" w:rsidR="0039204A" w:rsidRPr="009A7F4E" w:rsidRDefault="0039204A" w:rsidP="00807EB8">
            <w:pPr>
              <w:jc w:val="center"/>
              <w:rPr>
                <w:color w:val="000000" w:themeColor="text1"/>
              </w:rPr>
            </w:pPr>
            <w:r w:rsidRPr="009A7F4E">
              <w:rPr>
                <w:color w:val="000000" w:themeColor="text1"/>
              </w:rPr>
              <w:t>Gamma</w:t>
            </w:r>
          </w:p>
        </w:tc>
        <w:tc>
          <w:tcPr>
            <w:tcW w:w="2020" w:type="dxa"/>
            <w:vAlign w:val="center"/>
            <w:hideMark/>
          </w:tcPr>
          <w:p w14:paraId="7ECC6F4A" w14:textId="0FAFF3EA" w:rsidR="0039204A" w:rsidRPr="009A7F4E" w:rsidRDefault="0039204A" w:rsidP="00807EB8">
            <w:pPr>
              <w:jc w:val="center"/>
              <w:rPr>
                <w:color w:val="000000" w:themeColor="text1"/>
              </w:rPr>
            </w:pPr>
            <w:r w:rsidRPr="009A7F4E">
              <w:rPr>
                <w:color w:val="000000" w:themeColor="text1"/>
              </w:rPr>
              <w:t>AWP</w:t>
            </w:r>
          </w:p>
        </w:tc>
      </w:tr>
      <w:tr w:rsidR="009A7F4E" w:rsidRPr="009A7F4E" w14:paraId="30830A08" w14:textId="77777777" w:rsidTr="00807EB8">
        <w:trPr>
          <w:tblCellSpacing w:w="15" w:type="dxa"/>
          <w:jc w:val="center"/>
        </w:trPr>
        <w:tc>
          <w:tcPr>
            <w:tcW w:w="3100" w:type="dxa"/>
            <w:tcBorders>
              <w:right w:val="single" w:sz="4" w:space="0" w:color="auto"/>
            </w:tcBorders>
            <w:vAlign w:val="center"/>
            <w:hideMark/>
          </w:tcPr>
          <w:p w14:paraId="18E5B6E6" w14:textId="4B065F8F" w:rsidR="0039204A" w:rsidRPr="009A7F4E" w:rsidRDefault="0039204A" w:rsidP="0039204A">
            <w:pPr>
              <w:rPr>
                <w:color w:val="000000" w:themeColor="text1"/>
                <w:vertAlign w:val="superscript"/>
              </w:rPr>
            </w:pPr>
            <w:r w:rsidRPr="009A7F4E">
              <w:rPr>
                <w:color w:val="000000" w:themeColor="text1"/>
              </w:rPr>
              <w:t>Second-line Treatment (NIVO+IPI arm)</w:t>
            </w:r>
            <w:r w:rsidR="0099312B" w:rsidRPr="009A7F4E">
              <w:rPr>
                <w:color w:val="000000" w:themeColor="text1"/>
              </w:rPr>
              <w:t xml:space="preserve"> </w:t>
            </w:r>
            <w:r w:rsidR="00A90ECF" w:rsidRPr="009A7F4E">
              <w:rPr>
                <w:color w:val="000000" w:themeColor="text1"/>
                <w:vertAlign w:val="superscript"/>
              </w:rPr>
              <w:t>a</w:t>
            </w:r>
          </w:p>
        </w:tc>
        <w:tc>
          <w:tcPr>
            <w:tcW w:w="2580" w:type="dxa"/>
            <w:tcBorders>
              <w:right w:val="single" w:sz="4" w:space="0" w:color="auto"/>
            </w:tcBorders>
            <w:vAlign w:val="center"/>
            <w:hideMark/>
          </w:tcPr>
          <w:p w14:paraId="3FA65B3D" w14:textId="77777777" w:rsidR="0039204A" w:rsidRPr="009A7F4E" w:rsidRDefault="0039204A" w:rsidP="00807EB8">
            <w:pPr>
              <w:jc w:val="center"/>
              <w:rPr>
                <w:color w:val="000000" w:themeColor="text1"/>
              </w:rPr>
            </w:pPr>
            <w:r w:rsidRPr="009A7F4E">
              <w:rPr>
                <w:color w:val="000000" w:themeColor="text1"/>
              </w:rPr>
              <w:t>$8,908 ($5,764–$12,735)</w:t>
            </w:r>
          </w:p>
        </w:tc>
        <w:tc>
          <w:tcPr>
            <w:tcW w:w="1500" w:type="dxa"/>
            <w:tcBorders>
              <w:right w:val="single" w:sz="4" w:space="0" w:color="auto"/>
            </w:tcBorders>
            <w:vAlign w:val="center"/>
            <w:hideMark/>
          </w:tcPr>
          <w:p w14:paraId="6C070A26" w14:textId="77777777" w:rsidR="0039204A" w:rsidRPr="009A7F4E" w:rsidRDefault="0039204A" w:rsidP="00807EB8">
            <w:pPr>
              <w:jc w:val="center"/>
              <w:rPr>
                <w:color w:val="000000" w:themeColor="text1"/>
              </w:rPr>
            </w:pPr>
            <w:r w:rsidRPr="009A7F4E">
              <w:rPr>
                <w:color w:val="000000" w:themeColor="text1"/>
              </w:rPr>
              <w:t>Gamma</w:t>
            </w:r>
          </w:p>
        </w:tc>
        <w:tc>
          <w:tcPr>
            <w:tcW w:w="2020" w:type="dxa"/>
            <w:vAlign w:val="center"/>
            <w:hideMark/>
          </w:tcPr>
          <w:p w14:paraId="651D4F96" w14:textId="4BD53840" w:rsidR="0039204A" w:rsidRPr="009A7F4E" w:rsidRDefault="0039204A" w:rsidP="00807EB8">
            <w:pPr>
              <w:jc w:val="center"/>
              <w:rPr>
                <w:color w:val="000000" w:themeColor="text1"/>
              </w:rPr>
            </w:pPr>
            <w:r w:rsidRPr="009A7F4E">
              <w:rPr>
                <w:color w:val="000000" w:themeColor="text1"/>
              </w:rPr>
              <w:t>AWP</w:t>
            </w:r>
          </w:p>
        </w:tc>
      </w:tr>
      <w:tr w:rsidR="009A7F4E" w:rsidRPr="009A7F4E" w14:paraId="3F339354" w14:textId="77777777" w:rsidTr="00807EB8">
        <w:trPr>
          <w:tblCellSpacing w:w="15" w:type="dxa"/>
          <w:jc w:val="center"/>
        </w:trPr>
        <w:tc>
          <w:tcPr>
            <w:tcW w:w="3100" w:type="dxa"/>
            <w:tcBorders>
              <w:right w:val="single" w:sz="4" w:space="0" w:color="auto"/>
            </w:tcBorders>
            <w:vAlign w:val="center"/>
            <w:hideMark/>
          </w:tcPr>
          <w:p w14:paraId="2E2494E5" w14:textId="4D5AD18C" w:rsidR="0039204A" w:rsidRPr="009A7F4E" w:rsidRDefault="0039204A" w:rsidP="0039204A">
            <w:pPr>
              <w:rPr>
                <w:color w:val="000000" w:themeColor="text1"/>
                <w:vertAlign w:val="superscript"/>
              </w:rPr>
            </w:pPr>
            <w:r w:rsidRPr="009A7F4E">
              <w:rPr>
                <w:color w:val="000000" w:themeColor="text1"/>
              </w:rPr>
              <w:t>Second-line Treatment (</w:t>
            </w:r>
            <w:r w:rsidR="000B4EF2" w:rsidRPr="009A7F4E">
              <w:rPr>
                <w:color w:val="000000" w:themeColor="text1"/>
              </w:rPr>
              <w:t>NIVO</w:t>
            </w:r>
            <w:r w:rsidRPr="009A7F4E">
              <w:rPr>
                <w:color w:val="000000" w:themeColor="text1"/>
              </w:rPr>
              <w:t xml:space="preserve"> arm)</w:t>
            </w:r>
            <w:r w:rsidR="0099312B" w:rsidRPr="009A7F4E">
              <w:rPr>
                <w:color w:val="000000" w:themeColor="text1"/>
              </w:rPr>
              <w:t xml:space="preserve"> </w:t>
            </w:r>
            <w:r w:rsidR="00A90ECF" w:rsidRPr="009A7F4E">
              <w:rPr>
                <w:color w:val="000000" w:themeColor="text1"/>
                <w:vertAlign w:val="superscript"/>
              </w:rPr>
              <w:t>a</w:t>
            </w:r>
          </w:p>
        </w:tc>
        <w:tc>
          <w:tcPr>
            <w:tcW w:w="2580" w:type="dxa"/>
            <w:tcBorders>
              <w:right w:val="single" w:sz="4" w:space="0" w:color="auto"/>
            </w:tcBorders>
            <w:vAlign w:val="center"/>
            <w:hideMark/>
          </w:tcPr>
          <w:p w14:paraId="4C70F3AD" w14:textId="77777777" w:rsidR="0039204A" w:rsidRPr="009A7F4E" w:rsidRDefault="0039204A" w:rsidP="00807EB8">
            <w:pPr>
              <w:jc w:val="center"/>
              <w:rPr>
                <w:color w:val="000000" w:themeColor="text1"/>
              </w:rPr>
            </w:pPr>
            <w:r w:rsidRPr="009A7F4E">
              <w:rPr>
                <w:color w:val="000000" w:themeColor="text1"/>
              </w:rPr>
              <w:t>$12,093 ($7,824–$17,255)</w:t>
            </w:r>
          </w:p>
        </w:tc>
        <w:tc>
          <w:tcPr>
            <w:tcW w:w="1500" w:type="dxa"/>
            <w:tcBorders>
              <w:right w:val="single" w:sz="4" w:space="0" w:color="auto"/>
            </w:tcBorders>
            <w:vAlign w:val="center"/>
            <w:hideMark/>
          </w:tcPr>
          <w:p w14:paraId="24410F90" w14:textId="77777777" w:rsidR="0039204A" w:rsidRPr="009A7F4E" w:rsidRDefault="0039204A" w:rsidP="00807EB8">
            <w:pPr>
              <w:jc w:val="center"/>
              <w:rPr>
                <w:color w:val="000000" w:themeColor="text1"/>
              </w:rPr>
            </w:pPr>
            <w:r w:rsidRPr="009A7F4E">
              <w:rPr>
                <w:color w:val="000000" w:themeColor="text1"/>
              </w:rPr>
              <w:t>Gamma</w:t>
            </w:r>
          </w:p>
        </w:tc>
        <w:tc>
          <w:tcPr>
            <w:tcW w:w="2020" w:type="dxa"/>
            <w:vAlign w:val="center"/>
            <w:hideMark/>
          </w:tcPr>
          <w:p w14:paraId="6EFEC760" w14:textId="52D70DC9" w:rsidR="0039204A" w:rsidRPr="009A7F4E" w:rsidRDefault="0039204A" w:rsidP="00807EB8">
            <w:pPr>
              <w:jc w:val="center"/>
              <w:rPr>
                <w:color w:val="000000" w:themeColor="text1"/>
              </w:rPr>
            </w:pPr>
            <w:r w:rsidRPr="009A7F4E">
              <w:rPr>
                <w:color w:val="000000" w:themeColor="text1"/>
              </w:rPr>
              <w:t>AWP</w:t>
            </w:r>
          </w:p>
        </w:tc>
      </w:tr>
      <w:tr w:rsidR="009A7F4E" w:rsidRPr="009A7F4E" w14:paraId="43077FEC" w14:textId="77777777" w:rsidTr="00807EB8">
        <w:trPr>
          <w:tblCellSpacing w:w="15" w:type="dxa"/>
          <w:jc w:val="center"/>
        </w:trPr>
        <w:tc>
          <w:tcPr>
            <w:tcW w:w="3100" w:type="dxa"/>
            <w:tcBorders>
              <w:right w:val="single" w:sz="4" w:space="0" w:color="auto"/>
            </w:tcBorders>
            <w:vAlign w:val="center"/>
            <w:hideMark/>
          </w:tcPr>
          <w:p w14:paraId="38A7D51C" w14:textId="68FE9411" w:rsidR="0039204A" w:rsidRPr="009A7F4E" w:rsidRDefault="0039204A" w:rsidP="0039204A">
            <w:pPr>
              <w:rPr>
                <w:color w:val="000000" w:themeColor="text1"/>
                <w:vertAlign w:val="superscript"/>
              </w:rPr>
            </w:pPr>
            <w:r w:rsidRPr="009A7F4E">
              <w:rPr>
                <w:b/>
                <w:bCs/>
                <w:color w:val="000000" w:themeColor="text1"/>
              </w:rPr>
              <w:t xml:space="preserve">Drug Toxic Effects </w:t>
            </w:r>
            <w:r w:rsidR="00BF5343" w:rsidRPr="009A7F4E">
              <w:rPr>
                <w:b/>
                <w:bCs/>
                <w:color w:val="000000" w:themeColor="text1"/>
              </w:rPr>
              <w:t>Decrement</w:t>
            </w:r>
            <w:r w:rsidR="0099312B" w:rsidRPr="009A7F4E">
              <w:rPr>
                <w:b/>
                <w:bCs/>
                <w:color w:val="000000" w:themeColor="text1"/>
              </w:rPr>
              <w:t xml:space="preserve"> </w:t>
            </w:r>
            <w:r w:rsidR="0099312B" w:rsidRPr="009A7F4E">
              <w:rPr>
                <w:color w:val="000000" w:themeColor="text1"/>
                <w:vertAlign w:val="superscript"/>
              </w:rPr>
              <w:t>b</w:t>
            </w:r>
          </w:p>
        </w:tc>
        <w:tc>
          <w:tcPr>
            <w:tcW w:w="2580" w:type="dxa"/>
            <w:tcBorders>
              <w:right w:val="single" w:sz="4" w:space="0" w:color="auto"/>
            </w:tcBorders>
            <w:vAlign w:val="center"/>
            <w:hideMark/>
          </w:tcPr>
          <w:p w14:paraId="19A7539D" w14:textId="77777777" w:rsidR="0039204A" w:rsidRPr="009A7F4E" w:rsidRDefault="0039204A" w:rsidP="00807EB8">
            <w:pPr>
              <w:jc w:val="center"/>
              <w:rPr>
                <w:color w:val="000000" w:themeColor="text1"/>
              </w:rPr>
            </w:pPr>
          </w:p>
        </w:tc>
        <w:tc>
          <w:tcPr>
            <w:tcW w:w="1500" w:type="dxa"/>
            <w:tcBorders>
              <w:right w:val="single" w:sz="4" w:space="0" w:color="auto"/>
            </w:tcBorders>
            <w:vAlign w:val="center"/>
            <w:hideMark/>
          </w:tcPr>
          <w:p w14:paraId="433F699A" w14:textId="77777777" w:rsidR="0039204A" w:rsidRPr="009A7F4E" w:rsidRDefault="0039204A" w:rsidP="00807EB8">
            <w:pPr>
              <w:jc w:val="center"/>
              <w:rPr>
                <w:color w:val="000000" w:themeColor="text1"/>
              </w:rPr>
            </w:pPr>
          </w:p>
        </w:tc>
        <w:tc>
          <w:tcPr>
            <w:tcW w:w="2020" w:type="dxa"/>
            <w:vAlign w:val="center"/>
            <w:hideMark/>
          </w:tcPr>
          <w:p w14:paraId="72C3224B" w14:textId="77777777" w:rsidR="0039204A" w:rsidRPr="009A7F4E" w:rsidRDefault="0039204A" w:rsidP="00807EB8">
            <w:pPr>
              <w:jc w:val="center"/>
              <w:rPr>
                <w:color w:val="000000" w:themeColor="text1"/>
              </w:rPr>
            </w:pPr>
          </w:p>
        </w:tc>
      </w:tr>
      <w:tr w:rsidR="009A7F4E" w:rsidRPr="009A7F4E" w14:paraId="5AF86537" w14:textId="77777777" w:rsidTr="00807EB8">
        <w:trPr>
          <w:tblCellSpacing w:w="15" w:type="dxa"/>
          <w:jc w:val="center"/>
        </w:trPr>
        <w:tc>
          <w:tcPr>
            <w:tcW w:w="3100" w:type="dxa"/>
            <w:tcBorders>
              <w:right w:val="single" w:sz="4" w:space="0" w:color="auto"/>
            </w:tcBorders>
            <w:vAlign w:val="center"/>
            <w:hideMark/>
          </w:tcPr>
          <w:p w14:paraId="11C35123" w14:textId="077689BA" w:rsidR="00CB1CE0" w:rsidRPr="009A7F4E" w:rsidRDefault="00CB1CE0" w:rsidP="00CB1CE0">
            <w:pPr>
              <w:rPr>
                <w:color w:val="000000" w:themeColor="text1"/>
              </w:rPr>
            </w:pPr>
            <w:r w:rsidRPr="009A7F4E">
              <w:rPr>
                <w:color w:val="000000" w:themeColor="text1"/>
              </w:rPr>
              <w:t xml:space="preserve">Disutility for NIVO+IPI Toxicity </w:t>
            </w:r>
            <w:r w:rsidRPr="009A7F4E">
              <w:rPr>
                <w:color w:val="000000" w:themeColor="text1"/>
                <w:vertAlign w:val="superscript"/>
              </w:rPr>
              <w:t>c</w:t>
            </w:r>
          </w:p>
        </w:tc>
        <w:tc>
          <w:tcPr>
            <w:tcW w:w="2580" w:type="dxa"/>
            <w:tcBorders>
              <w:right w:val="single" w:sz="4" w:space="0" w:color="auto"/>
            </w:tcBorders>
            <w:vAlign w:val="center"/>
            <w:hideMark/>
          </w:tcPr>
          <w:p w14:paraId="0D0C5B5F" w14:textId="1544B0FE" w:rsidR="00CB1CE0" w:rsidRPr="009A7F4E" w:rsidRDefault="00CB1CE0" w:rsidP="00807EB8">
            <w:pPr>
              <w:jc w:val="center"/>
              <w:rPr>
                <w:color w:val="000000" w:themeColor="text1"/>
              </w:rPr>
            </w:pPr>
            <w:r w:rsidRPr="009A7F4E">
              <w:rPr>
                <w:color w:val="000000" w:themeColor="text1"/>
              </w:rPr>
              <w:t>0.012</w:t>
            </w:r>
          </w:p>
        </w:tc>
        <w:tc>
          <w:tcPr>
            <w:tcW w:w="1500" w:type="dxa"/>
            <w:tcBorders>
              <w:right w:val="single" w:sz="4" w:space="0" w:color="auto"/>
            </w:tcBorders>
            <w:vAlign w:val="center"/>
            <w:hideMark/>
          </w:tcPr>
          <w:p w14:paraId="2E1A1312" w14:textId="3D428BBE" w:rsidR="00CB1CE0" w:rsidRPr="009A7F4E" w:rsidRDefault="00CB1CE0" w:rsidP="00807EB8">
            <w:pPr>
              <w:jc w:val="center"/>
              <w:rPr>
                <w:color w:val="000000" w:themeColor="text1"/>
              </w:rPr>
            </w:pPr>
            <w:r w:rsidRPr="009A7F4E">
              <w:rPr>
                <w:color w:val="000000" w:themeColor="text1"/>
              </w:rPr>
              <w:t>Beta</w:t>
            </w:r>
          </w:p>
        </w:tc>
        <w:tc>
          <w:tcPr>
            <w:tcW w:w="2020" w:type="dxa"/>
            <w:vAlign w:val="center"/>
            <w:hideMark/>
          </w:tcPr>
          <w:p w14:paraId="395A5EEC" w14:textId="0B0B72A2" w:rsidR="00CB1CE0" w:rsidRPr="009A7F4E" w:rsidRDefault="00CB1CE0" w:rsidP="00807EB8">
            <w:pPr>
              <w:jc w:val="center"/>
              <w:rPr>
                <w:color w:val="000000" w:themeColor="text1"/>
              </w:rPr>
            </w:pPr>
          </w:p>
        </w:tc>
      </w:tr>
      <w:tr w:rsidR="009A7F4E" w:rsidRPr="009A7F4E" w14:paraId="3FAB32A0" w14:textId="77777777" w:rsidTr="00807EB8">
        <w:trPr>
          <w:tblCellSpacing w:w="15" w:type="dxa"/>
          <w:jc w:val="center"/>
        </w:trPr>
        <w:tc>
          <w:tcPr>
            <w:tcW w:w="3100" w:type="dxa"/>
            <w:tcBorders>
              <w:right w:val="single" w:sz="4" w:space="0" w:color="auto"/>
            </w:tcBorders>
            <w:vAlign w:val="center"/>
            <w:hideMark/>
          </w:tcPr>
          <w:p w14:paraId="064FD4E3" w14:textId="312D4616" w:rsidR="00CB1CE0" w:rsidRPr="009A7F4E" w:rsidRDefault="00CB1CE0" w:rsidP="00CB1CE0">
            <w:pPr>
              <w:rPr>
                <w:color w:val="000000" w:themeColor="text1"/>
              </w:rPr>
            </w:pPr>
            <w:r w:rsidRPr="009A7F4E">
              <w:rPr>
                <w:color w:val="000000" w:themeColor="text1"/>
              </w:rPr>
              <w:t xml:space="preserve">Disutility for NIVO Toxicity </w:t>
            </w:r>
            <w:r w:rsidRPr="009A7F4E">
              <w:rPr>
                <w:color w:val="000000" w:themeColor="text1"/>
                <w:vertAlign w:val="superscript"/>
              </w:rPr>
              <w:t>c</w:t>
            </w:r>
          </w:p>
        </w:tc>
        <w:tc>
          <w:tcPr>
            <w:tcW w:w="2580" w:type="dxa"/>
            <w:tcBorders>
              <w:right w:val="single" w:sz="4" w:space="0" w:color="auto"/>
            </w:tcBorders>
            <w:vAlign w:val="center"/>
            <w:hideMark/>
          </w:tcPr>
          <w:p w14:paraId="3FA6BD24" w14:textId="198B5B00" w:rsidR="00CB1CE0" w:rsidRPr="009A7F4E" w:rsidRDefault="00CB1CE0" w:rsidP="00807EB8">
            <w:pPr>
              <w:jc w:val="center"/>
              <w:rPr>
                <w:color w:val="000000" w:themeColor="text1"/>
              </w:rPr>
            </w:pPr>
            <w:r w:rsidRPr="009A7F4E">
              <w:rPr>
                <w:color w:val="000000" w:themeColor="text1"/>
              </w:rPr>
              <w:t>0.0036</w:t>
            </w:r>
          </w:p>
        </w:tc>
        <w:tc>
          <w:tcPr>
            <w:tcW w:w="1500" w:type="dxa"/>
            <w:tcBorders>
              <w:right w:val="single" w:sz="4" w:space="0" w:color="auto"/>
            </w:tcBorders>
            <w:vAlign w:val="center"/>
            <w:hideMark/>
          </w:tcPr>
          <w:p w14:paraId="7AB2DC26" w14:textId="299974F5" w:rsidR="00CB1CE0" w:rsidRPr="009A7F4E" w:rsidRDefault="00CB1CE0" w:rsidP="00807EB8">
            <w:pPr>
              <w:jc w:val="center"/>
              <w:rPr>
                <w:color w:val="000000" w:themeColor="text1"/>
              </w:rPr>
            </w:pPr>
            <w:r w:rsidRPr="009A7F4E">
              <w:rPr>
                <w:color w:val="000000" w:themeColor="text1"/>
              </w:rPr>
              <w:t>Beta</w:t>
            </w:r>
          </w:p>
        </w:tc>
        <w:tc>
          <w:tcPr>
            <w:tcW w:w="2020" w:type="dxa"/>
            <w:vAlign w:val="center"/>
            <w:hideMark/>
          </w:tcPr>
          <w:p w14:paraId="3AB4A859" w14:textId="12425180" w:rsidR="00CB1CE0" w:rsidRPr="009A7F4E" w:rsidRDefault="00CB1CE0" w:rsidP="00807EB8">
            <w:pPr>
              <w:jc w:val="center"/>
              <w:rPr>
                <w:color w:val="000000" w:themeColor="text1"/>
              </w:rPr>
            </w:pPr>
          </w:p>
        </w:tc>
      </w:tr>
      <w:tr w:rsidR="009A7F4E" w:rsidRPr="009A7F4E" w14:paraId="7877EEA9" w14:textId="77777777" w:rsidTr="00807EB8">
        <w:trPr>
          <w:tblCellSpacing w:w="15" w:type="dxa"/>
          <w:jc w:val="center"/>
        </w:trPr>
        <w:tc>
          <w:tcPr>
            <w:tcW w:w="3100" w:type="dxa"/>
            <w:tcBorders>
              <w:right w:val="single" w:sz="4" w:space="0" w:color="auto"/>
            </w:tcBorders>
            <w:vAlign w:val="center"/>
            <w:hideMark/>
          </w:tcPr>
          <w:p w14:paraId="25C20B3A" w14:textId="77777777" w:rsidR="0039204A" w:rsidRPr="009A7F4E" w:rsidRDefault="0039204A" w:rsidP="0039204A">
            <w:pPr>
              <w:rPr>
                <w:color w:val="000000" w:themeColor="text1"/>
              </w:rPr>
            </w:pPr>
            <w:r w:rsidRPr="009A7F4E">
              <w:rPr>
                <w:b/>
                <w:bCs/>
                <w:color w:val="000000" w:themeColor="text1"/>
              </w:rPr>
              <w:t>Disease Costs per Cycle</w:t>
            </w:r>
          </w:p>
        </w:tc>
        <w:tc>
          <w:tcPr>
            <w:tcW w:w="2580" w:type="dxa"/>
            <w:tcBorders>
              <w:right w:val="single" w:sz="4" w:space="0" w:color="auto"/>
            </w:tcBorders>
            <w:vAlign w:val="center"/>
            <w:hideMark/>
          </w:tcPr>
          <w:p w14:paraId="20358784" w14:textId="77777777" w:rsidR="0039204A" w:rsidRPr="009A7F4E" w:rsidRDefault="0039204A" w:rsidP="00807EB8">
            <w:pPr>
              <w:jc w:val="center"/>
              <w:rPr>
                <w:color w:val="000000" w:themeColor="text1"/>
              </w:rPr>
            </w:pPr>
          </w:p>
        </w:tc>
        <w:tc>
          <w:tcPr>
            <w:tcW w:w="1500" w:type="dxa"/>
            <w:tcBorders>
              <w:right w:val="single" w:sz="4" w:space="0" w:color="auto"/>
            </w:tcBorders>
            <w:vAlign w:val="center"/>
            <w:hideMark/>
          </w:tcPr>
          <w:p w14:paraId="409C8575" w14:textId="77777777" w:rsidR="0039204A" w:rsidRPr="009A7F4E" w:rsidRDefault="0039204A" w:rsidP="00807EB8">
            <w:pPr>
              <w:jc w:val="center"/>
              <w:rPr>
                <w:color w:val="000000" w:themeColor="text1"/>
              </w:rPr>
            </w:pPr>
          </w:p>
        </w:tc>
        <w:tc>
          <w:tcPr>
            <w:tcW w:w="2020" w:type="dxa"/>
            <w:vAlign w:val="center"/>
            <w:hideMark/>
          </w:tcPr>
          <w:p w14:paraId="4FB89D50" w14:textId="77777777" w:rsidR="0039204A" w:rsidRPr="009A7F4E" w:rsidRDefault="0039204A" w:rsidP="00807EB8">
            <w:pPr>
              <w:jc w:val="center"/>
              <w:rPr>
                <w:color w:val="000000" w:themeColor="text1"/>
              </w:rPr>
            </w:pPr>
          </w:p>
        </w:tc>
      </w:tr>
      <w:tr w:rsidR="009A7F4E" w:rsidRPr="009A7F4E" w14:paraId="7CC3AEA1" w14:textId="77777777" w:rsidTr="00807EB8">
        <w:trPr>
          <w:tblCellSpacing w:w="15" w:type="dxa"/>
          <w:jc w:val="center"/>
        </w:trPr>
        <w:tc>
          <w:tcPr>
            <w:tcW w:w="3100" w:type="dxa"/>
            <w:tcBorders>
              <w:right w:val="single" w:sz="4" w:space="0" w:color="auto"/>
            </w:tcBorders>
            <w:vAlign w:val="center"/>
            <w:hideMark/>
          </w:tcPr>
          <w:p w14:paraId="2C0BB91D" w14:textId="77777777" w:rsidR="0039204A" w:rsidRPr="009A7F4E" w:rsidRDefault="0039204A" w:rsidP="0039204A">
            <w:pPr>
              <w:rPr>
                <w:color w:val="000000" w:themeColor="text1"/>
              </w:rPr>
            </w:pPr>
            <w:r w:rsidRPr="009A7F4E">
              <w:rPr>
                <w:color w:val="000000" w:themeColor="text1"/>
              </w:rPr>
              <w:t>Stable Disease</w:t>
            </w:r>
          </w:p>
        </w:tc>
        <w:tc>
          <w:tcPr>
            <w:tcW w:w="2580" w:type="dxa"/>
            <w:tcBorders>
              <w:right w:val="single" w:sz="4" w:space="0" w:color="auto"/>
            </w:tcBorders>
            <w:vAlign w:val="center"/>
            <w:hideMark/>
          </w:tcPr>
          <w:p w14:paraId="58C960C8" w14:textId="77777777" w:rsidR="0039204A" w:rsidRPr="009A7F4E" w:rsidRDefault="0039204A" w:rsidP="00807EB8">
            <w:pPr>
              <w:jc w:val="center"/>
              <w:rPr>
                <w:color w:val="000000" w:themeColor="text1"/>
              </w:rPr>
            </w:pPr>
            <w:r w:rsidRPr="009A7F4E">
              <w:rPr>
                <w:color w:val="000000" w:themeColor="text1"/>
              </w:rPr>
              <w:t>$2,166 ($1,397–$3,098)</w:t>
            </w:r>
          </w:p>
        </w:tc>
        <w:tc>
          <w:tcPr>
            <w:tcW w:w="1500" w:type="dxa"/>
            <w:tcBorders>
              <w:right w:val="single" w:sz="4" w:space="0" w:color="auto"/>
            </w:tcBorders>
            <w:vAlign w:val="center"/>
            <w:hideMark/>
          </w:tcPr>
          <w:p w14:paraId="4092AAEE" w14:textId="77777777" w:rsidR="0039204A" w:rsidRPr="009A7F4E" w:rsidRDefault="0039204A" w:rsidP="00807EB8">
            <w:pPr>
              <w:jc w:val="center"/>
              <w:rPr>
                <w:color w:val="000000" w:themeColor="text1"/>
              </w:rPr>
            </w:pPr>
            <w:r w:rsidRPr="009A7F4E">
              <w:rPr>
                <w:color w:val="000000" w:themeColor="text1"/>
              </w:rPr>
              <w:t>Gamma</w:t>
            </w:r>
          </w:p>
        </w:tc>
        <w:tc>
          <w:tcPr>
            <w:tcW w:w="2020" w:type="dxa"/>
            <w:vAlign w:val="center"/>
            <w:hideMark/>
          </w:tcPr>
          <w:p w14:paraId="55B430DF" w14:textId="77777777" w:rsidR="0039204A" w:rsidRPr="009A7F4E" w:rsidRDefault="0039204A" w:rsidP="00807EB8">
            <w:pPr>
              <w:jc w:val="center"/>
              <w:rPr>
                <w:color w:val="000000" w:themeColor="text1"/>
              </w:rPr>
            </w:pPr>
            <w:r w:rsidRPr="009A7F4E">
              <w:rPr>
                <w:color w:val="000000" w:themeColor="text1"/>
              </w:rPr>
              <w:t>Insinga et al., 2019</w:t>
            </w:r>
          </w:p>
        </w:tc>
      </w:tr>
      <w:tr w:rsidR="009A7F4E" w:rsidRPr="009A7F4E" w14:paraId="55F183AF" w14:textId="77777777" w:rsidTr="00807EB8">
        <w:trPr>
          <w:tblCellSpacing w:w="15" w:type="dxa"/>
          <w:jc w:val="center"/>
        </w:trPr>
        <w:tc>
          <w:tcPr>
            <w:tcW w:w="3100" w:type="dxa"/>
            <w:tcBorders>
              <w:right w:val="single" w:sz="4" w:space="0" w:color="auto"/>
            </w:tcBorders>
            <w:vAlign w:val="center"/>
            <w:hideMark/>
          </w:tcPr>
          <w:p w14:paraId="7A0F4B99" w14:textId="77777777" w:rsidR="0039204A" w:rsidRPr="009A7F4E" w:rsidRDefault="0039204A" w:rsidP="0039204A">
            <w:pPr>
              <w:rPr>
                <w:color w:val="000000" w:themeColor="text1"/>
              </w:rPr>
            </w:pPr>
            <w:r w:rsidRPr="009A7F4E">
              <w:rPr>
                <w:color w:val="000000" w:themeColor="text1"/>
              </w:rPr>
              <w:t>Progressed Disease</w:t>
            </w:r>
          </w:p>
        </w:tc>
        <w:tc>
          <w:tcPr>
            <w:tcW w:w="2580" w:type="dxa"/>
            <w:tcBorders>
              <w:right w:val="single" w:sz="4" w:space="0" w:color="auto"/>
            </w:tcBorders>
            <w:vAlign w:val="center"/>
            <w:hideMark/>
          </w:tcPr>
          <w:p w14:paraId="37D42930" w14:textId="77777777" w:rsidR="0039204A" w:rsidRPr="009A7F4E" w:rsidRDefault="0039204A" w:rsidP="00807EB8">
            <w:pPr>
              <w:jc w:val="center"/>
              <w:rPr>
                <w:color w:val="000000" w:themeColor="text1"/>
              </w:rPr>
            </w:pPr>
            <w:r w:rsidRPr="009A7F4E">
              <w:rPr>
                <w:color w:val="000000" w:themeColor="text1"/>
              </w:rPr>
              <w:t>$4,000 ($2,575–$5,712)</w:t>
            </w:r>
          </w:p>
        </w:tc>
        <w:tc>
          <w:tcPr>
            <w:tcW w:w="1500" w:type="dxa"/>
            <w:tcBorders>
              <w:right w:val="single" w:sz="4" w:space="0" w:color="auto"/>
            </w:tcBorders>
            <w:vAlign w:val="center"/>
            <w:hideMark/>
          </w:tcPr>
          <w:p w14:paraId="613CF2F9" w14:textId="77777777" w:rsidR="0039204A" w:rsidRPr="009A7F4E" w:rsidRDefault="0039204A" w:rsidP="00807EB8">
            <w:pPr>
              <w:jc w:val="center"/>
              <w:rPr>
                <w:color w:val="000000" w:themeColor="text1"/>
              </w:rPr>
            </w:pPr>
            <w:r w:rsidRPr="009A7F4E">
              <w:rPr>
                <w:color w:val="000000" w:themeColor="text1"/>
              </w:rPr>
              <w:t>Gamma</w:t>
            </w:r>
          </w:p>
        </w:tc>
        <w:tc>
          <w:tcPr>
            <w:tcW w:w="2020" w:type="dxa"/>
            <w:vAlign w:val="center"/>
            <w:hideMark/>
          </w:tcPr>
          <w:p w14:paraId="7A4220CE" w14:textId="77777777" w:rsidR="0039204A" w:rsidRPr="009A7F4E" w:rsidRDefault="0039204A" w:rsidP="00807EB8">
            <w:pPr>
              <w:jc w:val="center"/>
              <w:rPr>
                <w:color w:val="000000" w:themeColor="text1"/>
              </w:rPr>
            </w:pPr>
            <w:r w:rsidRPr="009A7F4E">
              <w:rPr>
                <w:color w:val="000000" w:themeColor="text1"/>
              </w:rPr>
              <w:t>Insinga et al., 2019</w:t>
            </w:r>
          </w:p>
        </w:tc>
      </w:tr>
      <w:tr w:rsidR="009A7F4E" w:rsidRPr="009A7F4E" w14:paraId="396AF4D5" w14:textId="77777777" w:rsidTr="00807EB8">
        <w:trPr>
          <w:tblCellSpacing w:w="15" w:type="dxa"/>
          <w:jc w:val="center"/>
        </w:trPr>
        <w:tc>
          <w:tcPr>
            <w:tcW w:w="3100" w:type="dxa"/>
            <w:tcBorders>
              <w:right w:val="single" w:sz="4" w:space="0" w:color="auto"/>
            </w:tcBorders>
            <w:vAlign w:val="center"/>
            <w:hideMark/>
          </w:tcPr>
          <w:p w14:paraId="2D55AC5D" w14:textId="77777777" w:rsidR="0039204A" w:rsidRPr="009A7F4E" w:rsidRDefault="0039204A" w:rsidP="0039204A">
            <w:pPr>
              <w:rPr>
                <w:color w:val="000000" w:themeColor="text1"/>
              </w:rPr>
            </w:pPr>
            <w:r w:rsidRPr="009A7F4E">
              <w:rPr>
                <w:color w:val="000000" w:themeColor="text1"/>
              </w:rPr>
              <w:t>Palliative Care &amp; Death (1-time cost)</w:t>
            </w:r>
          </w:p>
        </w:tc>
        <w:tc>
          <w:tcPr>
            <w:tcW w:w="2580" w:type="dxa"/>
            <w:tcBorders>
              <w:right w:val="single" w:sz="4" w:space="0" w:color="auto"/>
            </w:tcBorders>
            <w:vAlign w:val="center"/>
            <w:hideMark/>
          </w:tcPr>
          <w:p w14:paraId="4AC232D1" w14:textId="77777777" w:rsidR="0039204A" w:rsidRPr="009A7F4E" w:rsidRDefault="0039204A" w:rsidP="00807EB8">
            <w:pPr>
              <w:jc w:val="center"/>
              <w:rPr>
                <w:color w:val="000000" w:themeColor="text1"/>
              </w:rPr>
            </w:pPr>
            <w:r w:rsidRPr="009A7F4E">
              <w:rPr>
                <w:color w:val="000000" w:themeColor="text1"/>
              </w:rPr>
              <w:t>$15,957 ($10,335–$22,818)</w:t>
            </w:r>
          </w:p>
        </w:tc>
        <w:tc>
          <w:tcPr>
            <w:tcW w:w="1500" w:type="dxa"/>
            <w:tcBorders>
              <w:right w:val="single" w:sz="4" w:space="0" w:color="auto"/>
            </w:tcBorders>
            <w:vAlign w:val="center"/>
            <w:hideMark/>
          </w:tcPr>
          <w:p w14:paraId="17245D43" w14:textId="77777777" w:rsidR="0039204A" w:rsidRPr="009A7F4E" w:rsidRDefault="0039204A" w:rsidP="00807EB8">
            <w:pPr>
              <w:jc w:val="center"/>
              <w:rPr>
                <w:color w:val="000000" w:themeColor="text1"/>
              </w:rPr>
            </w:pPr>
            <w:r w:rsidRPr="009A7F4E">
              <w:rPr>
                <w:color w:val="000000" w:themeColor="text1"/>
              </w:rPr>
              <w:t>Gamma</w:t>
            </w:r>
          </w:p>
        </w:tc>
        <w:tc>
          <w:tcPr>
            <w:tcW w:w="2020" w:type="dxa"/>
            <w:vAlign w:val="center"/>
            <w:hideMark/>
          </w:tcPr>
          <w:p w14:paraId="691A84F1" w14:textId="77777777" w:rsidR="0039204A" w:rsidRPr="009A7F4E" w:rsidRDefault="0039204A" w:rsidP="00807EB8">
            <w:pPr>
              <w:jc w:val="center"/>
              <w:rPr>
                <w:color w:val="000000" w:themeColor="text1"/>
              </w:rPr>
            </w:pPr>
            <w:r w:rsidRPr="009A7F4E">
              <w:rPr>
                <w:color w:val="000000" w:themeColor="text1"/>
              </w:rPr>
              <w:t>Insinga et al., 2019</w:t>
            </w:r>
          </w:p>
        </w:tc>
      </w:tr>
      <w:tr w:rsidR="009A7F4E" w:rsidRPr="009A7F4E" w14:paraId="789A67FE" w14:textId="77777777" w:rsidTr="00807EB8">
        <w:trPr>
          <w:tblCellSpacing w:w="15" w:type="dxa"/>
          <w:jc w:val="center"/>
        </w:trPr>
        <w:tc>
          <w:tcPr>
            <w:tcW w:w="3100" w:type="dxa"/>
            <w:tcBorders>
              <w:right w:val="single" w:sz="4" w:space="0" w:color="auto"/>
            </w:tcBorders>
            <w:vAlign w:val="center"/>
            <w:hideMark/>
          </w:tcPr>
          <w:p w14:paraId="0D4F03DA" w14:textId="77777777" w:rsidR="0039204A" w:rsidRPr="009A7F4E" w:rsidRDefault="0039204A" w:rsidP="0039204A">
            <w:pPr>
              <w:rPr>
                <w:color w:val="000000" w:themeColor="text1"/>
              </w:rPr>
            </w:pPr>
            <w:r w:rsidRPr="009A7F4E">
              <w:rPr>
                <w:b/>
                <w:bCs/>
                <w:color w:val="000000" w:themeColor="text1"/>
              </w:rPr>
              <w:t>Health Utilities</w:t>
            </w:r>
          </w:p>
        </w:tc>
        <w:tc>
          <w:tcPr>
            <w:tcW w:w="2580" w:type="dxa"/>
            <w:tcBorders>
              <w:right w:val="single" w:sz="4" w:space="0" w:color="auto"/>
            </w:tcBorders>
            <w:vAlign w:val="center"/>
            <w:hideMark/>
          </w:tcPr>
          <w:p w14:paraId="2B538183" w14:textId="77777777" w:rsidR="0039204A" w:rsidRPr="009A7F4E" w:rsidRDefault="0039204A" w:rsidP="00807EB8">
            <w:pPr>
              <w:jc w:val="center"/>
              <w:rPr>
                <w:color w:val="000000" w:themeColor="text1"/>
              </w:rPr>
            </w:pPr>
          </w:p>
        </w:tc>
        <w:tc>
          <w:tcPr>
            <w:tcW w:w="1500" w:type="dxa"/>
            <w:tcBorders>
              <w:right w:val="single" w:sz="4" w:space="0" w:color="auto"/>
            </w:tcBorders>
            <w:vAlign w:val="center"/>
            <w:hideMark/>
          </w:tcPr>
          <w:p w14:paraId="3D9C44B9" w14:textId="77777777" w:rsidR="0039204A" w:rsidRPr="009A7F4E" w:rsidRDefault="0039204A" w:rsidP="00807EB8">
            <w:pPr>
              <w:jc w:val="center"/>
              <w:rPr>
                <w:color w:val="000000" w:themeColor="text1"/>
              </w:rPr>
            </w:pPr>
          </w:p>
        </w:tc>
        <w:tc>
          <w:tcPr>
            <w:tcW w:w="2020" w:type="dxa"/>
            <w:vAlign w:val="center"/>
            <w:hideMark/>
          </w:tcPr>
          <w:p w14:paraId="2F0547A6" w14:textId="77777777" w:rsidR="0039204A" w:rsidRPr="009A7F4E" w:rsidRDefault="0039204A" w:rsidP="00807EB8">
            <w:pPr>
              <w:jc w:val="center"/>
              <w:rPr>
                <w:color w:val="000000" w:themeColor="text1"/>
              </w:rPr>
            </w:pPr>
          </w:p>
        </w:tc>
      </w:tr>
      <w:tr w:rsidR="009A7F4E" w:rsidRPr="009A7F4E" w14:paraId="623F09DB" w14:textId="77777777" w:rsidTr="00807EB8">
        <w:trPr>
          <w:tblCellSpacing w:w="15" w:type="dxa"/>
          <w:jc w:val="center"/>
        </w:trPr>
        <w:tc>
          <w:tcPr>
            <w:tcW w:w="3100" w:type="dxa"/>
            <w:tcBorders>
              <w:right w:val="single" w:sz="4" w:space="0" w:color="auto"/>
            </w:tcBorders>
            <w:vAlign w:val="center"/>
            <w:hideMark/>
          </w:tcPr>
          <w:p w14:paraId="5694806C" w14:textId="77777777" w:rsidR="0039204A" w:rsidRPr="009A7F4E" w:rsidRDefault="0039204A" w:rsidP="0039204A">
            <w:pPr>
              <w:rPr>
                <w:color w:val="000000" w:themeColor="text1"/>
              </w:rPr>
            </w:pPr>
            <w:r w:rsidRPr="009A7F4E">
              <w:rPr>
                <w:color w:val="000000" w:themeColor="text1"/>
              </w:rPr>
              <w:t>Stable Disease Utility (per year)</w:t>
            </w:r>
          </w:p>
        </w:tc>
        <w:tc>
          <w:tcPr>
            <w:tcW w:w="2580" w:type="dxa"/>
            <w:tcBorders>
              <w:right w:val="single" w:sz="4" w:space="0" w:color="auto"/>
            </w:tcBorders>
            <w:vAlign w:val="center"/>
            <w:hideMark/>
          </w:tcPr>
          <w:p w14:paraId="1A0F8089" w14:textId="77777777" w:rsidR="0039204A" w:rsidRPr="009A7F4E" w:rsidRDefault="0039204A" w:rsidP="00807EB8">
            <w:pPr>
              <w:jc w:val="center"/>
              <w:rPr>
                <w:color w:val="000000" w:themeColor="text1"/>
              </w:rPr>
            </w:pPr>
            <w:r w:rsidRPr="009A7F4E">
              <w:rPr>
                <w:color w:val="000000" w:themeColor="text1"/>
              </w:rPr>
              <w:t>0.754 (0.407–0.970)</w:t>
            </w:r>
          </w:p>
        </w:tc>
        <w:tc>
          <w:tcPr>
            <w:tcW w:w="1500" w:type="dxa"/>
            <w:tcBorders>
              <w:right w:val="single" w:sz="4" w:space="0" w:color="auto"/>
            </w:tcBorders>
            <w:vAlign w:val="center"/>
            <w:hideMark/>
          </w:tcPr>
          <w:p w14:paraId="5FC2BE51" w14:textId="77777777" w:rsidR="0039204A" w:rsidRPr="009A7F4E" w:rsidRDefault="0039204A" w:rsidP="00807EB8">
            <w:pPr>
              <w:jc w:val="center"/>
              <w:rPr>
                <w:color w:val="000000" w:themeColor="text1"/>
              </w:rPr>
            </w:pPr>
            <w:r w:rsidRPr="009A7F4E">
              <w:rPr>
                <w:color w:val="000000" w:themeColor="text1"/>
              </w:rPr>
              <w:t>Beta</w:t>
            </w:r>
          </w:p>
        </w:tc>
        <w:tc>
          <w:tcPr>
            <w:tcW w:w="2020" w:type="dxa"/>
            <w:vAlign w:val="center"/>
            <w:hideMark/>
          </w:tcPr>
          <w:p w14:paraId="4D0C0C41" w14:textId="77777777" w:rsidR="0039204A" w:rsidRPr="009A7F4E" w:rsidRDefault="0039204A" w:rsidP="00807EB8">
            <w:pPr>
              <w:jc w:val="center"/>
              <w:rPr>
                <w:color w:val="000000" w:themeColor="text1"/>
              </w:rPr>
            </w:pPr>
            <w:r w:rsidRPr="009A7F4E">
              <w:rPr>
                <w:color w:val="000000" w:themeColor="text1"/>
              </w:rPr>
              <w:t>Nafees et al., 2017</w:t>
            </w:r>
          </w:p>
        </w:tc>
      </w:tr>
      <w:tr w:rsidR="009A7F4E" w:rsidRPr="009A7F4E" w14:paraId="08B4AC6D" w14:textId="77777777" w:rsidTr="00807EB8">
        <w:trPr>
          <w:tblCellSpacing w:w="15" w:type="dxa"/>
          <w:jc w:val="center"/>
        </w:trPr>
        <w:tc>
          <w:tcPr>
            <w:tcW w:w="3100" w:type="dxa"/>
            <w:tcBorders>
              <w:right w:val="single" w:sz="4" w:space="0" w:color="auto"/>
            </w:tcBorders>
            <w:vAlign w:val="center"/>
            <w:hideMark/>
          </w:tcPr>
          <w:p w14:paraId="2769F425" w14:textId="77777777" w:rsidR="0039204A" w:rsidRPr="009A7F4E" w:rsidRDefault="0039204A" w:rsidP="0039204A">
            <w:pPr>
              <w:rPr>
                <w:color w:val="000000" w:themeColor="text1"/>
              </w:rPr>
            </w:pPr>
            <w:r w:rsidRPr="009A7F4E">
              <w:rPr>
                <w:color w:val="000000" w:themeColor="text1"/>
              </w:rPr>
              <w:t>Disease Progression (Decrement)</w:t>
            </w:r>
          </w:p>
        </w:tc>
        <w:tc>
          <w:tcPr>
            <w:tcW w:w="2580" w:type="dxa"/>
            <w:tcBorders>
              <w:right w:val="single" w:sz="4" w:space="0" w:color="auto"/>
            </w:tcBorders>
            <w:vAlign w:val="center"/>
            <w:hideMark/>
          </w:tcPr>
          <w:p w14:paraId="26C80443" w14:textId="77777777" w:rsidR="0039204A" w:rsidRPr="009A7F4E" w:rsidRDefault="0039204A" w:rsidP="00807EB8">
            <w:pPr>
              <w:jc w:val="center"/>
              <w:rPr>
                <w:color w:val="000000" w:themeColor="text1"/>
              </w:rPr>
            </w:pPr>
            <w:r w:rsidRPr="009A7F4E">
              <w:rPr>
                <w:color w:val="000000" w:themeColor="text1"/>
              </w:rPr>
              <w:t>0.180 (0.115–0.367)</w:t>
            </w:r>
          </w:p>
        </w:tc>
        <w:tc>
          <w:tcPr>
            <w:tcW w:w="1500" w:type="dxa"/>
            <w:tcBorders>
              <w:right w:val="single" w:sz="4" w:space="0" w:color="auto"/>
            </w:tcBorders>
            <w:vAlign w:val="center"/>
            <w:hideMark/>
          </w:tcPr>
          <w:p w14:paraId="6258497E" w14:textId="77777777" w:rsidR="0039204A" w:rsidRPr="009A7F4E" w:rsidRDefault="0039204A" w:rsidP="00807EB8">
            <w:pPr>
              <w:jc w:val="center"/>
              <w:rPr>
                <w:color w:val="000000" w:themeColor="text1"/>
              </w:rPr>
            </w:pPr>
            <w:r w:rsidRPr="009A7F4E">
              <w:rPr>
                <w:color w:val="000000" w:themeColor="text1"/>
              </w:rPr>
              <w:t>Beta</w:t>
            </w:r>
          </w:p>
        </w:tc>
        <w:tc>
          <w:tcPr>
            <w:tcW w:w="2020" w:type="dxa"/>
            <w:vAlign w:val="center"/>
            <w:hideMark/>
          </w:tcPr>
          <w:p w14:paraId="700847BA" w14:textId="77777777" w:rsidR="0039204A" w:rsidRPr="009A7F4E" w:rsidRDefault="0039204A" w:rsidP="00807EB8">
            <w:pPr>
              <w:jc w:val="center"/>
              <w:rPr>
                <w:color w:val="000000" w:themeColor="text1"/>
              </w:rPr>
            </w:pPr>
            <w:r w:rsidRPr="009A7F4E">
              <w:rPr>
                <w:color w:val="000000" w:themeColor="text1"/>
              </w:rPr>
              <w:t>Nafees et al., 2008</w:t>
            </w:r>
          </w:p>
        </w:tc>
      </w:tr>
      <w:tr w:rsidR="009A7F4E" w:rsidRPr="009A7F4E" w14:paraId="1C43A5E4" w14:textId="77777777" w:rsidTr="00807EB8">
        <w:trPr>
          <w:tblCellSpacing w:w="15" w:type="dxa"/>
          <w:jc w:val="center"/>
        </w:trPr>
        <w:tc>
          <w:tcPr>
            <w:tcW w:w="3100" w:type="dxa"/>
            <w:tcBorders>
              <w:right w:val="single" w:sz="4" w:space="0" w:color="auto"/>
            </w:tcBorders>
            <w:vAlign w:val="center"/>
            <w:hideMark/>
          </w:tcPr>
          <w:p w14:paraId="2381A9F5" w14:textId="77777777" w:rsidR="0039204A" w:rsidRPr="009A7F4E" w:rsidRDefault="0039204A" w:rsidP="0039204A">
            <w:pPr>
              <w:rPr>
                <w:color w:val="000000" w:themeColor="text1"/>
              </w:rPr>
            </w:pPr>
            <w:r w:rsidRPr="009A7F4E">
              <w:rPr>
                <w:color w:val="000000" w:themeColor="text1"/>
              </w:rPr>
              <w:t>Death Utility</w:t>
            </w:r>
          </w:p>
        </w:tc>
        <w:tc>
          <w:tcPr>
            <w:tcW w:w="2580" w:type="dxa"/>
            <w:tcBorders>
              <w:right w:val="single" w:sz="4" w:space="0" w:color="auto"/>
            </w:tcBorders>
            <w:vAlign w:val="center"/>
            <w:hideMark/>
          </w:tcPr>
          <w:p w14:paraId="4061D733" w14:textId="77777777" w:rsidR="0039204A" w:rsidRPr="009A7F4E" w:rsidRDefault="0039204A" w:rsidP="00807EB8">
            <w:pPr>
              <w:jc w:val="center"/>
              <w:rPr>
                <w:color w:val="000000" w:themeColor="text1"/>
              </w:rPr>
            </w:pPr>
            <w:r w:rsidRPr="009A7F4E">
              <w:rPr>
                <w:color w:val="000000" w:themeColor="text1"/>
              </w:rPr>
              <w:t>0</w:t>
            </w:r>
          </w:p>
        </w:tc>
        <w:tc>
          <w:tcPr>
            <w:tcW w:w="1500" w:type="dxa"/>
            <w:tcBorders>
              <w:right w:val="single" w:sz="4" w:space="0" w:color="auto"/>
            </w:tcBorders>
            <w:vAlign w:val="center"/>
            <w:hideMark/>
          </w:tcPr>
          <w:p w14:paraId="0489860A" w14:textId="77777777" w:rsidR="0039204A" w:rsidRPr="009A7F4E" w:rsidRDefault="0039204A" w:rsidP="00807EB8">
            <w:pPr>
              <w:jc w:val="center"/>
              <w:rPr>
                <w:color w:val="000000" w:themeColor="text1"/>
              </w:rPr>
            </w:pPr>
            <w:r w:rsidRPr="009A7F4E">
              <w:rPr>
                <w:color w:val="000000" w:themeColor="text1"/>
              </w:rPr>
              <w:t>NA</w:t>
            </w:r>
          </w:p>
        </w:tc>
        <w:tc>
          <w:tcPr>
            <w:tcW w:w="2020" w:type="dxa"/>
            <w:vAlign w:val="center"/>
            <w:hideMark/>
          </w:tcPr>
          <w:p w14:paraId="2AE7DE30" w14:textId="77777777" w:rsidR="0039204A" w:rsidRPr="009A7F4E" w:rsidRDefault="0039204A" w:rsidP="00807EB8">
            <w:pPr>
              <w:jc w:val="center"/>
              <w:rPr>
                <w:color w:val="000000" w:themeColor="text1"/>
              </w:rPr>
            </w:pPr>
            <w:r w:rsidRPr="009A7F4E">
              <w:rPr>
                <w:color w:val="000000" w:themeColor="text1"/>
              </w:rPr>
              <w:t>NA</w:t>
            </w:r>
          </w:p>
        </w:tc>
      </w:tr>
      <w:tr w:rsidR="009A7F4E" w:rsidRPr="009A7F4E" w14:paraId="46C17DF5" w14:textId="77777777" w:rsidTr="00807EB8">
        <w:trPr>
          <w:tblCellSpacing w:w="15" w:type="dxa"/>
          <w:jc w:val="center"/>
        </w:trPr>
        <w:tc>
          <w:tcPr>
            <w:tcW w:w="3100" w:type="dxa"/>
            <w:tcBorders>
              <w:right w:val="single" w:sz="4" w:space="0" w:color="auto"/>
            </w:tcBorders>
            <w:vAlign w:val="center"/>
            <w:hideMark/>
          </w:tcPr>
          <w:p w14:paraId="6A3FD61F" w14:textId="77777777" w:rsidR="0039204A" w:rsidRPr="009A7F4E" w:rsidRDefault="0039204A" w:rsidP="0039204A">
            <w:pPr>
              <w:rPr>
                <w:color w:val="000000" w:themeColor="text1"/>
              </w:rPr>
            </w:pPr>
            <w:r w:rsidRPr="009A7F4E">
              <w:rPr>
                <w:b/>
                <w:bCs/>
                <w:color w:val="000000" w:themeColor="text1"/>
              </w:rPr>
              <w:t>Tarantino Model Accuracies</w:t>
            </w:r>
          </w:p>
        </w:tc>
        <w:tc>
          <w:tcPr>
            <w:tcW w:w="2580" w:type="dxa"/>
            <w:tcBorders>
              <w:right w:val="single" w:sz="4" w:space="0" w:color="auto"/>
            </w:tcBorders>
            <w:vAlign w:val="center"/>
            <w:hideMark/>
          </w:tcPr>
          <w:p w14:paraId="2E06493E" w14:textId="77777777" w:rsidR="0039204A" w:rsidRPr="009A7F4E" w:rsidRDefault="0039204A" w:rsidP="00807EB8">
            <w:pPr>
              <w:jc w:val="center"/>
              <w:rPr>
                <w:color w:val="000000" w:themeColor="text1"/>
              </w:rPr>
            </w:pPr>
          </w:p>
        </w:tc>
        <w:tc>
          <w:tcPr>
            <w:tcW w:w="1500" w:type="dxa"/>
            <w:tcBorders>
              <w:right w:val="single" w:sz="4" w:space="0" w:color="auto"/>
            </w:tcBorders>
            <w:vAlign w:val="center"/>
            <w:hideMark/>
          </w:tcPr>
          <w:p w14:paraId="42348B2B" w14:textId="77777777" w:rsidR="0039204A" w:rsidRPr="009A7F4E" w:rsidRDefault="0039204A" w:rsidP="00807EB8">
            <w:pPr>
              <w:jc w:val="center"/>
              <w:rPr>
                <w:color w:val="000000" w:themeColor="text1"/>
              </w:rPr>
            </w:pPr>
          </w:p>
        </w:tc>
        <w:tc>
          <w:tcPr>
            <w:tcW w:w="2020" w:type="dxa"/>
            <w:vAlign w:val="center"/>
            <w:hideMark/>
          </w:tcPr>
          <w:p w14:paraId="74CBBA93" w14:textId="77777777" w:rsidR="0039204A" w:rsidRPr="009A7F4E" w:rsidRDefault="0039204A" w:rsidP="00807EB8">
            <w:pPr>
              <w:jc w:val="center"/>
              <w:rPr>
                <w:color w:val="000000" w:themeColor="text1"/>
              </w:rPr>
            </w:pPr>
          </w:p>
        </w:tc>
      </w:tr>
      <w:tr w:rsidR="009A7F4E" w:rsidRPr="009A7F4E" w14:paraId="72589B64" w14:textId="77777777" w:rsidTr="00807EB8">
        <w:trPr>
          <w:tblCellSpacing w:w="15" w:type="dxa"/>
          <w:jc w:val="center"/>
        </w:trPr>
        <w:tc>
          <w:tcPr>
            <w:tcW w:w="3100" w:type="dxa"/>
            <w:tcBorders>
              <w:right w:val="single" w:sz="4" w:space="0" w:color="auto"/>
            </w:tcBorders>
            <w:vAlign w:val="center"/>
            <w:hideMark/>
          </w:tcPr>
          <w:p w14:paraId="0809F0B5" w14:textId="77777777" w:rsidR="0039204A" w:rsidRPr="009A7F4E" w:rsidRDefault="0039204A" w:rsidP="0039204A">
            <w:pPr>
              <w:rPr>
                <w:color w:val="000000" w:themeColor="text1"/>
              </w:rPr>
            </w:pPr>
            <w:r w:rsidRPr="009A7F4E">
              <w:rPr>
                <w:color w:val="000000" w:themeColor="text1"/>
              </w:rPr>
              <w:t>Positive Predictive Value (PPV)</w:t>
            </w:r>
          </w:p>
        </w:tc>
        <w:tc>
          <w:tcPr>
            <w:tcW w:w="2580" w:type="dxa"/>
            <w:tcBorders>
              <w:right w:val="single" w:sz="4" w:space="0" w:color="auto"/>
            </w:tcBorders>
            <w:vAlign w:val="center"/>
            <w:hideMark/>
          </w:tcPr>
          <w:p w14:paraId="0063F4EC" w14:textId="77777777" w:rsidR="0039204A" w:rsidRPr="009A7F4E" w:rsidRDefault="0039204A" w:rsidP="00807EB8">
            <w:pPr>
              <w:jc w:val="center"/>
              <w:rPr>
                <w:color w:val="000000" w:themeColor="text1"/>
              </w:rPr>
            </w:pPr>
            <w:r w:rsidRPr="009A7F4E">
              <w:rPr>
                <w:color w:val="000000" w:themeColor="text1"/>
              </w:rPr>
              <w:t>90%</w:t>
            </w:r>
          </w:p>
        </w:tc>
        <w:tc>
          <w:tcPr>
            <w:tcW w:w="1500" w:type="dxa"/>
            <w:tcBorders>
              <w:right w:val="single" w:sz="4" w:space="0" w:color="auto"/>
            </w:tcBorders>
            <w:vAlign w:val="center"/>
            <w:hideMark/>
          </w:tcPr>
          <w:p w14:paraId="15B7B8CF" w14:textId="77777777" w:rsidR="0039204A" w:rsidRPr="009A7F4E" w:rsidRDefault="0039204A" w:rsidP="00807EB8">
            <w:pPr>
              <w:jc w:val="center"/>
              <w:rPr>
                <w:color w:val="000000" w:themeColor="text1"/>
              </w:rPr>
            </w:pPr>
            <w:r w:rsidRPr="009A7F4E">
              <w:rPr>
                <w:color w:val="000000" w:themeColor="text1"/>
              </w:rPr>
              <w:t>Fixed</w:t>
            </w:r>
          </w:p>
        </w:tc>
        <w:tc>
          <w:tcPr>
            <w:tcW w:w="2020" w:type="dxa"/>
            <w:vAlign w:val="center"/>
            <w:hideMark/>
          </w:tcPr>
          <w:p w14:paraId="4439A415" w14:textId="77777777" w:rsidR="0039204A" w:rsidRPr="009A7F4E" w:rsidRDefault="0039204A" w:rsidP="00807EB8">
            <w:pPr>
              <w:jc w:val="center"/>
              <w:rPr>
                <w:color w:val="000000" w:themeColor="text1"/>
              </w:rPr>
            </w:pPr>
            <w:r w:rsidRPr="009A7F4E">
              <w:rPr>
                <w:color w:val="000000" w:themeColor="text1"/>
              </w:rPr>
              <w:t>Tarantino et al.</w:t>
            </w:r>
          </w:p>
        </w:tc>
      </w:tr>
      <w:tr w:rsidR="009A7F4E" w:rsidRPr="009A7F4E" w14:paraId="666B447F" w14:textId="77777777" w:rsidTr="00807EB8">
        <w:trPr>
          <w:tblCellSpacing w:w="15" w:type="dxa"/>
          <w:jc w:val="center"/>
        </w:trPr>
        <w:tc>
          <w:tcPr>
            <w:tcW w:w="3100" w:type="dxa"/>
            <w:tcBorders>
              <w:right w:val="single" w:sz="4" w:space="0" w:color="auto"/>
            </w:tcBorders>
            <w:vAlign w:val="center"/>
            <w:hideMark/>
          </w:tcPr>
          <w:p w14:paraId="4C4E2E9C" w14:textId="77777777" w:rsidR="0039204A" w:rsidRPr="009A7F4E" w:rsidRDefault="0039204A" w:rsidP="0039204A">
            <w:pPr>
              <w:rPr>
                <w:color w:val="000000" w:themeColor="text1"/>
              </w:rPr>
            </w:pPr>
            <w:r w:rsidRPr="009A7F4E">
              <w:rPr>
                <w:color w:val="000000" w:themeColor="text1"/>
              </w:rPr>
              <w:t>Specificity</w:t>
            </w:r>
          </w:p>
        </w:tc>
        <w:tc>
          <w:tcPr>
            <w:tcW w:w="2580" w:type="dxa"/>
            <w:tcBorders>
              <w:right w:val="single" w:sz="4" w:space="0" w:color="auto"/>
            </w:tcBorders>
            <w:vAlign w:val="center"/>
            <w:hideMark/>
          </w:tcPr>
          <w:p w14:paraId="6E5EE412" w14:textId="77777777" w:rsidR="0039204A" w:rsidRPr="009A7F4E" w:rsidRDefault="0039204A" w:rsidP="00807EB8">
            <w:pPr>
              <w:jc w:val="center"/>
              <w:rPr>
                <w:color w:val="000000" w:themeColor="text1"/>
              </w:rPr>
            </w:pPr>
            <w:r w:rsidRPr="009A7F4E">
              <w:rPr>
                <w:color w:val="000000" w:themeColor="text1"/>
              </w:rPr>
              <w:t>97%</w:t>
            </w:r>
          </w:p>
        </w:tc>
        <w:tc>
          <w:tcPr>
            <w:tcW w:w="1500" w:type="dxa"/>
            <w:tcBorders>
              <w:right w:val="single" w:sz="4" w:space="0" w:color="auto"/>
            </w:tcBorders>
            <w:vAlign w:val="center"/>
            <w:hideMark/>
          </w:tcPr>
          <w:p w14:paraId="496078BB" w14:textId="77777777" w:rsidR="0039204A" w:rsidRPr="009A7F4E" w:rsidRDefault="0039204A" w:rsidP="00807EB8">
            <w:pPr>
              <w:jc w:val="center"/>
              <w:rPr>
                <w:color w:val="000000" w:themeColor="text1"/>
              </w:rPr>
            </w:pPr>
            <w:r w:rsidRPr="009A7F4E">
              <w:rPr>
                <w:color w:val="000000" w:themeColor="text1"/>
              </w:rPr>
              <w:t>Fixed</w:t>
            </w:r>
          </w:p>
        </w:tc>
        <w:tc>
          <w:tcPr>
            <w:tcW w:w="2020" w:type="dxa"/>
            <w:vAlign w:val="center"/>
            <w:hideMark/>
          </w:tcPr>
          <w:p w14:paraId="150470E2" w14:textId="77777777" w:rsidR="0039204A" w:rsidRPr="009A7F4E" w:rsidRDefault="0039204A" w:rsidP="00807EB8">
            <w:pPr>
              <w:jc w:val="center"/>
              <w:rPr>
                <w:color w:val="000000" w:themeColor="text1"/>
              </w:rPr>
            </w:pPr>
            <w:r w:rsidRPr="009A7F4E">
              <w:rPr>
                <w:color w:val="000000" w:themeColor="text1"/>
              </w:rPr>
              <w:t>Tarantino et al.</w:t>
            </w:r>
          </w:p>
        </w:tc>
      </w:tr>
      <w:tr w:rsidR="009A7F4E" w:rsidRPr="009A7F4E" w14:paraId="20FC8C60" w14:textId="77777777" w:rsidTr="00807EB8">
        <w:trPr>
          <w:tblCellSpacing w:w="15" w:type="dxa"/>
          <w:jc w:val="center"/>
        </w:trPr>
        <w:tc>
          <w:tcPr>
            <w:tcW w:w="3100" w:type="dxa"/>
            <w:tcBorders>
              <w:right w:val="single" w:sz="4" w:space="0" w:color="auto"/>
            </w:tcBorders>
            <w:vAlign w:val="center"/>
            <w:hideMark/>
          </w:tcPr>
          <w:p w14:paraId="3C2FB765" w14:textId="77777777" w:rsidR="0039204A" w:rsidRPr="009A7F4E" w:rsidRDefault="0039204A" w:rsidP="0039204A">
            <w:pPr>
              <w:rPr>
                <w:color w:val="000000" w:themeColor="text1"/>
              </w:rPr>
            </w:pPr>
            <w:r w:rsidRPr="009A7F4E">
              <w:rPr>
                <w:color w:val="000000" w:themeColor="text1"/>
              </w:rPr>
              <w:t>Sensitivity</w:t>
            </w:r>
          </w:p>
        </w:tc>
        <w:tc>
          <w:tcPr>
            <w:tcW w:w="2580" w:type="dxa"/>
            <w:tcBorders>
              <w:right w:val="single" w:sz="4" w:space="0" w:color="auto"/>
            </w:tcBorders>
            <w:vAlign w:val="center"/>
            <w:hideMark/>
          </w:tcPr>
          <w:p w14:paraId="0D9B6FD1" w14:textId="77777777" w:rsidR="0039204A" w:rsidRPr="009A7F4E" w:rsidRDefault="0039204A" w:rsidP="00807EB8">
            <w:pPr>
              <w:jc w:val="center"/>
              <w:rPr>
                <w:color w:val="000000" w:themeColor="text1"/>
              </w:rPr>
            </w:pPr>
            <w:r w:rsidRPr="009A7F4E">
              <w:rPr>
                <w:color w:val="000000" w:themeColor="text1"/>
              </w:rPr>
              <w:t>33%</w:t>
            </w:r>
          </w:p>
        </w:tc>
        <w:tc>
          <w:tcPr>
            <w:tcW w:w="1500" w:type="dxa"/>
            <w:tcBorders>
              <w:right w:val="single" w:sz="4" w:space="0" w:color="auto"/>
            </w:tcBorders>
            <w:vAlign w:val="center"/>
            <w:hideMark/>
          </w:tcPr>
          <w:p w14:paraId="1F1D5B67" w14:textId="77777777" w:rsidR="0039204A" w:rsidRPr="009A7F4E" w:rsidRDefault="0039204A" w:rsidP="00807EB8">
            <w:pPr>
              <w:jc w:val="center"/>
              <w:rPr>
                <w:color w:val="000000" w:themeColor="text1"/>
              </w:rPr>
            </w:pPr>
            <w:r w:rsidRPr="009A7F4E">
              <w:rPr>
                <w:color w:val="000000" w:themeColor="text1"/>
              </w:rPr>
              <w:t>Fixed</w:t>
            </w:r>
          </w:p>
        </w:tc>
        <w:tc>
          <w:tcPr>
            <w:tcW w:w="2020" w:type="dxa"/>
            <w:vAlign w:val="center"/>
            <w:hideMark/>
          </w:tcPr>
          <w:p w14:paraId="444833EB" w14:textId="77777777" w:rsidR="0039204A" w:rsidRPr="009A7F4E" w:rsidRDefault="0039204A" w:rsidP="00807EB8">
            <w:pPr>
              <w:jc w:val="center"/>
              <w:rPr>
                <w:color w:val="000000" w:themeColor="text1"/>
              </w:rPr>
            </w:pPr>
            <w:r w:rsidRPr="009A7F4E">
              <w:rPr>
                <w:color w:val="000000" w:themeColor="text1"/>
              </w:rPr>
              <w:t>Tarantino et al.</w:t>
            </w:r>
          </w:p>
        </w:tc>
      </w:tr>
    </w:tbl>
    <w:p w14:paraId="1584A78D" w14:textId="1C089006" w:rsidR="0039204A" w:rsidRPr="009A7F4E" w:rsidRDefault="000F556A" w:rsidP="0039204A">
      <w:pPr>
        <w:spacing w:before="100" w:beforeAutospacing="1" w:after="100" w:afterAutospacing="1"/>
        <w:rPr>
          <w:color w:val="000000" w:themeColor="text1"/>
        </w:rPr>
      </w:pPr>
      <w:r w:rsidRPr="009A7F4E">
        <w:rPr>
          <w:color w:val="000000" w:themeColor="text1"/>
          <w:vertAlign w:val="superscript"/>
        </w:rPr>
        <w:t>a</w:t>
      </w:r>
      <w:r w:rsidRPr="009A7F4E">
        <w:rPr>
          <w:color w:val="000000" w:themeColor="text1"/>
        </w:rPr>
        <w:t xml:space="preserve"> </w:t>
      </w:r>
      <w:r w:rsidR="00A90ECF" w:rsidRPr="009A7F4E">
        <w:rPr>
          <w:color w:val="000000" w:themeColor="text1"/>
        </w:rPr>
        <w:t xml:space="preserve">Calculated as the average cost of treatment using weighted frequencies of individual second-line therapeutic agents received by each treatment arm in the </w:t>
      </w:r>
      <w:proofErr w:type="spellStart"/>
      <w:r w:rsidR="00A90ECF" w:rsidRPr="009A7F4E">
        <w:rPr>
          <w:color w:val="000000" w:themeColor="text1"/>
        </w:rPr>
        <w:t>CheckMate</w:t>
      </w:r>
      <w:proofErr w:type="spellEnd"/>
      <w:r w:rsidR="00A90ECF" w:rsidRPr="009A7F4E">
        <w:rPr>
          <w:color w:val="000000" w:themeColor="text1"/>
        </w:rPr>
        <w:t xml:space="preserve"> 067 clinical trial.</w:t>
      </w:r>
    </w:p>
    <w:p w14:paraId="36384847" w14:textId="0F89F9D8" w:rsidR="000F556A" w:rsidRPr="009A7F4E" w:rsidRDefault="000F556A" w:rsidP="0039204A">
      <w:pPr>
        <w:spacing w:before="100" w:beforeAutospacing="1" w:after="100" w:afterAutospacing="1"/>
        <w:rPr>
          <w:color w:val="000000" w:themeColor="text1"/>
        </w:rPr>
      </w:pPr>
      <w:r w:rsidRPr="009A7F4E">
        <w:rPr>
          <w:color w:val="000000" w:themeColor="text1"/>
          <w:vertAlign w:val="superscript"/>
        </w:rPr>
        <w:t xml:space="preserve">b </w:t>
      </w:r>
      <w:r w:rsidRPr="009A7F4E">
        <w:rPr>
          <w:color w:val="000000" w:themeColor="text1"/>
        </w:rPr>
        <w:t xml:space="preserve">Calculated as the average cost of toxic effects using weighted frequencies of grade 3 to 4 treatment related adverse events for each treatment arm in the </w:t>
      </w:r>
      <w:proofErr w:type="spellStart"/>
      <w:r w:rsidRPr="009A7F4E">
        <w:rPr>
          <w:color w:val="000000" w:themeColor="text1"/>
        </w:rPr>
        <w:t>CheckMate</w:t>
      </w:r>
      <w:proofErr w:type="spellEnd"/>
      <w:r w:rsidRPr="009A7F4E">
        <w:rPr>
          <w:color w:val="000000" w:themeColor="text1"/>
        </w:rPr>
        <w:t xml:space="preserve"> 067 clinical trial. Costs of individual toxic effects were derived from the literature and include all care required to manage each toxic effect. References for individual toxic effect costs are summarized in </w:t>
      </w:r>
      <w:proofErr w:type="spellStart"/>
      <w:r w:rsidRPr="009A7F4E">
        <w:rPr>
          <w:color w:val="000000" w:themeColor="text1"/>
        </w:rPr>
        <w:t>eTable</w:t>
      </w:r>
      <w:proofErr w:type="spellEnd"/>
      <w:r w:rsidRPr="009A7F4E">
        <w:rPr>
          <w:color w:val="000000" w:themeColor="text1"/>
        </w:rPr>
        <w:t xml:space="preserve"> 2 in the Supplement.</w:t>
      </w:r>
    </w:p>
    <w:p w14:paraId="69E67E92" w14:textId="03CD794A" w:rsidR="00A90ECF" w:rsidRPr="009A7F4E" w:rsidRDefault="00F0513E" w:rsidP="0039204A">
      <w:pPr>
        <w:spacing w:before="100" w:beforeAutospacing="1" w:after="100" w:afterAutospacing="1"/>
        <w:rPr>
          <w:color w:val="000000" w:themeColor="text1"/>
        </w:rPr>
      </w:pPr>
      <w:r w:rsidRPr="009A7F4E">
        <w:rPr>
          <w:color w:val="000000" w:themeColor="text1"/>
          <w:vertAlign w:val="superscript"/>
        </w:rPr>
        <w:lastRenderedPageBreak/>
        <w:t>c</w:t>
      </w:r>
      <w:r w:rsidRPr="009A7F4E">
        <w:rPr>
          <w:color w:val="000000" w:themeColor="text1"/>
        </w:rPr>
        <w:t xml:space="preserve"> Calculated as the average disutility of toxic effects using weighted frequencies of grade 3 to 4 treatment-related adverse events for each treatment arm in the </w:t>
      </w:r>
      <w:proofErr w:type="spellStart"/>
      <w:r w:rsidRPr="009A7F4E">
        <w:rPr>
          <w:color w:val="000000" w:themeColor="text1"/>
        </w:rPr>
        <w:t>CheckMate</w:t>
      </w:r>
      <w:proofErr w:type="spellEnd"/>
      <w:r w:rsidRPr="009A7F4E">
        <w:rPr>
          <w:color w:val="000000" w:themeColor="text1"/>
        </w:rPr>
        <w:t xml:space="preserve"> </w:t>
      </w:r>
      <w:r w:rsidR="00A04265" w:rsidRPr="009A7F4E">
        <w:rPr>
          <w:color w:val="000000" w:themeColor="text1"/>
        </w:rPr>
        <w:t>067</w:t>
      </w:r>
      <w:r w:rsidRPr="009A7F4E">
        <w:rPr>
          <w:color w:val="000000" w:themeColor="text1"/>
        </w:rPr>
        <w:t xml:space="preserve"> clinical trial. Disutility from experiencing toxic effects occurred over a 1-month period. </w:t>
      </w:r>
      <w:proofErr w:type="spellStart"/>
      <w:r w:rsidRPr="009A7F4E">
        <w:rPr>
          <w:color w:val="000000" w:themeColor="text1"/>
        </w:rPr>
        <w:t>Disutilities</w:t>
      </w:r>
      <w:proofErr w:type="spellEnd"/>
      <w:r w:rsidRPr="009A7F4E">
        <w:rPr>
          <w:color w:val="000000" w:themeColor="text1"/>
        </w:rPr>
        <w:t xml:space="preserve"> of individual toxic effects were derived from the literature. References for individual toxic effect </w:t>
      </w:r>
      <w:proofErr w:type="spellStart"/>
      <w:r w:rsidRPr="009A7F4E">
        <w:rPr>
          <w:color w:val="000000" w:themeColor="text1"/>
        </w:rPr>
        <w:t>disutilities</w:t>
      </w:r>
      <w:proofErr w:type="spellEnd"/>
      <w:r w:rsidRPr="009A7F4E">
        <w:rPr>
          <w:color w:val="000000" w:themeColor="text1"/>
        </w:rPr>
        <w:t xml:space="preserve"> are summarized in </w:t>
      </w:r>
      <w:proofErr w:type="spellStart"/>
      <w:r w:rsidRPr="009A7F4E">
        <w:rPr>
          <w:color w:val="000000" w:themeColor="text1"/>
        </w:rPr>
        <w:t>eTable</w:t>
      </w:r>
      <w:proofErr w:type="spellEnd"/>
      <w:r w:rsidRPr="009A7F4E">
        <w:rPr>
          <w:color w:val="000000" w:themeColor="text1"/>
        </w:rPr>
        <w:t xml:space="preserve"> 3 in the Supplement.</w:t>
      </w:r>
    </w:p>
    <w:p w14:paraId="3070D53E" w14:textId="77777777" w:rsidR="005D2C0E" w:rsidRPr="009A7F4E" w:rsidRDefault="005D2C0E" w:rsidP="004A2C00">
      <w:pPr>
        <w:spacing w:before="100" w:beforeAutospacing="1" w:after="100" w:afterAutospacing="1"/>
        <w:contextualSpacing/>
        <w:rPr>
          <w:color w:val="000000" w:themeColor="text1"/>
        </w:rPr>
      </w:pPr>
    </w:p>
    <w:p w14:paraId="1C1C638D" w14:textId="57389B2B" w:rsidR="00E20418" w:rsidRPr="009A7F4E" w:rsidRDefault="00E20418" w:rsidP="00E20418">
      <w:pPr>
        <w:spacing w:before="100" w:beforeAutospacing="1" w:after="100" w:afterAutospacing="1"/>
        <w:contextualSpacing/>
        <w:jc w:val="center"/>
        <w:rPr>
          <w:color w:val="000000" w:themeColor="text1"/>
        </w:rPr>
      </w:pPr>
      <w:r w:rsidRPr="009A7F4E">
        <w:rPr>
          <w:noProof/>
          <w:color w:val="000000" w:themeColor="text1"/>
        </w:rPr>
        <w:drawing>
          <wp:inline distT="0" distB="0" distL="0" distR="0" wp14:anchorId="31A593DE" wp14:editId="4E155D18">
            <wp:extent cx="5128352" cy="4479089"/>
            <wp:effectExtent l="0" t="0" r="2540" b="4445"/>
            <wp:docPr id="278428615" name="Picture 4" descr="A chart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28615" name="Picture 4" descr="A chart of a mod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2600" cy="4491533"/>
                    </a:xfrm>
                    <a:prstGeom prst="rect">
                      <a:avLst/>
                    </a:prstGeom>
                  </pic:spPr>
                </pic:pic>
              </a:graphicData>
            </a:graphic>
          </wp:inline>
        </w:drawing>
      </w:r>
    </w:p>
    <w:p w14:paraId="30171442" w14:textId="77777777" w:rsidR="00996F5E" w:rsidRPr="009A7F4E" w:rsidRDefault="00996F5E" w:rsidP="00E20418">
      <w:pPr>
        <w:spacing w:before="100" w:beforeAutospacing="1" w:after="100" w:afterAutospacing="1"/>
        <w:contextualSpacing/>
        <w:jc w:val="center"/>
        <w:rPr>
          <w:color w:val="000000" w:themeColor="text1"/>
        </w:rPr>
      </w:pPr>
    </w:p>
    <w:p w14:paraId="0B2017F0" w14:textId="77777777" w:rsidR="00996F5E" w:rsidRPr="009A7F4E" w:rsidRDefault="00996F5E" w:rsidP="00E20418">
      <w:pPr>
        <w:spacing w:before="100" w:beforeAutospacing="1" w:after="100" w:afterAutospacing="1"/>
        <w:contextualSpacing/>
        <w:jc w:val="center"/>
        <w:rPr>
          <w:color w:val="000000" w:themeColor="text1"/>
        </w:rPr>
      </w:pPr>
    </w:p>
    <w:p w14:paraId="4A0995C5" w14:textId="77777777" w:rsidR="00996F5E" w:rsidRPr="009A7F4E" w:rsidRDefault="00996F5E" w:rsidP="00E20418">
      <w:pPr>
        <w:spacing w:before="100" w:beforeAutospacing="1" w:after="100" w:afterAutospacing="1"/>
        <w:contextualSpacing/>
        <w:jc w:val="center"/>
        <w:rPr>
          <w:color w:val="000000" w:themeColor="text1"/>
        </w:rPr>
      </w:pPr>
    </w:p>
    <w:p w14:paraId="225B9061" w14:textId="77777777" w:rsidR="00996F5E" w:rsidRPr="009A7F4E" w:rsidRDefault="00996F5E" w:rsidP="00E20418">
      <w:pPr>
        <w:spacing w:before="100" w:beforeAutospacing="1" w:after="100" w:afterAutospacing="1"/>
        <w:contextualSpacing/>
        <w:jc w:val="center"/>
        <w:rPr>
          <w:color w:val="000000" w:themeColor="text1"/>
        </w:rPr>
      </w:pPr>
    </w:p>
    <w:p w14:paraId="04793F84" w14:textId="77777777" w:rsidR="00996F5E" w:rsidRPr="009A7F4E" w:rsidRDefault="00996F5E" w:rsidP="00E20418">
      <w:pPr>
        <w:spacing w:before="100" w:beforeAutospacing="1" w:after="100" w:afterAutospacing="1"/>
        <w:contextualSpacing/>
        <w:jc w:val="center"/>
        <w:rPr>
          <w:color w:val="000000" w:themeColor="text1"/>
        </w:rPr>
      </w:pPr>
    </w:p>
    <w:p w14:paraId="4F127CF2" w14:textId="77777777" w:rsidR="00996F5E" w:rsidRPr="009A7F4E" w:rsidRDefault="00996F5E" w:rsidP="00E20418">
      <w:pPr>
        <w:spacing w:before="100" w:beforeAutospacing="1" w:after="100" w:afterAutospacing="1"/>
        <w:contextualSpacing/>
        <w:jc w:val="center"/>
        <w:rPr>
          <w:color w:val="000000" w:themeColor="text1"/>
        </w:rPr>
      </w:pPr>
    </w:p>
    <w:p w14:paraId="03C67527" w14:textId="77777777" w:rsidR="00996F5E" w:rsidRPr="009A7F4E" w:rsidRDefault="00996F5E" w:rsidP="00E20418">
      <w:pPr>
        <w:spacing w:before="100" w:beforeAutospacing="1" w:after="100" w:afterAutospacing="1"/>
        <w:contextualSpacing/>
        <w:jc w:val="center"/>
        <w:rPr>
          <w:color w:val="000000" w:themeColor="text1"/>
        </w:rPr>
      </w:pPr>
    </w:p>
    <w:p w14:paraId="791B5793" w14:textId="77777777" w:rsidR="00996F5E" w:rsidRPr="009A7F4E" w:rsidRDefault="00996F5E" w:rsidP="00E20418">
      <w:pPr>
        <w:spacing w:before="100" w:beforeAutospacing="1" w:after="100" w:afterAutospacing="1"/>
        <w:contextualSpacing/>
        <w:jc w:val="center"/>
        <w:rPr>
          <w:color w:val="000000" w:themeColor="text1"/>
        </w:rPr>
      </w:pPr>
    </w:p>
    <w:p w14:paraId="56B13C0A" w14:textId="77777777" w:rsidR="00996F5E" w:rsidRPr="009A7F4E" w:rsidRDefault="00996F5E" w:rsidP="00E20418">
      <w:pPr>
        <w:spacing w:before="100" w:beforeAutospacing="1" w:after="100" w:afterAutospacing="1"/>
        <w:contextualSpacing/>
        <w:jc w:val="center"/>
        <w:rPr>
          <w:color w:val="000000" w:themeColor="text1"/>
        </w:rPr>
      </w:pPr>
    </w:p>
    <w:p w14:paraId="417AA80C" w14:textId="77777777" w:rsidR="00996F5E" w:rsidRPr="009A7F4E" w:rsidRDefault="00996F5E" w:rsidP="00E20418">
      <w:pPr>
        <w:spacing w:before="100" w:beforeAutospacing="1" w:after="100" w:afterAutospacing="1"/>
        <w:contextualSpacing/>
        <w:jc w:val="center"/>
        <w:rPr>
          <w:color w:val="000000" w:themeColor="text1"/>
        </w:rPr>
      </w:pPr>
    </w:p>
    <w:p w14:paraId="11C1BC56" w14:textId="77777777" w:rsidR="00C21C67" w:rsidRPr="009A7F4E" w:rsidRDefault="00C21C67" w:rsidP="00E20418">
      <w:pPr>
        <w:spacing w:before="100" w:beforeAutospacing="1" w:after="100" w:afterAutospacing="1"/>
        <w:contextualSpacing/>
        <w:jc w:val="center"/>
        <w:rPr>
          <w:color w:val="000000" w:themeColor="text1"/>
        </w:rPr>
      </w:pPr>
    </w:p>
    <w:p w14:paraId="7CA35E62" w14:textId="77777777" w:rsidR="00C21C67" w:rsidRPr="009A7F4E" w:rsidRDefault="00C21C67" w:rsidP="00E20418">
      <w:pPr>
        <w:spacing w:before="100" w:beforeAutospacing="1" w:after="100" w:afterAutospacing="1"/>
        <w:contextualSpacing/>
        <w:jc w:val="center"/>
        <w:rPr>
          <w:color w:val="000000" w:themeColor="text1"/>
        </w:rPr>
      </w:pPr>
    </w:p>
    <w:p w14:paraId="2A2FB966" w14:textId="77777777" w:rsidR="00C21C67" w:rsidRPr="009A7F4E" w:rsidRDefault="00C21C67" w:rsidP="00E20418">
      <w:pPr>
        <w:spacing w:before="100" w:beforeAutospacing="1" w:after="100" w:afterAutospacing="1"/>
        <w:contextualSpacing/>
        <w:jc w:val="center"/>
        <w:rPr>
          <w:color w:val="000000" w:themeColor="text1"/>
        </w:rPr>
      </w:pPr>
    </w:p>
    <w:p w14:paraId="00DD3C42" w14:textId="77777777" w:rsidR="00C21C67" w:rsidRPr="009A7F4E" w:rsidRDefault="00C21C67" w:rsidP="00E20418">
      <w:pPr>
        <w:spacing w:before="100" w:beforeAutospacing="1" w:after="100" w:afterAutospacing="1"/>
        <w:contextualSpacing/>
        <w:jc w:val="center"/>
        <w:rPr>
          <w:color w:val="000000" w:themeColor="text1"/>
        </w:rPr>
      </w:pPr>
    </w:p>
    <w:p w14:paraId="15133B6D" w14:textId="77777777" w:rsidR="00C21C67" w:rsidRPr="009A7F4E" w:rsidRDefault="00C21C67" w:rsidP="00E20418">
      <w:pPr>
        <w:spacing w:before="100" w:beforeAutospacing="1" w:after="100" w:afterAutospacing="1"/>
        <w:contextualSpacing/>
        <w:jc w:val="center"/>
        <w:rPr>
          <w:color w:val="000000" w:themeColor="text1"/>
        </w:rPr>
      </w:pPr>
    </w:p>
    <w:p w14:paraId="0A7FE136" w14:textId="77777777" w:rsidR="00C21C67" w:rsidRPr="009A7F4E" w:rsidRDefault="00C21C67" w:rsidP="00E20418">
      <w:pPr>
        <w:spacing w:before="100" w:beforeAutospacing="1" w:after="100" w:afterAutospacing="1"/>
        <w:contextualSpacing/>
        <w:jc w:val="center"/>
        <w:rPr>
          <w:color w:val="000000" w:themeColor="text1"/>
        </w:rPr>
      </w:pPr>
    </w:p>
    <w:p w14:paraId="6CCDBBC6" w14:textId="77777777" w:rsidR="00996F5E" w:rsidRPr="009A7F4E" w:rsidRDefault="00996F5E" w:rsidP="00E20418">
      <w:pPr>
        <w:spacing w:before="100" w:beforeAutospacing="1" w:after="100" w:afterAutospacing="1"/>
        <w:contextualSpacing/>
        <w:jc w:val="center"/>
        <w:rPr>
          <w:color w:val="000000" w:themeColor="text1"/>
        </w:rPr>
      </w:pPr>
    </w:p>
    <w:p w14:paraId="12826C29" w14:textId="77777777" w:rsidR="00996F5E" w:rsidRPr="009A7F4E" w:rsidRDefault="00996F5E" w:rsidP="00E20418">
      <w:pPr>
        <w:spacing w:before="100" w:beforeAutospacing="1" w:after="100" w:afterAutospacing="1"/>
        <w:contextualSpacing/>
        <w:jc w:val="center"/>
        <w:rPr>
          <w:color w:val="000000" w:themeColor="text1"/>
        </w:rPr>
      </w:pPr>
    </w:p>
    <w:p w14:paraId="25C6F3EC" w14:textId="77777777" w:rsidR="00996F5E" w:rsidRPr="009A7F4E" w:rsidRDefault="00996F5E" w:rsidP="00E20418">
      <w:pPr>
        <w:spacing w:before="100" w:beforeAutospacing="1" w:after="100" w:afterAutospacing="1"/>
        <w:contextualSpacing/>
        <w:jc w:val="center"/>
        <w:rPr>
          <w:color w:val="000000" w:themeColor="text1"/>
        </w:rPr>
      </w:pPr>
    </w:p>
    <w:p w14:paraId="7A9228E6" w14:textId="77777777" w:rsidR="00996F5E" w:rsidRPr="009A7F4E" w:rsidRDefault="00996F5E" w:rsidP="00E20418">
      <w:pPr>
        <w:spacing w:before="100" w:beforeAutospacing="1" w:after="100" w:afterAutospacing="1"/>
        <w:contextualSpacing/>
        <w:jc w:val="center"/>
        <w:rPr>
          <w:color w:val="000000" w:themeColor="text1"/>
        </w:rPr>
      </w:pPr>
    </w:p>
    <w:p w14:paraId="043BBD24" w14:textId="77777777" w:rsidR="00996F5E" w:rsidRPr="009A7F4E" w:rsidRDefault="00996F5E" w:rsidP="00E20418">
      <w:pPr>
        <w:spacing w:before="100" w:beforeAutospacing="1" w:after="100" w:afterAutospacing="1"/>
        <w:contextualSpacing/>
        <w:jc w:val="center"/>
        <w:rPr>
          <w:color w:val="000000" w:themeColor="text1"/>
        </w:rPr>
      </w:pPr>
    </w:p>
    <w:p w14:paraId="1E2C1E79" w14:textId="251E5FA3" w:rsidR="00996F5E" w:rsidRPr="009A7F4E" w:rsidRDefault="00996F5E" w:rsidP="00996F5E">
      <w:pPr>
        <w:spacing w:before="100" w:beforeAutospacing="1" w:after="100" w:afterAutospacing="1"/>
        <w:contextualSpacing/>
        <w:rPr>
          <w:color w:val="000000" w:themeColor="text1"/>
        </w:rPr>
      </w:pPr>
      <w:r w:rsidRPr="009A7F4E">
        <w:rPr>
          <w:color w:val="000000" w:themeColor="text1"/>
        </w:rPr>
        <w:t>Appendix</w:t>
      </w:r>
    </w:p>
    <w:p w14:paraId="3150399D" w14:textId="77777777" w:rsidR="00996F5E" w:rsidRPr="009A7F4E" w:rsidRDefault="00996F5E" w:rsidP="00996F5E">
      <w:pPr>
        <w:spacing w:before="100" w:beforeAutospacing="1" w:after="100" w:afterAutospacing="1"/>
        <w:contextualSpacing/>
        <w:rPr>
          <w:color w:val="000000" w:themeColor="text1"/>
        </w:rPr>
      </w:pPr>
    </w:p>
    <w:p w14:paraId="554723CB" w14:textId="4FCA0869" w:rsidR="00996F5E" w:rsidRPr="009A7F4E" w:rsidRDefault="00996F5E" w:rsidP="00996F5E">
      <w:pPr>
        <w:spacing w:before="100" w:beforeAutospacing="1" w:after="100" w:afterAutospacing="1"/>
        <w:rPr>
          <w:color w:val="000000" w:themeColor="text1"/>
        </w:rPr>
      </w:pPr>
      <w:r w:rsidRPr="009A7F4E">
        <w:rPr>
          <w:color w:val="000000" w:themeColor="text1"/>
        </w:rPr>
        <w:t>Table </w:t>
      </w:r>
      <w:r w:rsidR="00C21C67" w:rsidRPr="009A7F4E">
        <w:rPr>
          <w:color w:val="000000" w:themeColor="text1"/>
        </w:rPr>
        <w:t>A1</w:t>
      </w:r>
      <w:r w:rsidRPr="009A7F4E">
        <w:rPr>
          <w:color w:val="000000" w:themeColor="text1"/>
        </w:rPr>
        <w:t xml:space="preserve">. </w:t>
      </w:r>
      <w:r w:rsidR="00D25041" w:rsidRPr="009A7F4E">
        <w:rPr>
          <w:color w:val="000000" w:themeColor="text1"/>
        </w:rPr>
        <w:t xml:space="preserve">Disutility from </w:t>
      </w:r>
      <w:r w:rsidRPr="009A7F4E">
        <w:rPr>
          <w:color w:val="000000" w:themeColor="text1"/>
        </w:rPr>
        <w:t>Grade 3–</w:t>
      </w:r>
      <w:r w:rsidR="00A1313B" w:rsidRPr="009A7F4E">
        <w:rPr>
          <w:color w:val="000000" w:themeColor="text1"/>
        </w:rPr>
        <w:t>5</w:t>
      </w:r>
      <w:r w:rsidRPr="009A7F4E">
        <w:rPr>
          <w:color w:val="000000" w:themeColor="text1"/>
        </w:rPr>
        <w:t xml:space="preserve"> Treatment-Related Adverse Events in </w:t>
      </w:r>
      <w:proofErr w:type="spellStart"/>
      <w:r w:rsidRPr="009A7F4E">
        <w:rPr>
          <w:color w:val="000000" w:themeColor="text1"/>
        </w:rPr>
        <w:t>CheckMate</w:t>
      </w:r>
      <w:proofErr w:type="spellEnd"/>
      <w:r w:rsidRPr="009A7F4E">
        <w:rPr>
          <w:color w:val="000000" w:themeColor="text1"/>
        </w:rPr>
        <w:t xml:space="preserve"> 067 </w:t>
      </w:r>
    </w:p>
    <w:tbl>
      <w:tblPr>
        <w:tblW w:w="944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620"/>
        <w:gridCol w:w="1620"/>
        <w:gridCol w:w="1200"/>
        <w:gridCol w:w="1407"/>
        <w:gridCol w:w="1083"/>
      </w:tblGrid>
      <w:tr w:rsidR="009A7F4E" w:rsidRPr="009A7F4E" w14:paraId="16D46B71" w14:textId="77777777" w:rsidTr="00B25629">
        <w:trPr>
          <w:tblHeader/>
          <w:tblCellSpacing w:w="15" w:type="dxa"/>
        </w:trPr>
        <w:tc>
          <w:tcPr>
            <w:tcW w:w="2470" w:type="dxa"/>
            <w:tcBorders>
              <w:top w:val="single" w:sz="4" w:space="0" w:color="auto"/>
              <w:bottom w:val="single" w:sz="4" w:space="0" w:color="auto"/>
            </w:tcBorders>
            <w:vAlign w:val="center"/>
            <w:hideMark/>
          </w:tcPr>
          <w:p w14:paraId="253500A2" w14:textId="77777777" w:rsidR="00996F5E" w:rsidRPr="009A7F4E" w:rsidRDefault="00996F5E" w:rsidP="00996F5E">
            <w:pPr>
              <w:rPr>
                <w:b/>
                <w:bCs/>
                <w:color w:val="000000" w:themeColor="text1"/>
              </w:rPr>
            </w:pPr>
            <w:r w:rsidRPr="009A7F4E">
              <w:rPr>
                <w:b/>
                <w:bCs/>
                <w:color w:val="000000" w:themeColor="text1"/>
              </w:rPr>
              <w:t>Adverse Event Category</w:t>
            </w:r>
          </w:p>
        </w:tc>
        <w:tc>
          <w:tcPr>
            <w:tcW w:w="1590" w:type="dxa"/>
            <w:tcBorders>
              <w:top w:val="single" w:sz="4" w:space="0" w:color="auto"/>
              <w:bottom w:val="single" w:sz="4" w:space="0" w:color="auto"/>
            </w:tcBorders>
            <w:vAlign w:val="center"/>
            <w:hideMark/>
          </w:tcPr>
          <w:p w14:paraId="7D66112D" w14:textId="41D8C3E8" w:rsidR="00996F5E" w:rsidRPr="009A7F4E" w:rsidRDefault="00996F5E" w:rsidP="001F201F">
            <w:pPr>
              <w:jc w:val="center"/>
              <w:rPr>
                <w:b/>
                <w:bCs/>
                <w:color w:val="000000" w:themeColor="text1"/>
              </w:rPr>
            </w:pPr>
            <w:r w:rsidRPr="009A7F4E">
              <w:rPr>
                <w:b/>
                <w:bCs/>
                <w:color w:val="000000" w:themeColor="text1"/>
              </w:rPr>
              <w:t>G3–4 no. (%)</w:t>
            </w:r>
          </w:p>
        </w:tc>
        <w:tc>
          <w:tcPr>
            <w:tcW w:w="1590" w:type="dxa"/>
            <w:tcBorders>
              <w:top w:val="single" w:sz="4" w:space="0" w:color="auto"/>
              <w:bottom w:val="single" w:sz="4" w:space="0" w:color="auto"/>
            </w:tcBorders>
            <w:vAlign w:val="center"/>
            <w:hideMark/>
          </w:tcPr>
          <w:p w14:paraId="4FADF2BE" w14:textId="17EAEA1C" w:rsidR="00996F5E" w:rsidRPr="009A7F4E" w:rsidRDefault="00FE4DAA" w:rsidP="001F201F">
            <w:pPr>
              <w:jc w:val="center"/>
              <w:rPr>
                <w:b/>
                <w:bCs/>
                <w:color w:val="000000" w:themeColor="text1"/>
              </w:rPr>
            </w:pPr>
            <w:r w:rsidRPr="009A7F4E">
              <w:rPr>
                <w:b/>
                <w:bCs/>
                <w:color w:val="000000" w:themeColor="text1"/>
              </w:rPr>
              <w:t>Median Time to Resolution</w:t>
            </w:r>
            <w:r w:rsidR="001F201F" w:rsidRPr="009A7F4E">
              <w:rPr>
                <w:b/>
                <w:bCs/>
                <w:color w:val="000000" w:themeColor="text1"/>
              </w:rPr>
              <w:t xml:space="preserve"> </w:t>
            </w:r>
            <w:r w:rsidRPr="009A7F4E">
              <w:rPr>
                <w:b/>
                <w:bCs/>
                <w:color w:val="000000" w:themeColor="text1"/>
              </w:rPr>
              <w:t>(months)</w:t>
            </w:r>
          </w:p>
        </w:tc>
        <w:tc>
          <w:tcPr>
            <w:tcW w:w="1170" w:type="dxa"/>
            <w:tcBorders>
              <w:top w:val="single" w:sz="4" w:space="0" w:color="auto"/>
              <w:bottom w:val="single" w:sz="4" w:space="0" w:color="auto"/>
            </w:tcBorders>
            <w:vAlign w:val="center"/>
            <w:hideMark/>
          </w:tcPr>
          <w:p w14:paraId="5F46458D" w14:textId="3E0A8205" w:rsidR="00996F5E" w:rsidRPr="009A7F4E" w:rsidRDefault="00FE4DAA" w:rsidP="001F201F">
            <w:pPr>
              <w:jc w:val="center"/>
              <w:rPr>
                <w:b/>
                <w:bCs/>
                <w:color w:val="000000" w:themeColor="text1"/>
              </w:rPr>
            </w:pPr>
            <w:r w:rsidRPr="009A7F4E">
              <w:rPr>
                <w:b/>
                <w:bCs/>
                <w:color w:val="000000" w:themeColor="text1"/>
              </w:rPr>
              <w:t>Disutility</w:t>
            </w:r>
            <w:r w:rsidR="001F201F" w:rsidRPr="009A7F4E">
              <w:rPr>
                <w:b/>
                <w:bCs/>
                <w:color w:val="000000" w:themeColor="text1"/>
              </w:rPr>
              <w:t xml:space="preserve"> per Month</w:t>
            </w:r>
          </w:p>
        </w:tc>
        <w:tc>
          <w:tcPr>
            <w:tcW w:w="0" w:type="auto"/>
            <w:tcBorders>
              <w:top w:val="single" w:sz="4" w:space="0" w:color="auto"/>
              <w:bottom w:val="single" w:sz="4" w:space="0" w:color="auto"/>
            </w:tcBorders>
            <w:vAlign w:val="center"/>
            <w:hideMark/>
          </w:tcPr>
          <w:p w14:paraId="25E72CF5" w14:textId="5CFB1005" w:rsidR="00996F5E" w:rsidRPr="009A7F4E" w:rsidRDefault="001F201F" w:rsidP="001F201F">
            <w:pPr>
              <w:jc w:val="center"/>
              <w:rPr>
                <w:b/>
                <w:bCs/>
                <w:color w:val="000000" w:themeColor="text1"/>
              </w:rPr>
            </w:pPr>
            <w:r w:rsidRPr="009A7F4E">
              <w:rPr>
                <w:b/>
                <w:bCs/>
                <w:color w:val="000000" w:themeColor="text1"/>
              </w:rPr>
              <w:t xml:space="preserve">Total </w:t>
            </w:r>
            <w:r w:rsidR="00996F5E" w:rsidRPr="009A7F4E">
              <w:rPr>
                <w:b/>
                <w:bCs/>
                <w:color w:val="000000" w:themeColor="text1"/>
              </w:rPr>
              <w:t>Disutility</w:t>
            </w:r>
          </w:p>
        </w:tc>
        <w:tc>
          <w:tcPr>
            <w:tcW w:w="1038" w:type="dxa"/>
            <w:tcBorders>
              <w:top w:val="single" w:sz="4" w:space="0" w:color="auto"/>
              <w:bottom w:val="single" w:sz="4" w:space="0" w:color="auto"/>
            </w:tcBorders>
            <w:vAlign w:val="center"/>
            <w:hideMark/>
          </w:tcPr>
          <w:p w14:paraId="30B47AB6" w14:textId="77777777" w:rsidR="00996F5E" w:rsidRPr="009A7F4E" w:rsidRDefault="00996F5E" w:rsidP="001F201F">
            <w:pPr>
              <w:jc w:val="center"/>
              <w:rPr>
                <w:b/>
                <w:bCs/>
                <w:color w:val="000000" w:themeColor="text1"/>
              </w:rPr>
            </w:pPr>
            <w:r w:rsidRPr="009A7F4E">
              <w:rPr>
                <w:b/>
                <w:bCs/>
                <w:color w:val="000000" w:themeColor="text1"/>
              </w:rPr>
              <w:t>Source</w:t>
            </w:r>
          </w:p>
        </w:tc>
      </w:tr>
      <w:tr w:rsidR="009A7F4E" w:rsidRPr="009A7F4E" w14:paraId="7F18D725" w14:textId="77777777" w:rsidTr="00B25629">
        <w:trPr>
          <w:tblCellSpacing w:w="15" w:type="dxa"/>
        </w:trPr>
        <w:tc>
          <w:tcPr>
            <w:tcW w:w="2470" w:type="dxa"/>
            <w:tcBorders>
              <w:top w:val="nil"/>
              <w:bottom w:val="nil"/>
            </w:tcBorders>
            <w:vAlign w:val="center"/>
          </w:tcPr>
          <w:p w14:paraId="2E5C1816" w14:textId="1739610A" w:rsidR="00FE4DAA" w:rsidRPr="009A7F4E" w:rsidRDefault="00FE4DAA" w:rsidP="00996F5E">
            <w:pPr>
              <w:rPr>
                <w:i/>
                <w:iCs/>
                <w:color w:val="000000" w:themeColor="text1"/>
                <w:u w:val="single"/>
              </w:rPr>
            </w:pPr>
            <w:r w:rsidRPr="009A7F4E">
              <w:rPr>
                <w:i/>
                <w:iCs/>
                <w:color w:val="000000" w:themeColor="text1"/>
                <w:u w:val="single"/>
              </w:rPr>
              <w:t>NIVO+IPI (N=31</w:t>
            </w:r>
            <w:r w:rsidR="004175CD" w:rsidRPr="009A7F4E">
              <w:rPr>
                <w:i/>
                <w:iCs/>
                <w:color w:val="000000" w:themeColor="text1"/>
                <w:u w:val="single"/>
              </w:rPr>
              <w:t>4</w:t>
            </w:r>
            <w:r w:rsidRPr="009A7F4E">
              <w:rPr>
                <w:i/>
                <w:iCs/>
                <w:color w:val="000000" w:themeColor="text1"/>
                <w:u w:val="single"/>
              </w:rPr>
              <w:t>)</w:t>
            </w:r>
          </w:p>
        </w:tc>
        <w:tc>
          <w:tcPr>
            <w:tcW w:w="1590" w:type="dxa"/>
            <w:tcBorders>
              <w:top w:val="nil"/>
              <w:bottom w:val="nil"/>
            </w:tcBorders>
            <w:vAlign w:val="center"/>
          </w:tcPr>
          <w:p w14:paraId="1E14CAA7" w14:textId="77777777" w:rsidR="00FE4DAA" w:rsidRPr="009A7F4E" w:rsidRDefault="00FE4DAA" w:rsidP="00AB2678">
            <w:pPr>
              <w:jc w:val="center"/>
              <w:rPr>
                <w:color w:val="000000" w:themeColor="text1"/>
              </w:rPr>
            </w:pPr>
          </w:p>
        </w:tc>
        <w:tc>
          <w:tcPr>
            <w:tcW w:w="1590" w:type="dxa"/>
            <w:tcBorders>
              <w:top w:val="nil"/>
              <w:bottom w:val="nil"/>
            </w:tcBorders>
            <w:vAlign w:val="center"/>
          </w:tcPr>
          <w:p w14:paraId="1EAF2729" w14:textId="77777777" w:rsidR="00FE4DAA" w:rsidRPr="009A7F4E" w:rsidRDefault="00FE4DAA" w:rsidP="00AB2678">
            <w:pPr>
              <w:jc w:val="center"/>
              <w:rPr>
                <w:color w:val="000000" w:themeColor="text1"/>
              </w:rPr>
            </w:pPr>
          </w:p>
        </w:tc>
        <w:tc>
          <w:tcPr>
            <w:tcW w:w="1170" w:type="dxa"/>
            <w:tcBorders>
              <w:top w:val="nil"/>
              <w:bottom w:val="nil"/>
            </w:tcBorders>
            <w:vAlign w:val="center"/>
          </w:tcPr>
          <w:p w14:paraId="407E161A" w14:textId="77777777" w:rsidR="00FE4DAA" w:rsidRPr="009A7F4E" w:rsidRDefault="00FE4DAA" w:rsidP="00AB2678">
            <w:pPr>
              <w:jc w:val="center"/>
              <w:rPr>
                <w:color w:val="000000" w:themeColor="text1"/>
              </w:rPr>
            </w:pPr>
          </w:p>
        </w:tc>
        <w:tc>
          <w:tcPr>
            <w:tcW w:w="0" w:type="auto"/>
            <w:tcBorders>
              <w:top w:val="nil"/>
              <w:bottom w:val="nil"/>
            </w:tcBorders>
            <w:vAlign w:val="center"/>
          </w:tcPr>
          <w:p w14:paraId="4022C4DA" w14:textId="77777777" w:rsidR="00FE4DAA" w:rsidRPr="009A7F4E" w:rsidRDefault="00FE4DAA" w:rsidP="00AB2678">
            <w:pPr>
              <w:jc w:val="center"/>
              <w:rPr>
                <w:color w:val="000000" w:themeColor="text1"/>
              </w:rPr>
            </w:pPr>
          </w:p>
        </w:tc>
        <w:tc>
          <w:tcPr>
            <w:tcW w:w="1038" w:type="dxa"/>
            <w:tcBorders>
              <w:top w:val="nil"/>
              <w:bottom w:val="nil"/>
            </w:tcBorders>
            <w:vAlign w:val="center"/>
          </w:tcPr>
          <w:p w14:paraId="10E6BE22" w14:textId="77777777" w:rsidR="00FE4DAA" w:rsidRPr="009A7F4E" w:rsidRDefault="00FE4DAA" w:rsidP="00AB2678">
            <w:pPr>
              <w:jc w:val="center"/>
              <w:rPr>
                <w:color w:val="000000" w:themeColor="text1"/>
              </w:rPr>
            </w:pPr>
          </w:p>
        </w:tc>
      </w:tr>
      <w:tr w:rsidR="009A7F4E" w:rsidRPr="009A7F4E" w14:paraId="0100AD67" w14:textId="77777777" w:rsidTr="00B25629">
        <w:trPr>
          <w:tblCellSpacing w:w="15" w:type="dxa"/>
        </w:trPr>
        <w:tc>
          <w:tcPr>
            <w:tcW w:w="2470" w:type="dxa"/>
            <w:tcBorders>
              <w:top w:val="nil"/>
              <w:bottom w:val="nil"/>
            </w:tcBorders>
            <w:vAlign w:val="center"/>
            <w:hideMark/>
          </w:tcPr>
          <w:p w14:paraId="30B21AA5" w14:textId="77777777" w:rsidR="00975EF4" w:rsidRPr="009A7F4E" w:rsidRDefault="00975EF4" w:rsidP="00975EF4">
            <w:pPr>
              <w:rPr>
                <w:color w:val="000000" w:themeColor="text1"/>
              </w:rPr>
            </w:pPr>
            <w:r w:rsidRPr="009A7F4E">
              <w:rPr>
                <w:b/>
                <w:bCs/>
                <w:color w:val="000000" w:themeColor="text1"/>
              </w:rPr>
              <w:t>Skin</w:t>
            </w:r>
            <w:r w:rsidRPr="009A7F4E">
              <w:rPr>
                <w:color w:val="000000" w:themeColor="text1"/>
              </w:rPr>
              <w:br/>
              <w:t>(e.g., rash, pruritus, maculopapular rash, vitiligo)</w:t>
            </w:r>
          </w:p>
          <w:p w14:paraId="6E2A80ED" w14:textId="77777777" w:rsidR="00975EF4" w:rsidRPr="009A7F4E" w:rsidRDefault="00975EF4" w:rsidP="00975EF4">
            <w:pPr>
              <w:rPr>
                <w:color w:val="000000" w:themeColor="text1"/>
              </w:rPr>
            </w:pPr>
          </w:p>
        </w:tc>
        <w:tc>
          <w:tcPr>
            <w:tcW w:w="1590" w:type="dxa"/>
            <w:tcBorders>
              <w:top w:val="nil"/>
              <w:bottom w:val="nil"/>
            </w:tcBorders>
            <w:vAlign w:val="center"/>
            <w:hideMark/>
          </w:tcPr>
          <w:p w14:paraId="6FA0EABF" w14:textId="41AD9B94" w:rsidR="00975EF4" w:rsidRPr="009A7F4E" w:rsidRDefault="00975EF4" w:rsidP="001F201F">
            <w:pPr>
              <w:jc w:val="center"/>
              <w:rPr>
                <w:color w:val="000000" w:themeColor="text1"/>
              </w:rPr>
            </w:pPr>
            <w:r w:rsidRPr="009A7F4E">
              <w:rPr>
                <w:color w:val="000000" w:themeColor="text1"/>
              </w:rPr>
              <w:t>15 (4.8%)</w:t>
            </w:r>
          </w:p>
        </w:tc>
        <w:tc>
          <w:tcPr>
            <w:tcW w:w="1590" w:type="dxa"/>
            <w:tcBorders>
              <w:top w:val="nil"/>
              <w:bottom w:val="nil"/>
            </w:tcBorders>
            <w:vAlign w:val="center"/>
            <w:hideMark/>
          </w:tcPr>
          <w:p w14:paraId="0B5A9BC0" w14:textId="0BBE7A0C" w:rsidR="00975EF4" w:rsidRPr="009A7F4E" w:rsidRDefault="00975EF4" w:rsidP="001F201F">
            <w:pPr>
              <w:jc w:val="center"/>
              <w:rPr>
                <w:color w:val="000000" w:themeColor="text1"/>
              </w:rPr>
            </w:pPr>
            <w:r w:rsidRPr="009A7F4E">
              <w:rPr>
                <w:color w:val="000000" w:themeColor="text1"/>
              </w:rPr>
              <w:t>0.71</w:t>
            </w:r>
          </w:p>
        </w:tc>
        <w:tc>
          <w:tcPr>
            <w:tcW w:w="1170" w:type="dxa"/>
            <w:tcBorders>
              <w:top w:val="nil"/>
              <w:bottom w:val="nil"/>
            </w:tcBorders>
            <w:vAlign w:val="center"/>
            <w:hideMark/>
          </w:tcPr>
          <w:p w14:paraId="2E15B9B1" w14:textId="62E13FCA" w:rsidR="00975EF4" w:rsidRPr="009A7F4E" w:rsidRDefault="00482701" w:rsidP="001F201F">
            <w:pPr>
              <w:jc w:val="center"/>
              <w:rPr>
                <w:color w:val="000000" w:themeColor="text1"/>
              </w:rPr>
            </w:pPr>
            <w:r w:rsidRPr="009A7F4E">
              <w:rPr>
                <w:color w:val="000000" w:themeColor="text1"/>
              </w:rPr>
              <w:t>0.013</w:t>
            </w:r>
          </w:p>
        </w:tc>
        <w:tc>
          <w:tcPr>
            <w:tcW w:w="0" w:type="auto"/>
            <w:tcBorders>
              <w:top w:val="nil"/>
              <w:bottom w:val="nil"/>
            </w:tcBorders>
            <w:vAlign w:val="center"/>
            <w:hideMark/>
          </w:tcPr>
          <w:p w14:paraId="128183D6" w14:textId="19F9743F" w:rsidR="00975EF4" w:rsidRPr="009A7F4E" w:rsidRDefault="001F201F" w:rsidP="001F201F">
            <w:pPr>
              <w:jc w:val="center"/>
              <w:rPr>
                <w:color w:val="000000" w:themeColor="text1"/>
              </w:rPr>
            </w:pPr>
            <w:r w:rsidRPr="009A7F4E">
              <w:rPr>
                <w:color w:val="000000" w:themeColor="text1"/>
              </w:rPr>
              <w:t>0.0092</w:t>
            </w:r>
          </w:p>
        </w:tc>
        <w:tc>
          <w:tcPr>
            <w:tcW w:w="1038" w:type="dxa"/>
            <w:tcBorders>
              <w:top w:val="nil"/>
              <w:bottom w:val="nil"/>
            </w:tcBorders>
            <w:vAlign w:val="center"/>
            <w:hideMark/>
          </w:tcPr>
          <w:p w14:paraId="0DAB55A1" w14:textId="2064B105" w:rsidR="00975EF4" w:rsidRPr="009A7F4E" w:rsidRDefault="00975EF4" w:rsidP="001F201F">
            <w:pPr>
              <w:jc w:val="center"/>
              <w:rPr>
                <w:color w:val="000000" w:themeColor="text1"/>
              </w:rPr>
            </w:pPr>
          </w:p>
        </w:tc>
      </w:tr>
      <w:tr w:rsidR="009A7F4E" w:rsidRPr="009A7F4E" w14:paraId="4BF30079" w14:textId="77777777" w:rsidTr="00B25629">
        <w:trPr>
          <w:tblCellSpacing w:w="15" w:type="dxa"/>
        </w:trPr>
        <w:tc>
          <w:tcPr>
            <w:tcW w:w="2470" w:type="dxa"/>
            <w:tcBorders>
              <w:top w:val="nil"/>
              <w:bottom w:val="nil"/>
            </w:tcBorders>
            <w:vAlign w:val="center"/>
            <w:hideMark/>
          </w:tcPr>
          <w:p w14:paraId="2644CE07" w14:textId="77777777" w:rsidR="00975EF4" w:rsidRPr="009A7F4E" w:rsidRDefault="00975EF4" w:rsidP="00975EF4">
            <w:pPr>
              <w:rPr>
                <w:color w:val="000000" w:themeColor="text1"/>
              </w:rPr>
            </w:pPr>
            <w:r w:rsidRPr="009A7F4E">
              <w:rPr>
                <w:b/>
                <w:bCs/>
                <w:color w:val="000000" w:themeColor="text1"/>
              </w:rPr>
              <w:t>Gastrointestinal</w:t>
            </w:r>
            <w:r w:rsidRPr="009A7F4E">
              <w:rPr>
                <w:color w:val="000000" w:themeColor="text1"/>
              </w:rPr>
              <w:br/>
              <w:t>(e.g., diarrhea, colitis)</w:t>
            </w:r>
          </w:p>
          <w:p w14:paraId="1208E678" w14:textId="77777777" w:rsidR="00975EF4" w:rsidRPr="009A7F4E" w:rsidRDefault="00975EF4" w:rsidP="00975EF4">
            <w:pPr>
              <w:rPr>
                <w:color w:val="000000" w:themeColor="text1"/>
              </w:rPr>
            </w:pPr>
          </w:p>
        </w:tc>
        <w:tc>
          <w:tcPr>
            <w:tcW w:w="1590" w:type="dxa"/>
            <w:tcBorders>
              <w:top w:val="nil"/>
              <w:bottom w:val="nil"/>
            </w:tcBorders>
            <w:vAlign w:val="center"/>
            <w:hideMark/>
          </w:tcPr>
          <w:p w14:paraId="7A7E36D9" w14:textId="06EAE081" w:rsidR="00975EF4" w:rsidRPr="009A7F4E" w:rsidRDefault="00975EF4" w:rsidP="001F201F">
            <w:pPr>
              <w:jc w:val="center"/>
              <w:rPr>
                <w:color w:val="000000" w:themeColor="text1"/>
              </w:rPr>
            </w:pPr>
            <w:r w:rsidRPr="009A7F4E">
              <w:rPr>
                <w:color w:val="000000" w:themeColor="text1"/>
              </w:rPr>
              <w:t>45 (14.</w:t>
            </w:r>
            <w:r w:rsidR="004175CD" w:rsidRPr="009A7F4E">
              <w:rPr>
                <w:color w:val="000000" w:themeColor="text1"/>
              </w:rPr>
              <w:t>3</w:t>
            </w:r>
            <w:r w:rsidRPr="009A7F4E">
              <w:rPr>
                <w:color w:val="000000" w:themeColor="text1"/>
              </w:rPr>
              <w:t>%)</w:t>
            </w:r>
          </w:p>
        </w:tc>
        <w:tc>
          <w:tcPr>
            <w:tcW w:w="1590" w:type="dxa"/>
            <w:tcBorders>
              <w:top w:val="nil"/>
              <w:bottom w:val="nil"/>
            </w:tcBorders>
            <w:vAlign w:val="center"/>
            <w:hideMark/>
          </w:tcPr>
          <w:p w14:paraId="570B2372" w14:textId="1386D001" w:rsidR="00975EF4" w:rsidRPr="009A7F4E" w:rsidRDefault="00975EF4" w:rsidP="001F201F">
            <w:pPr>
              <w:jc w:val="center"/>
              <w:rPr>
                <w:color w:val="000000" w:themeColor="text1"/>
              </w:rPr>
            </w:pPr>
            <w:r w:rsidRPr="009A7F4E">
              <w:rPr>
                <w:color w:val="000000" w:themeColor="text1"/>
              </w:rPr>
              <w:t>0.71</w:t>
            </w:r>
          </w:p>
        </w:tc>
        <w:tc>
          <w:tcPr>
            <w:tcW w:w="1170" w:type="dxa"/>
            <w:tcBorders>
              <w:top w:val="nil"/>
              <w:bottom w:val="nil"/>
            </w:tcBorders>
            <w:vAlign w:val="center"/>
            <w:hideMark/>
          </w:tcPr>
          <w:p w14:paraId="615BB131" w14:textId="7CC6C9F4" w:rsidR="00975EF4" w:rsidRPr="009A7F4E" w:rsidRDefault="00482701" w:rsidP="001F201F">
            <w:pPr>
              <w:jc w:val="center"/>
              <w:rPr>
                <w:color w:val="000000" w:themeColor="text1"/>
              </w:rPr>
            </w:pPr>
            <w:r w:rsidRPr="009A7F4E">
              <w:rPr>
                <w:color w:val="000000" w:themeColor="text1"/>
              </w:rPr>
              <w:t>0.018</w:t>
            </w:r>
          </w:p>
        </w:tc>
        <w:tc>
          <w:tcPr>
            <w:tcW w:w="0" w:type="auto"/>
            <w:tcBorders>
              <w:top w:val="nil"/>
              <w:bottom w:val="nil"/>
            </w:tcBorders>
            <w:vAlign w:val="center"/>
            <w:hideMark/>
          </w:tcPr>
          <w:p w14:paraId="15A98A68" w14:textId="466BBFE9" w:rsidR="00975EF4" w:rsidRPr="009A7F4E" w:rsidRDefault="001F201F" w:rsidP="001F201F">
            <w:pPr>
              <w:jc w:val="center"/>
              <w:rPr>
                <w:color w:val="000000" w:themeColor="text1"/>
              </w:rPr>
            </w:pPr>
            <w:r w:rsidRPr="009A7F4E">
              <w:rPr>
                <w:color w:val="000000" w:themeColor="text1"/>
              </w:rPr>
              <w:t>0.012</w:t>
            </w:r>
            <w:r w:rsidR="00BA1643" w:rsidRPr="009A7F4E">
              <w:rPr>
                <w:color w:val="000000" w:themeColor="text1"/>
              </w:rPr>
              <w:t>8</w:t>
            </w:r>
          </w:p>
        </w:tc>
        <w:tc>
          <w:tcPr>
            <w:tcW w:w="1038" w:type="dxa"/>
            <w:tcBorders>
              <w:top w:val="nil"/>
              <w:bottom w:val="nil"/>
            </w:tcBorders>
            <w:vAlign w:val="center"/>
            <w:hideMark/>
          </w:tcPr>
          <w:p w14:paraId="242F76F3" w14:textId="51E7BF9E" w:rsidR="00975EF4" w:rsidRPr="009A7F4E" w:rsidRDefault="00975EF4" w:rsidP="001F201F">
            <w:pPr>
              <w:jc w:val="center"/>
              <w:rPr>
                <w:color w:val="000000" w:themeColor="text1"/>
              </w:rPr>
            </w:pPr>
          </w:p>
        </w:tc>
      </w:tr>
      <w:tr w:rsidR="009A7F4E" w:rsidRPr="009A7F4E" w14:paraId="565D69B0" w14:textId="77777777" w:rsidTr="00B25629">
        <w:trPr>
          <w:tblCellSpacing w:w="15" w:type="dxa"/>
        </w:trPr>
        <w:tc>
          <w:tcPr>
            <w:tcW w:w="2470" w:type="dxa"/>
            <w:tcBorders>
              <w:top w:val="nil"/>
              <w:bottom w:val="nil"/>
            </w:tcBorders>
            <w:vAlign w:val="center"/>
            <w:hideMark/>
          </w:tcPr>
          <w:p w14:paraId="0437C907" w14:textId="77777777" w:rsidR="00975EF4" w:rsidRPr="009A7F4E" w:rsidRDefault="00975EF4" w:rsidP="00975EF4">
            <w:pPr>
              <w:rPr>
                <w:color w:val="000000" w:themeColor="text1"/>
              </w:rPr>
            </w:pPr>
            <w:r w:rsidRPr="009A7F4E">
              <w:rPr>
                <w:b/>
                <w:bCs/>
                <w:color w:val="000000" w:themeColor="text1"/>
              </w:rPr>
              <w:t>Endocrine</w:t>
            </w:r>
            <w:r w:rsidRPr="009A7F4E">
              <w:rPr>
                <w:color w:val="000000" w:themeColor="text1"/>
              </w:rPr>
              <w:br/>
              <w:t xml:space="preserve">(e.g., hypothyroidism, hyperthyroidism, </w:t>
            </w:r>
            <w:proofErr w:type="spellStart"/>
            <w:r w:rsidRPr="009A7F4E">
              <w:rPr>
                <w:color w:val="000000" w:themeColor="text1"/>
              </w:rPr>
              <w:t>hypophysitis</w:t>
            </w:r>
            <w:proofErr w:type="spellEnd"/>
            <w:r w:rsidRPr="009A7F4E">
              <w:rPr>
                <w:color w:val="000000" w:themeColor="text1"/>
              </w:rPr>
              <w:t>)</w:t>
            </w:r>
          </w:p>
          <w:p w14:paraId="446604A3" w14:textId="77777777" w:rsidR="00975EF4" w:rsidRPr="009A7F4E" w:rsidRDefault="00975EF4" w:rsidP="00975EF4">
            <w:pPr>
              <w:rPr>
                <w:color w:val="000000" w:themeColor="text1"/>
              </w:rPr>
            </w:pPr>
          </w:p>
        </w:tc>
        <w:tc>
          <w:tcPr>
            <w:tcW w:w="1590" w:type="dxa"/>
            <w:tcBorders>
              <w:top w:val="nil"/>
              <w:bottom w:val="nil"/>
            </w:tcBorders>
            <w:vAlign w:val="center"/>
            <w:hideMark/>
          </w:tcPr>
          <w:p w14:paraId="18CCC386" w14:textId="5D0DEB99" w:rsidR="00975EF4" w:rsidRPr="009A7F4E" w:rsidRDefault="00975EF4" w:rsidP="001F201F">
            <w:pPr>
              <w:jc w:val="center"/>
              <w:rPr>
                <w:color w:val="000000" w:themeColor="text1"/>
              </w:rPr>
            </w:pPr>
            <w:r w:rsidRPr="009A7F4E">
              <w:rPr>
                <w:color w:val="000000" w:themeColor="text1"/>
              </w:rPr>
              <w:t>14 (4.5%)</w:t>
            </w:r>
          </w:p>
        </w:tc>
        <w:tc>
          <w:tcPr>
            <w:tcW w:w="1590" w:type="dxa"/>
            <w:tcBorders>
              <w:top w:val="nil"/>
              <w:bottom w:val="nil"/>
            </w:tcBorders>
            <w:vAlign w:val="center"/>
            <w:hideMark/>
          </w:tcPr>
          <w:p w14:paraId="0275AB26" w14:textId="75B37E42" w:rsidR="00975EF4" w:rsidRPr="009A7F4E" w:rsidRDefault="00975EF4" w:rsidP="001F201F">
            <w:pPr>
              <w:jc w:val="center"/>
              <w:rPr>
                <w:color w:val="000000" w:themeColor="text1"/>
              </w:rPr>
            </w:pPr>
            <w:r w:rsidRPr="009A7F4E">
              <w:rPr>
                <w:color w:val="000000" w:themeColor="text1"/>
              </w:rPr>
              <w:t>4.28</w:t>
            </w:r>
          </w:p>
        </w:tc>
        <w:tc>
          <w:tcPr>
            <w:tcW w:w="1170" w:type="dxa"/>
            <w:tcBorders>
              <w:top w:val="nil"/>
              <w:bottom w:val="nil"/>
            </w:tcBorders>
            <w:vAlign w:val="center"/>
            <w:hideMark/>
          </w:tcPr>
          <w:p w14:paraId="77337E82" w14:textId="2444343E" w:rsidR="00975EF4" w:rsidRPr="009A7F4E" w:rsidRDefault="00482701" w:rsidP="001F201F">
            <w:pPr>
              <w:jc w:val="center"/>
              <w:rPr>
                <w:color w:val="000000" w:themeColor="text1"/>
              </w:rPr>
            </w:pPr>
            <w:r w:rsidRPr="009A7F4E">
              <w:rPr>
                <w:color w:val="000000" w:themeColor="text1"/>
              </w:rPr>
              <w:t>0.02</w:t>
            </w:r>
          </w:p>
        </w:tc>
        <w:tc>
          <w:tcPr>
            <w:tcW w:w="0" w:type="auto"/>
            <w:tcBorders>
              <w:top w:val="nil"/>
              <w:bottom w:val="nil"/>
            </w:tcBorders>
            <w:vAlign w:val="center"/>
            <w:hideMark/>
          </w:tcPr>
          <w:p w14:paraId="0D8939CB" w14:textId="1F8A934B" w:rsidR="00975EF4" w:rsidRPr="009A7F4E" w:rsidRDefault="001F201F" w:rsidP="001F201F">
            <w:pPr>
              <w:jc w:val="center"/>
              <w:rPr>
                <w:color w:val="000000" w:themeColor="text1"/>
              </w:rPr>
            </w:pPr>
            <w:r w:rsidRPr="009A7F4E">
              <w:rPr>
                <w:color w:val="000000" w:themeColor="text1"/>
              </w:rPr>
              <w:t>0.0856</w:t>
            </w:r>
          </w:p>
        </w:tc>
        <w:tc>
          <w:tcPr>
            <w:tcW w:w="1038" w:type="dxa"/>
            <w:tcBorders>
              <w:top w:val="nil"/>
              <w:bottom w:val="nil"/>
            </w:tcBorders>
            <w:vAlign w:val="center"/>
            <w:hideMark/>
          </w:tcPr>
          <w:p w14:paraId="647ACED3" w14:textId="42AEF015" w:rsidR="00975EF4" w:rsidRPr="009A7F4E" w:rsidRDefault="00975EF4" w:rsidP="001F201F">
            <w:pPr>
              <w:jc w:val="center"/>
              <w:rPr>
                <w:color w:val="000000" w:themeColor="text1"/>
              </w:rPr>
            </w:pPr>
          </w:p>
        </w:tc>
      </w:tr>
      <w:tr w:rsidR="009A7F4E" w:rsidRPr="009A7F4E" w14:paraId="1A570309" w14:textId="77777777" w:rsidTr="00B25629">
        <w:trPr>
          <w:tblCellSpacing w:w="15" w:type="dxa"/>
        </w:trPr>
        <w:tc>
          <w:tcPr>
            <w:tcW w:w="2470" w:type="dxa"/>
            <w:tcBorders>
              <w:top w:val="nil"/>
              <w:bottom w:val="nil"/>
            </w:tcBorders>
            <w:vAlign w:val="center"/>
            <w:hideMark/>
          </w:tcPr>
          <w:p w14:paraId="6D8ABBD5" w14:textId="77777777" w:rsidR="00975EF4" w:rsidRPr="009A7F4E" w:rsidRDefault="00975EF4" w:rsidP="00975EF4">
            <w:pPr>
              <w:rPr>
                <w:color w:val="000000" w:themeColor="text1"/>
              </w:rPr>
            </w:pPr>
            <w:r w:rsidRPr="009A7F4E">
              <w:rPr>
                <w:b/>
                <w:bCs/>
                <w:color w:val="000000" w:themeColor="text1"/>
              </w:rPr>
              <w:t>Hepatic</w:t>
            </w:r>
            <w:r w:rsidRPr="009A7F4E">
              <w:rPr>
                <w:color w:val="000000" w:themeColor="text1"/>
              </w:rPr>
              <w:br/>
              <w:t>(e.g., elevated ALT, AST)</w:t>
            </w:r>
          </w:p>
          <w:p w14:paraId="58AC7A80" w14:textId="77777777" w:rsidR="00975EF4" w:rsidRPr="009A7F4E" w:rsidRDefault="00975EF4" w:rsidP="00975EF4">
            <w:pPr>
              <w:rPr>
                <w:color w:val="000000" w:themeColor="text1"/>
              </w:rPr>
            </w:pPr>
          </w:p>
        </w:tc>
        <w:tc>
          <w:tcPr>
            <w:tcW w:w="1590" w:type="dxa"/>
            <w:tcBorders>
              <w:top w:val="nil"/>
              <w:bottom w:val="nil"/>
            </w:tcBorders>
            <w:vAlign w:val="center"/>
            <w:hideMark/>
          </w:tcPr>
          <w:p w14:paraId="6BE45A1D" w14:textId="0F780DFF" w:rsidR="00975EF4" w:rsidRPr="009A7F4E" w:rsidRDefault="00975EF4" w:rsidP="001F201F">
            <w:pPr>
              <w:jc w:val="center"/>
              <w:rPr>
                <w:color w:val="000000" w:themeColor="text1"/>
              </w:rPr>
            </w:pPr>
            <w:r w:rsidRPr="009A7F4E">
              <w:rPr>
                <w:color w:val="000000" w:themeColor="text1"/>
              </w:rPr>
              <w:t>40 (12.</w:t>
            </w:r>
            <w:r w:rsidR="004175CD" w:rsidRPr="009A7F4E">
              <w:rPr>
                <w:color w:val="000000" w:themeColor="text1"/>
              </w:rPr>
              <w:t>7</w:t>
            </w:r>
            <w:r w:rsidRPr="009A7F4E">
              <w:rPr>
                <w:color w:val="000000" w:themeColor="text1"/>
              </w:rPr>
              <w:t>%)</w:t>
            </w:r>
          </w:p>
        </w:tc>
        <w:tc>
          <w:tcPr>
            <w:tcW w:w="1590" w:type="dxa"/>
            <w:tcBorders>
              <w:top w:val="nil"/>
              <w:bottom w:val="nil"/>
            </w:tcBorders>
            <w:vAlign w:val="center"/>
            <w:hideMark/>
          </w:tcPr>
          <w:p w14:paraId="3261EDAB" w14:textId="36365417" w:rsidR="00975EF4" w:rsidRPr="009A7F4E" w:rsidRDefault="00975EF4" w:rsidP="001F201F">
            <w:pPr>
              <w:jc w:val="center"/>
              <w:rPr>
                <w:color w:val="000000" w:themeColor="text1"/>
              </w:rPr>
            </w:pPr>
            <w:r w:rsidRPr="009A7F4E">
              <w:rPr>
                <w:color w:val="000000" w:themeColor="text1"/>
              </w:rPr>
              <w:t>0.87</w:t>
            </w:r>
          </w:p>
        </w:tc>
        <w:tc>
          <w:tcPr>
            <w:tcW w:w="1170" w:type="dxa"/>
            <w:tcBorders>
              <w:top w:val="nil"/>
              <w:bottom w:val="nil"/>
            </w:tcBorders>
            <w:vAlign w:val="center"/>
            <w:hideMark/>
          </w:tcPr>
          <w:p w14:paraId="71E77895" w14:textId="67F5446B" w:rsidR="00975EF4" w:rsidRPr="009A7F4E" w:rsidRDefault="00482701" w:rsidP="001F201F">
            <w:pPr>
              <w:jc w:val="center"/>
              <w:rPr>
                <w:color w:val="000000" w:themeColor="text1"/>
              </w:rPr>
            </w:pPr>
            <w:r w:rsidRPr="009A7F4E">
              <w:rPr>
                <w:color w:val="000000" w:themeColor="text1"/>
              </w:rPr>
              <w:t>0.05</w:t>
            </w:r>
          </w:p>
        </w:tc>
        <w:tc>
          <w:tcPr>
            <w:tcW w:w="0" w:type="auto"/>
            <w:tcBorders>
              <w:top w:val="nil"/>
              <w:bottom w:val="nil"/>
            </w:tcBorders>
            <w:vAlign w:val="center"/>
            <w:hideMark/>
          </w:tcPr>
          <w:p w14:paraId="5809E690" w14:textId="7DF08A5D" w:rsidR="00975EF4" w:rsidRPr="009A7F4E" w:rsidRDefault="001F201F" w:rsidP="001F201F">
            <w:pPr>
              <w:jc w:val="center"/>
              <w:rPr>
                <w:color w:val="000000" w:themeColor="text1"/>
              </w:rPr>
            </w:pPr>
            <w:r w:rsidRPr="009A7F4E">
              <w:rPr>
                <w:color w:val="000000" w:themeColor="text1"/>
              </w:rPr>
              <w:t>0.0435</w:t>
            </w:r>
          </w:p>
        </w:tc>
        <w:tc>
          <w:tcPr>
            <w:tcW w:w="1038" w:type="dxa"/>
            <w:tcBorders>
              <w:top w:val="nil"/>
              <w:bottom w:val="nil"/>
            </w:tcBorders>
            <w:vAlign w:val="center"/>
            <w:hideMark/>
          </w:tcPr>
          <w:p w14:paraId="0EDEF483" w14:textId="4C3D2DBF" w:rsidR="00975EF4" w:rsidRPr="009A7F4E" w:rsidRDefault="00975EF4" w:rsidP="001F201F">
            <w:pPr>
              <w:jc w:val="center"/>
              <w:rPr>
                <w:color w:val="000000" w:themeColor="text1"/>
              </w:rPr>
            </w:pPr>
          </w:p>
        </w:tc>
      </w:tr>
      <w:tr w:rsidR="009A7F4E" w:rsidRPr="009A7F4E" w14:paraId="20E39F85" w14:textId="77777777" w:rsidTr="00B25629">
        <w:trPr>
          <w:tblCellSpacing w:w="15" w:type="dxa"/>
        </w:trPr>
        <w:tc>
          <w:tcPr>
            <w:tcW w:w="2470" w:type="dxa"/>
            <w:tcBorders>
              <w:top w:val="nil"/>
              <w:bottom w:val="nil"/>
            </w:tcBorders>
            <w:vAlign w:val="center"/>
          </w:tcPr>
          <w:p w14:paraId="25C38F7F" w14:textId="77777777" w:rsidR="00F941AC" w:rsidRPr="009A7F4E" w:rsidRDefault="00F941AC" w:rsidP="00996F5E">
            <w:pPr>
              <w:rPr>
                <w:b/>
                <w:bCs/>
                <w:color w:val="000000" w:themeColor="text1"/>
              </w:rPr>
            </w:pPr>
          </w:p>
        </w:tc>
        <w:tc>
          <w:tcPr>
            <w:tcW w:w="1590" w:type="dxa"/>
            <w:tcBorders>
              <w:top w:val="nil"/>
              <w:bottom w:val="nil"/>
            </w:tcBorders>
            <w:vAlign w:val="center"/>
          </w:tcPr>
          <w:p w14:paraId="5A64B1AF" w14:textId="77777777" w:rsidR="00F941AC" w:rsidRPr="009A7F4E" w:rsidRDefault="00F941AC" w:rsidP="001F201F">
            <w:pPr>
              <w:jc w:val="center"/>
              <w:rPr>
                <w:color w:val="000000" w:themeColor="text1"/>
              </w:rPr>
            </w:pPr>
          </w:p>
        </w:tc>
        <w:tc>
          <w:tcPr>
            <w:tcW w:w="1590" w:type="dxa"/>
            <w:tcBorders>
              <w:top w:val="nil"/>
              <w:bottom w:val="nil"/>
            </w:tcBorders>
            <w:vAlign w:val="center"/>
          </w:tcPr>
          <w:p w14:paraId="64016967" w14:textId="77777777" w:rsidR="00F941AC" w:rsidRPr="009A7F4E" w:rsidRDefault="00F941AC" w:rsidP="001F201F">
            <w:pPr>
              <w:jc w:val="center"/>
              <w:rPr>
                <w:color w:val="000000" w:themeColor="text1"/>
              </w:rPr>
            </w:pPr>
          </w:p>
        </w:tc>
        <w:tc>
          <w:tcPr>
            <w:tcW w:w="1170" w:type="dxa"/>
            <w:tcBorders>
              <w:top w:val="nil"/>
              <w:bottom w:val="nil"/>
            </w:tcBorders>
            <w:vAlign w:val="center"/>
          </w:tcPr>
          <w:p w14:paraId="253584AA" w14:textId="77777777" w:rsidR="00F941AC" w:rsidRPr="009A7F4E" w:rsidRDefault="00F941AC" w:rsidP="001F201F">
            <w:pPr>
              <w:jc w:val="center"/>
              <w:rPr>
                <w:color w:val="000000" w:themeColor="text1"/>
              </w:rPr>
            </w:pPr>
          </w:p>
        </w:tc>
        <w:tc>
          <w:tcPr>
            <w:tcW w:w="0" w:type="auto"/>
            <w:tcBorders>
              <w:top w:val="nil"/>
              <w:bottom w:val="nil"/>
            </w:tcBorders>
            <w:vAlign w:val="center"/>
          </w:tcPr>
          <w:p w14:paraId="112F24FC" w14:textId="77777777" w:rsidR="00F941AC" w:rsidRPr="009A7F4E" w:rsidRDefault="00F941AC" w:rsidP="001F201F">
            <w:pPr>
              <w:jc w:val="center"/>
              <w:rPr>
                <w:color w:val="000000" w:themeColor="text1"/>
              </w:rPr>
            </w:pPr>
          </w:p>
        </w:tc>
        <w:tc>
          <w:tcPr>
            <w:tcW w:w="1038" w:type="dxa"/>
            <w:tcBorders>
              <w:top w:val="nil"/>
              <w:bottom w:val="nil"/>
            </w:tcBorders>
            <w:vAlign w:val="center"/>
          </w:tcPr>
          <w:p w14:paraId="58AA8600" w14:textId="77777777" w:rsidR="00F941AC" w:rsidRPr="009A7F4E" w:rsidRDefault="00F941AC" w:rsidP="001F201F">
            <w:pPr>
              <w:jc w:val="center"/>
              <w:rPr>
                <w:color w:val="000000" w:themeColor="text1"/>
              </w:rPr>
            </w:pPr>
          </w:p>
        </w:tc>
      </w:tr>
      <w:tr w:rsidR="009A7F4E" w:rsidRPr="009A7F4E" w14:paraId="44126541" w14:textId="77777777" w:rsidTr="00B25629">
        <w:trPr>
          <w:tblCellSpacing w:w="15" w:type="dxa"/>
        </w:trPr>
        <w:tc>
          <w:tcPr>
            <w:tcW w:w="2470" w:type="dxa"/>
            <w:tcBorders>
              <w:top w:val="nil"/>
              <w:bottom w:val="nil"/>
            </w:tcBorders>
            <w:vAlign w:val="center"/>
          </w:tcPr>
          <w:p w14:paraId="455F1EBE" w14:textId="63847123" w:rsidR="00F941AC" w:rsidRPr="009A7F4E" w:rsidRDefault="00F941AC" w:rsidP="00996F5E">
            <w:pPr>
              <w:rPr>
                <w:i/>
                <w:iCs/>
                <w:color w:val="000000" w:themeColor="text1"/>
              </w:rPr>
            </w:pPr>
            <w:r w:rsidRPr="009A7F4E">
              <w:rPr>
                <w:i/>
                <w:iCs/>
                <w:color w:val="000000" w:themeColor="text1"/>
              </w:rPr>
              <w:t>Weighted average</w:t>
            </w:r>
          </w:p>
        </w:tc>
        <w:tc>
          <w:tcPr>
            <w:tcW w:w="1590" w:type="dxa"/>
            <w:tcBorders>
              <w:top w:val="nil"/>
              <w:bottom w:val="nil"/>
            </w:tcBorders>
            <w:vAlign w:val="center"/>
          </w:tcPr>
          <w:p w14:paraId="6D2B42C0" w14:textId="209A55B8" w:rsidR="00F941AC" w:rsidRPr="009A7F4E" w:rsidRDefault="00F941AC" w:rsidP="001F201F">
            <w:pPr>
              <w:jc w:val="center"/>
              <w:rPr>
                <w:color w:val="000000" w:themeColor="text1"/>
              </w:rPr>
            </w:pPr>
            <w:r w:rsidRPr="009A7F4E">
              <w:rPr>
                <w:color w:val="000000" w:themeColor="text1"/>
              </w:rPr>
              <w:t>—</w:t>
            </w:r>
          </w:p>
        </w:tc>
        <w:tc>
          <w:tcPr>
            <w:tcW w:w="1590" w:type="dxa"/>
            <w:tcBorders>
              <w:top w:val="nil"/>
              <w:bottom w:val="nil"/>
            </w:tcBorders>
            <w:vAlign w:val="center"/>
          </w:tcPr>
          <w:p w14:paraId="2FACB6E3" w14:textId="5BD73927" w:rsidR="00F941AC" w:rsidRPr="009A7F4E" w:rsidRDefault="00F941AC" w:rsidP="001F201F">
            <w:pPr>
              <w:jc w:val="center"/>
              <w:rPr>
                <w:color w:val="000000" w:themeColor="text1"/>
              </w:rPr>
            </w:pPr>
            <w:r w:rsidRPr="009A7F4E">
              <w:rPr>
                <w:color w:val="000000" w:themeColor="text1"/>
              </w:rPr>
              <w:t>—</w:t>
            </w:r>
          </w:p>
        </w:tc>
        <w:tc>
          <w:tcPr>
            <w:tcW w:w="1170" w:type="dxa"/>
            <w:tcBorders>
              <w:top w:val="nil"/>
              <w:bottom w:val="nil"/>
            </w:tcBorders>
            <w:vAlign w:val="center"/>
          </w:tcPr>
          <w:p w14:paraId="0FF0F4F7" w14:textId="061040A1" w:rsidR="00F941AC" w:rsidRPr="009A7F4E" w:rsidRDefault="001F201F" w:rsidP="001F201F">
            <w:pPr>
              <w:jc w:val="center"/>
              <w:rPr>
                <w:color w:val="000000" w:themeColor="text1"/>
              </w:rPr>
            </w:pPr>
            <w:r w:rsidRPr="009A7F4E">
              <w:rPr>
                <w:color w:val="000000" w:themeColor="text1"/>
              </w:rPr>
              <w:t>—</w:t>
            </w:r>
          </w:p>
        </w:tc>
        <w:tc>
          <w:tcPr>
            <w:tcW w:w="0" w:type="auto"/>
            <w:tcBorders>
              <w:top w:val="nil"/>
              <w:bottom w:val="nil"/>
            </w:tcBorders>
            <w:vAlign w:val="center"/>
          </w:tcPr>
          <w:p w14:paraId="29F25AAF" w14:textId="6146927E" w:rsidR="00F941AC" w:rsidRPr="009A7F4E" w:rsidRDefault="001F201F" w:rsidP="001F201F">
            <w:pPr>
              <w:jc w:val="center"/>
              <w:rPr>
                <w:color w:val="000000" w:themeColor="text1"/>
              </w:rPr>
            </w:pPr>
            <w:r w:rsidRPr="009A7F4E">
              <w:rPr>
                <w:color w:val="000000" w:themeColor="text1"/>
              </w:rPr>
              <w:t>0.012</w:t>
            </w:r>
          </w:p>
        </w:tc>
        <w:tc>
          <w:tcPr>
            <w:tcW w:w="1038" w:type="dxa"/>
            <w:tcBorders>
              <w:top w:val="nil"/>
              <w:bottom w:val="nil"/>
            </w:tcBorders>
            <w:vAlign w:val="center"/>
          </w:tcPr>
          <w:p w14:paraId="518DB2D5" w14:textId="4532409C" w:rsidR="00F941AC" w:rsidRPr="009A7F4E" w:rsidRDefault="008A5062" w:rsidP="001F201F">
            <w:pPr>
              <w:jc w:val="center"/>
              <w:rPr>
                <w:color w:val="000000" w:themeColor="text1"/>
              </w:rPr>
            </w:pPr>
            <w:r w:rsidRPr="009A7F4E">
              <w:rPr>
                <w:color w:val="000000" w:themeColor="text1"/>
              </w:rPr>
              <w:t>—</w:t>
            </w:r>
          </w:p>
        </w:tc>
      </w:tr>
      <w:tr w:rsidR="009A7F4E" w:rsidRPr="009A7F4E" w14:paraId="727C72E3" w14:textId="77777777" w:rsidTr="00B25629">
        <w:trPr>
          <w:tblCellSpacing w:w="15" w:type="dxa"/>
        </w:trPr>
        <w:tc>
          <w:tcPr>
            <w:tcW w:w="2470" w:type="dxa"/>
            <w:tcBorders>
              <w:top w:val="nil"/>
              <w:bottom w:val="single" w:sz="4" w:space="0" w:color="auto"/>
            </w:tcBorders>
            <w:vAlign w:val="center"/>
            <w:hideMark/>
          </w:tcPr>
          <w:p w14:paraId="278BAEAB" w14:textId="77777777" w:rsidR="00996F5E" w:rsidRPr="009A7F4E" w:rsidRDefault="00996F5E" w:rsidP="00996F5E">
            <w:pPr>
              <w:rPr>
                <w:color w:val="000000" w:themeColor="text1"/>
              </w:rPr>
            </w:pPr>
            <w:r w:rsidRPr="009A7F4E">
              <w:rPr>
                <w:b/>
                <w:bCs/>
                <w:color w:val="000000" w:themeColor="text1"/>
              </w:rPr>
              <w:t>Any AE Leading to Discontinuation</w:t>
            </w:r>
          </w:p>
        </w:tc>
        <w:tc>
          <w:tcPr>
            <w:tcW w:w="1590" w:type="dxa"/>
            <w:tcBorders>
              <w:top w:val="nil"/>
              <w:bottom w:val="single" w:sz="4" w:space="0" w:color="auto"/>
            </w:tcBorders>
            <w:vAlign w:val="center"/>
            <w:hideMark/>
          </w:tcPr>
          <w:p w14:paraId="34B89F07" w14:textId="77777777" w:rsidR="00996F5E" w:rsidRPr="009A7F4E" w:rsidRDefault="00996F5E" w:rsidP="001F201F">
            <w:pPr>
              <w:jc w:val="center"/>
              <w:rPr>
                <w:color w:val="000000" w:themeColor="text1"/>
              </w:rPr>
            </w:pPr>
            <w:r w:rsidRPr="009A7F4E">
              <w:rPr>
                <w:color w:val="000000" w:themeColor="text1"/>
              </w:rPr>
              <w:t>105 (33.5%)</w:t>
            </w:r>
          </w:p>
        </w:tc>
        <w:tc>
          <w:tcPr>
            <w:tcW w:w="1590" w:type="dxa"/>
            <w:tcBorders>
              <w:top w:val="nil"/>
              <w:bottom w:val="single" w:sz="4" w:space="0" w:color="auto"/>
            </w:tcBorders>
            <w:vAlign w:val="center"/>
            <w:hideMark/>
          </w:tcPr>
          <w:p w14:paraId="29B99F45" w14:textId="081323F5" w:rsidR="00996F5E" w:rsidRPr="009A7F4E" w:rsidRDefault="001F201F" w:rsidP="001F201F">
            <w:pPr>
              <w:jc w:val="center"/>
              <w:rPr>
                <w:color w:val="000000" w:themeColor="text1"/>
              </w:rPr>
            </w:pPr>
            <w:r w:rsidRPr="009A7F4E">
              <w:rPr>
                <w:color w:val="000000" w:themeColor="text1"/>
              </w:rPr>
              <w:t>—</w:t>
            </w:r>
          </w:p>
        </w:tc>
        <w:tc>
          <w:tcPr>
            <w:tcW w:w="1170" w:type="dxa"/>
            <w:tcBorders>
              <w:top w:val="nil"/>
              <w:bottom w:val="single" w:sz="4" w:space="0" w:color="auto"/>
            </w:tcBorders>
            <w:vAlign w:val="center"/>
            <w:hideMark/>
          </w:tcPr>
          <w:p w14:paraId="511FD7BB" w14:textId="1895A078" w:rsidR="00996F5E" w:rsidRPr="009A7F4E" w:rsidRDefault="00F941AC" w:rsidP="001F201F">
            <w:pPr>
              <w:jc w:val="center"/>
              <w:rPr>
                <w:color w:val="000000" w:themeColor="text1"/>
              </w:rPr>
            </w:pPr>
            <w:r w:rsidRPr="009A7F4E">
              <w:rPr>
                <w:color w:val="000000" w:themeColor="text1"/>
              </w:rPr>
              <w:t>—</w:t>
            </w:r>
          </w:p>
        </w:tc>
        <w:tc>
          <w:tcPr>
            <w:tcW w:w="0" w:type="auto"/>
            <w:tcBorders>
              <w:top w:val="nil"/>
              <w:bottom w:val="single" w:sz="4" w:space="0" w:color="auto"/>
            </w:tcBorders>
            <w:vAlign w:val="center"/>
            <w:hideMark/>
          </w:tcPr>
          <w:p w14:paraId="4DA40D94" w14:textId="77777777" w:rsidR="00996F5E" w:rsidRPr="009A7F4E" w:rsidRDefault="00996F5E" w:rsidP="001F201F">
            <w:pPr>
              <w:jc w:val="center"/>
              <w:rPr>
                <w:color w:val="000000" w:themeColor="text1"/>
              </w:rPr>
            </w:pPr>
            <w:r w:rsidRPr="009A7F4E">
              <w:rPr>
                <w:color w:val="000000" w:themeColor="text1"/>
              </w:rPr>
              <w:t>—</w:t>
            </w:r>
          </w:p>
        </w:tc>
        <w:tc>
          <w:tcPr>
            <w:tcW w:w="1038" w:type="dxa"/>
            <w:tcBorders>
              <w:top w:val="nil"/>
              <w:bottom w:val="single" w:sz="4" w:space="0" w:color="auto"/>
            </w:tcBorders>
            <w:vAlign w:val="center"/>
            <w:hideMark/>
          </w:tcPr>
          <w:p w14:paraId="29A9CF24" w14:textId="61573615" w:rsidR="00996F5E" w:rsidRPr="009A7F4E" w:rsidRDefault="001F201F" w:rsidP="001F201F">
            <w:pPr>
              <w:jc w:val="center"/>
              <w:rPr>
                <w:color w:val="000000" w:themeColor="text1"/>
              </w:rPr>
            </w:pPr>
            <w:r w:rsidRPr="009A7F4E">
              <w:rPr>
                <w:color w:val="000000" w:themeColor="text1"/>
              </w:rPr>
              <w:t>—</w:t>
            </w:r>
          </w:p>
        </w:tc>
      </w:tr>
      <w:tr w:rsidR="009A7F4E" w:rsidRPr="009A7F4E" w14:paraId="458B9DD5" w14:textId="77777777" w:rsidTr="00B25629">
        <w:trPr>
          <w:tblCellSpacing w:w="15" w:type="dxa"/>
        </w:trPr>
        <w:tc>
          <w:tcPr>
            <w:tcW w:w="2470" w:type="dxa"/>
            <w:vAlign w:val="center"/>
          </w:tcPr>
          <w:p w14:paraId="19187ED9" w14:textId="5E111A53" w:rsidR="00FE4DAA" w:rsidRPr="009A7F4E" w:rsidRDefault="00FE4DAA" w:rsidP="00FE4DAA">
            <w:pPr>
              <w:rPr>
                <w:i/>
                <w:iCs/>
                <w:color w:val="000000" w:themeColor="text1"/>
                <w:u w:val="single"/>
              </w:rPr>
            </w:pPr>
            <w:r w:rsidRPr="009A7F4E">
              <w:rPr>
                <w:i/>
                <w:iCs/>
                <w:color w:val="000000" w:themeColor="text1"/>
                <w:u w:val="single"/>
              </w:rPr>
              <w:t>NIVO (N=31</w:t>
            </w:r>
            <w:r w:rsidR="004175CD" w:rsidRPr="009A7F4E">
              <w:rPr>
                <w:i/>
                <w:iCs/>
                <w:color w:val="000000" w:themeColor="text1"/>
                <w:u w:val="single"/>
              </w:rPr>
              <w:t>6</w:t>
            </w:r>
            <w:r w:rsidRPr="009A7F4E">
              <w:rPr>
                <w:i/>
                <w:iCs/>
                <w:color w:val="000000" w:themeColor="text1"/>
                <w:u w:val="single"/>
              </w:rPr>
              <w:t>)</w:t>
            </w:r>
          </w:p>
        </w:tc>
        <w:tc>
          <w:tcPr>
            <w:tcW w:w="1590" w:type="dxa"/>
            <w:vAlign w:val="center"/>
          </w:tcPr>
          <w:p w14:paraId="5BC6F9A9" w14:textId="77777777" w:rsidR="00FE4DAA" w:rsidRPr="009A7F4E" w:rsidRDefault="00FE4DAA" w:rsidP="001F201F">
            <w:pPr>
              <w:jc w:val="center"/>
              <w:rPr>
                <w:color w:val="000000" w:themeColor="text1"/>
              </w:rPr>
            </w:pPr>
          </w:p>
        </w:tc>
        <w:tc>
          <w:tcPr>
            <w:tcW w:w="1590" w:type="dxa"/>
            <w:vAlign w:val="center"/>
          </w:tcPr>
          <w:p w14:paraId="7B64B663" w14:textId="77777777" w:rsidR="00FE4DAA" w:rsidRPr="009A7F4E" w:rsidRDefault="00FE4DAA" w:rsidP="001F201F">
            <w:pPr>
              <w:jc w:val="center"/>
              <w:rPr>
                <w:color w:val="000000" w:themeColor="text1"/>
              </w:rPr>
            </w:pPr>
          </w:p>
        </w:tc>
        <w:tc>
          <w:tcPr>
            <w:tcW w:w="1170" w:type="dxa"/>
            <w:vAlign w:val="center"/>
          </w:tcPr>
          <w:p w14:paraId="61B5E6AE" w14:textId="77777777" w:rsidR="00FE4DAA" w:rsidRPr="009A7F4E" w:rsidRDefault="00FE4DAA" w:rsidP="001F201F">
            <w:pPr>
              <w:jc w:val="center"/>
              <w:rPr>
                <w:color w:val="000000" w:themeColor="text1"/>
              </w:rPr>
            </w:pPr>
          </w:p>
        </w:tc>
        <w:tc>
          <w:tcPr>
            <w:tcW w:w="0" w:type="auto"/>
            <w:vAlign w:val="center"/>
          </w:tcPr>
          <w:p w14:paraId="1A5F7EA6" w14:textId="77777777" w:rsidR="00FE4DAA" w:rsidRPr="009A7F4E" w:rsidRDefault="00FE4DAA" w:rsidP="001F201F">
            <w:pPr>
              <w:jc w:val="center"/>
              <w:rPr>
                <w:color w:val="000000" w:themeColor="text1"/>
              </w:rPr>
            </w:pPr>
          </w:p>
        </w:tc>
        <w:tc>
          <w:tcPr>
            <w:tcW w:w="1038" w:type="dxa"/>
            <w:vAlign w:val="center"/>
          </w:tcPr>
          <w:p w14:paraId="5C8A6D2F" w14:textId="77777777" w:rsidR="00FE4DAA" w:rsidRPr="009A7F4E" w:rsidRDefault="00FE4DAA" w:rsidP="001F201F">
            <w:pPr>
              <w:jc w:val="center"/>
              <w:rPr>
                <w:color w:val="000000" w:themeColor="text1"/>
              </w:rPr>
            </w:pPr>
          </w:p>
        </w:tc>
      </w:tr>
      <w:tr w:rsidR="009A7F4E" w:rsidRPr="009A7F4E" w14:paraId="187EE702" w14:textId="77777777" w:rsidTr="00B25629">
        <w:trPr>
          <w:tblCellSpacing w:w="15" w:type="dxa"/>
        </w:trPr>
        <w:tc>
          <w:tcPr>
            <w:tcW w:w="2470" w:type="dxa"/>
            <w:vAlign w:val="center"/>
          </w:tcPr>
          <w:p w14:paraId="1A7DBBCF" w14:textId="1C2F00BD" w:rsidR="001F201F" w:rsidRPr="009A7F4E" w:rsidRDefault="001F201F" w:rsidP="001F201F">
            <w:pPr>
              <w:rPr>
                <w:color w:val="000000" w:themeColor="text1"/>
              </w:rPr>
            </w:pPr>
            <w:r w:rsidRPr="009A7F4E">
              <w:rPr>
                <w:b/>
                <w:bCs/>
                <w:color w:val="000000" w:themeColor="text1"/>
              </w:rPr>
              <w:t>Skin</w:t>
            </w:r>
            <w:r w:rsidRPr="009A7F4E">
              <w:rPr>
                <w:color w:val="000000" w:themeColor="text1"/>
              </w:rPr>
              <w:br/>
              <w:t>(e.g., rash, pruritus, maculopapular rash, vitiligo)</w:t>
            </w:r>
          </w:p>
        </w:tc>
        <w:tc>
          <w:tcPr>
            <w:tcW w:w="1590" w:type="dxa"/>
            <w:vAlign w:val="center"/>
          </w:tcPr>
          <w:p w14:paraId="649ABE3A" w14:textId="3A58FA70" w:rsidR="001F201F" w:rsidRPr="009A7F4E" w:rsidRDefault="001F201F" w:rsidP="001F201F">
            <w:pPr>
              <w:jc w:val="center"/>
              <w:rPr>
                <w:color w:val="000000" w:themeColor="text1"/>
              </w:rPr>
            </w:pPr>
            <w:r w:rsidRPr="009A7F4E">
              <w:rPr>
                <w:color w:val="000000" w:themeColor="text1"/>
              </w:rPr>
              <w:t>4 (1.3%)</w:t>
            </w:r>
          </w:p>
        </w:tc>
        <w:tc>
          <w:tcPr>
            <w:tcW w:w="1590" w:type="dxa"/>
            <w:vAlign w:val="center"/>
          </w:tcPr>
          <w:p w14:paraId="1F80A298" w14:textId="37B1D8DA" w:rsidR="001F201F" w:rsidRPr="009A7F4E" w:rsidRDefault="001F201F" w:rsidP="001F201F">
            <w:pPr>
              <w:jc w:val="center"/>
              <w:rPr>
                <w:color w:val="000000" w:themeColor="text1"/>
              </w:rPr>
            </w:pPr>
            <w:r w:rsidRPr="009A7F4E">
              <w:rPr>
                <w:color w:val="000000" w:themeColor="text1"/>
              </w:rPr>
              <w:t>0.94</w:t>
            </w:r>
          </w:p>
        </w:tc>
        <w:tc>
          <w:tcPr>
            <w:tcW w:w="1170" w:type="dxa"/>
            <w:vAlign w:val="center"/>
          </w:tcPr>
          <w:p w14:paraId="24EA6DCC" w14:textId="0A3CDE97" w:rsidR="001F201F" w:rsidRPr="009A7F4E" w:rsidRDefault="001F201F" w:rsidP="001F201F">
            <w:pPr>
              <w:jc w:val="center"/>
              <w:rPr>
                <w:color w:val="000000" w:themeColor="text1"/>
              </w:rPr>
            </w:pPr>
            <w:r w:rsidRPr="009A7F4E">
              <w:rPr>
                <w:color w:val="000000" w:themeColor="text1"/>
              </w:rPr>
              <w:t>0.013</w:t>
            </w:r>
          </w:p>
        </w:tc>
        <w:tc>
          <w:tcPr>
            <w:tcW w:w="0" w:type="auto"/>
            <w:vAlign w:val="center"/>
          </w:tcPr>
          <w:p w14:paraId="5082F703" w14:textId="3B0EC341" w:rsidR="001F201F" w:rsidRPr="009A7F4E" w:rsidRDefault="008A7F98" w:rsidP="001F201F">
            <w:pPr>
              <w:jc w:val="center"/>
              <w:rPr>
                <w:color w:val="000000" w:themeColor="text1"/>
              </w:rPr>
            </w:pPr>
            <w:r w:rsidRPr="009A7F4E">
              <w:rPr>
                <w:color w:val="000000" w:themeColor="text1"/>
              </w:rPr>
              <w:t>0.0122</w:t>
            </w:r>
          </w:p>
        </w:tc>
        <w:tc>
          <w:tcPr>
            <w:tcW w:w="1038" w:type="dxa"/>
            <w:vAlign w:val="center"/>
          </w:tcPr>
          <w:p w14:paraId="4B4B0801" w14:textId="77777777" w:rsidR="001F201F" w:rsidRPr="009A7F4E" w:rsidRDefault="001F201F" w:rsidP="001F201F">
            <w:pPr>
              <w:jc w:val="center"/>
              <w:rPr>
                <w:color w:val="000000" w:themeColor="text1"/>
              </w:rPr>
            </w:pPr>
          </w:p>
        </w:tc>
      </w:tr>
      <w:tr w:rsidR="009A7F4E" w:rsidRPr="009A7F4E" w14:paraId="430676E7" w14:textId="77777777" w:rsidTr="00B25629">
        <w:trPr>
          <w:tblCellSpacing w:w="15" w:type="dxa"/>
        </w:trPr>
        <w:tc>
          <w:tcPr>
            <w:tcW w:w="2470" w:type="dxa"/>
            <w:vAlign w:val="center"/>
          </w:tcPr>
          <w:p w14:paraId="5770E6A1" w14:textId="523C08FB" w:rsidR="001F201F" w:rsidRPr="009A7F4E" w:rsidRDefault="001F201F" w:rsidP="001F201F">
            <w:pPr>
              <w:rPr>
                <w:color w:val="000000" w:themeColor="text1"/>
              </w:rPr>
            </w:pPr>
            <w:r w:rsidRPr="009A7F4E">
              <w:rPr>
                <w:b/>
                <w:bCs/>
                <w:color w:val="000000" w:themeColor="text1"/>
              </w:rPr>
              <w:t>Gastrointestinal</w:t>
            </w:r>
            <w:r w:rsidRPr="009A7F4E">
              <w:rPr>
                <w:color w:val="000000" w:themeColor="text1"/>
              </w:rPr>
              <w:br/>
              <w:t>(e.g., diarrhea, colitis)</w:t>
            </w:r>
          </w:p>
        </w:tc>
        <w:tc>
          <w:tcPr>
            <w:tcW w:w="1590" w:type="dxa"/>
            <w:vAlign w:val="center"/>
          </w:tcPr>
          <w:p w14:paraId="214CA374" w14:textId="2EADACA6" w:rsidR="001F201F" w:rsidRPr="009A7F4E" w:rsidRDefault="001F201F" w:rsidP="001F201F">
            <w:pPr>
              <w:jc w:val="center"/>
              <w:rPr>
                <w:color w:val="000000" w:themeColor="text1"/>
              </w:rPr>
            </w:pPr>
            <w:r w:rsidRPr="009A7F4E">
              <w:rPr>
                <w:color w:val="000000" w:themeColor="text1"/>
              </w:rPr>
              <w:t>8 (2.</w:t>
            </w:r>
            <w:r w:rsidR="004175CD" w:rsidRPr="009A7F4E">
              <w:rPr>
                <w:color w:val="000000" w:themeColor="text1"/>
              </w:rPr>
              <w:t>5</w:t>
            </w:r>
            <w:r w:rsidRPr="009A7F4E">
              <w:rPr>
                <w:color w:val="000000" w:themeColor="text1"/>
              </w:rPr>
              <w:t>%)</w:t>
            </w:r>
          </w:p>
        </w:tc>
        <w:tc>
          <w:tcPr>
            <w:tcW w:w="1590" w:type="dxa"/>
            <w:vAlign w:val="center"/>
          </w:tcPr>
          <w:p w14:paraId="14276160" w14:textId="37D5CC79" w:rsidR="001F201F" w:rsidRPr="009A7F4E" w:rsidRDefault="001F201F" w:rsidP="001F201F">
            <w:pPr>
              <w:jc w:val="center"/>
              <w:rPr>
                <w:color w:val="000000" w:themeColor="text1"/>
              </w:rPr>
            </w:pPr>
            <w:r w:rsidRPr="009A7F4E">
              <w:rPr>
                <w:color w:val="000000" w:themeColor="text1"/>
              </w:rPr>
              <w:t>1.24</w:t>
            </w:r>
          </w:p>
        </w:tc>
        <w:tc>
          <w:tcPr>
            <w:tcW w:w="1170" w:type="dxa"/>
            <w:vAlign w:val="center"/>
          </w:tcPr>
          <w:p w14:paraId="45CF573F" w14:textId="5C33EC18" w:rsidR="001F201F" w:rsidRPr="009A7F4E" w:rsidRDefault="001F201F" w:rsidP="001F201F">
            <w:pPr>
              <w:jc w:val="center"/>
              <w:rPr>
                <w:color w:val="000000" w:themeColor="text1"/>
              </w:rPr>
            </w:pPr>
            <w:r w:rsidRPr="009A7F4E">
              <w:rPr>
                <w:color w:val="000000" w:themeColor="text1"/>
              </w:rPr>
              <w:t>0.018</w:t>
            </w:r>
          </w:p>
        </w:tc>
        <w:tc>
          <w:tcPr>
            <w:tcW w:w="0" w:type="auto"/>
            <w:vAlign w:val="center"/>
          </w:tcPr>
          <w:p w14:paraId="3E52EEA5" w14:textId="53AB23B9" w:rsidR="001F201F" w:rsidRPr="009A7F4E" w:rsidRDefault="008A7F98" w:rsidP="001F201F">
            <w:pPr>
              <w:jc w:val="center"/>
              <w:rPr>
                <w:color w:val="000000" w:themeColor="text1"/>
              </w:rPr>
            </w:pPr>
            <w:r w:rsidRPr="009A7F4E">
              <w:rPr>
                <w:color w:val="000000" w:themeColor="text1"/>
              </w:rPr>
              <w:t>0.0223</w:t>
            </w:r>
          </w:p>
        </w:tc>
        <w:tc>
          <w:tcPr>
            <w:tcW w:w="1038" w:type="dxa"/>
            <w:vAlign w:val="center"/>
          </w:tcPr>
          <w:p w14:paraId="0E99F2DB" w14:textId="77777777" w:rsidR="001F201F" w:rsidRPr="009A7F4E" w:rsidRDefault="001F201F" w:rsidP="001F201F">
            <w:pPr>
              <w:jc w:val="center"/>
              <w:rPr>
                <w:color w:val="000000" w:themeColor="text1"/>
              </w:rPr>
            </w:pPr>
          </w:p>
        </w:tc>
      </w:tr>
      <w:tr w:rsidR="009A7F4E" w:rsidRPr="009A7F4E" w14:paraId="063BB72B" w14:textId="77777777" w:rsidTr="00B25629">
        <w:trPr>
          <w:tblCellSpacing w:w="15" w:type="dxa"/>
        </w:trPr>
        <w:tc>
          <w:tcPr>
            <w:tcW w:w="2470" w:type="dxa"/>
            <w:vAlign w:val="center"/>
          </w:tcPr>
          <w:p w14:paraId="6A0C505C" w14:textId="64317978" w:rsidR="001F201F" w:rsidRPr="009A7F4E" w:rsidRDefault="001F201F" w:rsidP="001F201F">
            <w:pPr>
              <w:rPr>
                <w:color w:val="000000" w:themeColor="text1"/>
              </w:rPr>
            </w:pPr>
            <w:r w:rsidRPr="009A7F4E">
              <w:rPr>
                <w:b/>
                <w:bCs/>
                <w:color w:val="000000" w:themeColor="text1"/>
              </w:rPr>
              <w:t>Endocrine</w:t>
            </w:r>
            <w:r w:rsidRPr="009A7F4E">
              <w:rPr>
                <w:color w:val="000000" w:themeColor="text1"/>
              </w:rPr>
              <w:br/>
              <w:t xml:space="preserve">(e.g., hypothyroidism, hyperthyroidism, </w:t>
            </w:r>
            <w:proofErr w:type="spellStart"/>
            <w:r w:rsidRPr="009A7F4E">
              <w:rPr>
                <w:color w:val="000000" w:themeColor="text1"/>
              </w:rPr>
              <w:t>hypophysitis</w:t>
            </w:r>
            <w:proofErr w:type="spellEnd"/>
            <w:r w:rsidRPr="009A7F4E">
              <w:rPr>
                <w:color w:val="000000" w:themeColor="text1"/>
              </w:rPr>
              <w:t>)</w:t>
            </w:r>
          </w:p>
        </w:tc>
        <w:tc>
          <w:tcPr>
            <w:tcW w:w="1590" w:type="dxa"/>
            <w:vAlign w:val="center"/>
          </w:tcPr>
          <w:p w14:paraId="7573CE75" w14:textId="26697E61" w:rsidR="001F201F" w:rsidRPr="009A7F4E" w:rsidRDefault="001F201F" w:rsidP="001F201F">
            <w:pPr>
              <w:jc w:val="center"/>
              <w:rPr>
                <w:color w:val="000000" w:themeColor="text1"/>
              </w:rPr>
            </w:pPr>
            <w:r w:rsidRPr="009A7F4E">
              <w:rPr>
                <w:color w:val="000000" w:themeColor="text1"/>
              </w:rPr>
              <w:t>3 (</w:t>
            </w:r>
            <w:r w:rsidR="004175CD" w:rsidRPr="009A7F4E">
              <w:rPr>
                <w:color w:val="000000" w:themeColor="text1"/>
              </w:rPr>
              <w:t>0</w:t>
            </w:r>
            <w:r w:rsidRPr="009A7F4E">
              <w:rPr>
                <w:color w:val="000000" w:themeColor="text1"/>
              </w:rPr>
              <w:t>.</w:t>
            </w:r>
            <w:r w:rsidR="004175CD" w:rsidRPr="009A7F4E">
              <w:rPr>
                <w:color w:val="000000" w:themeColor="text1"/>
              </w:rPr>
              <w:t>9</w:t>
            </w:r>
            <w:r w:rsidRPr="009A7F4E">
              <w:rPr>
                <w:color w:val="000000" w:themeColor="text1"/>
              </w:rPr>
              <w:t>%)</w:t>
            </w:r>
          </w:p>
        </w:tc>
        <w:tc>
          <w:tcPr>
            <w:tcW w:w="1590" w:type="dxa"/>
            <w:vAlign w:val="center"/>
          </w:tcPr>
          <w:p w14:paraId="76C45410" w14:textId="417187A0" w:rsidR="001F201F" w:rsidRPr="009A7F4E" w:rsidRDefault="001F201F" w:rsidP="001F201F">
            <w:pPr>
              <w:jc w:val="center"/>
              <w:rPr>
                <w:color w:val="000000" w:themeColor="text1"/>
                <w:vertAlign w:val="superscript"/>
              </w:rPr>
            </w:pPr>
            <w:r w:rsidRPr="009A7F4E">
              <w:rPr>
                <w:color w:val="000000" w:themeColor="text1"/>
              </w:rPr>
              <w:t>NR</w:t>
            </w:r>
            <w:r w:rsidR="007A0F1B" w:rsidRPr="009A7F4E">
              <w:rPr>
                <w:color w:val="000000" w:themeColor="text1"/>
                <w:vertAlign w:val="superscript"/>
              </w:rPr>
              <w:t>*</w:t>
            </w:r>
          </w:p>
        </w:tc>
        <w:tc>
          <w:tcPr>
            <w:tcW w:w="1170" w:type="dxa"/>
            <w:vAlign w:val="center"/>
          </w:tcPr>
          <w:p w14:paraId="64D9E9DD" w14:textId="4EF5391F" w:rsidR="001F201F" w:rsidRPr="009A7F4E" w:rsidRDefault="001F201F" w:rsidP="001F201F">
            <w:pPr>
              <w:jc w:val="center"/>
              <w:rPr>
                <w:color w:val="000000" w:themeColor="text1"/>
              </w:rPr>
            </w:pPr>
            <w:r w:rsidRPr="009A7F4E">
              <w:rPr>
                <w:color w:val="000000" w:themeColor="text1"/>
              </w:rPr>
              <w:t>0.02</w:t>
            </w:r>
          </w:p>
        </w:tc>
        <w:tc>
          <w:tcPr>
            <w:tcW w:w="0" w:type="auto"/>
            <w:vAlign w:val="center"/>
          </w:tcPr>
          <w:p w14:paraId="16EDAD76" w14:textId="1B8FF268" w:rsidR="001F201F" w:rsidRPr="009A7F4E" w:rsidRDefault="008A7F98" w:rsidP="001F201F">
            <w:pPr>
              <w:jc w:val="center"/>
              <w:rPr>
                <w:color w:val="000000" w:themeColor="text1"/>
              </w:rPr>
            </w:pPr>
            <w:r w:rsidRPr="009A7F4E">
              <w:rPr>
                <w:color w:val="000000" w:themeColor="text1"/>
              </w:rPr>
              <w:t>0.0856</w:t>
            </w:r>
          </w:p>
        </w:tc>
        <w:tc>
          <w:tcPr>
            <w:tcW w:w="1038" w:type="dxa"/>
            <w:vAlign w:val="center"/>
          </w:tcPr>
          <w:p w14:paraId="37244A1B" w14:textId="77777777" w:rsidR="001F201F" w:rsidRPr="009A7F4E" w:rsidRDefault="001F201F" w:rsidP="001F201F">
            <w:pPr>
              <w:jc w:val="center"/>
              <w:rPr>
                <w:color w:val="000000" w:themeColor="text1"/>
              </w:rPr>
            </w:pPr>
          </w:p>
        </w:tc>
      </w:tr>
      <w:tr w:rsidR="009A7F4E" w:rsidRPr="009A7F4E" w14:paraId="36FB2CF1" w14:textId="77777777" w:rsidTr="00B25629">
        <w:trPr>
          <w:tblCellSpacing w:w="15" w:type="dxa"/>
        </w:trPr>
        <w:tc>
          <w:tcPr>
            <w:tcW w:w="2470" w:type="dxa"/>
            <w:vAlign w:val="center"/>
          </w:tcPr>
          <w:p w14:paraId="3BEE996E" w14:textId="590DED33" w:rsidR="001F201F" w:rsidRPr="009A7F4E" w:rsidRDefault="001F201F" w:rsidP="001F201F">
            <w:pPr>
              <w:rPr>
                <w:color w:val="000000" w:themeColor="text1"/>
              </w:rPr>
            </w:pPr>
            <w:r w:rsidRPr="009A7F4E">
              <w:rPr>
                <w:b/>
                <w:bCs/>
                <w:color w:val="000000" w:themeColor="text1"/>
              </w:rPr>
              <w:lastRenderedPageBreak/>
              <w:t>Hepatic</w:t>
            </w:r>
            <w:r w:rsidRPr="009A7F4E">
              <w:rPr>
                <w:color w:val="000000" w:themeColor="text1"/>
              </w:rPr>
              <w:br/>
              <w:t>(e.g., elevated ALT, AST)</w:t>
            </w:r>
          </w:p>
        </w:tc>
        <w:tc>
          <w:tcPr>
            <w:tcW w:w="1590" w:type="dxa"/>
            <w:vAlign w:val="center"/>
          </w:tcPr>
          <w:p w14:paraId="4B80DC43" w14:textId="37D36EF1" w:rsidR="001F201F" w:rsidRPr="009A7F4E" w:rsidRDefault="001F201F" w:rsidP="001F201F">
            <w:pPr>
              <w:jc w:val="center"/>
              <w:rPr>
                <w:color w:val="000000" w:themeColor="text1"/>
              </w:rPr>
            </w:pPr>
            <w:r w:rsidRPr="009A7F4E">
              <w:rPr>
                <w:color w:val="000000" w:themeColor="text1"/>
              </w:rPr>
              <w:t>7 (2.2%)</w:t>
            </w:r>
          </w:p>
        </w:tc>
        <w:tc>
          <w:tcPr>
            <w:tcW w:w="1590" w:type="dxa"/>
            <w:vAlign w:val="center"/>
          </w:tcPr>
          <w:p w14:paraId="298EE53C" w14:textId="41E08508" w:rsidR="001F201F" w:rsidRPr="009A7F4E" w:rsidRDefault="001F201F" w:rsidP="001F201F">
            <w:pPr>
              <w:jc w:val="center"/>
              <w:rPr>
                <w:color w:val="000000" w:themeColor="text1"/>
              </w:rPr>
            </w:pPr>
            <w:r w:rsidRPr="009A7F4E">
              <w:rPr>
                <w:color w:val="000000" w:themeColor="text1"/>
              </w:rPr>
              <w:t>1.84</w:t>
            </w:r>
          </w:p>
        </w:tc>
        <w:tc>
          <w:tcPr>
            <w:tcW w:w="1170" w:type="dxa"/>
            <w:vAlign w:val="center"/>
          </w:tcPr>
          <w:p w14:paraId="69FD020A" w14:textId="309D4363" w:rsidR="001F201F" w:rsidRPr="009A7F4E" w:rsidRDefault="001F201F" w:rsidP="001F201F">
            <w:pPr>
              <w:jc w:val="center"/>
              <w:rPr>
                <w:color w:val="000000" w:themeColor="text1"/>
              </w:rPr>
            </w:pPr>
            <w:r w:rsidRPr="009A7F4E">
              <w:rPr>
                <w:color w:val="000000" w:themeColor="text1"/>
              </w:rPr>
              <w:t>0.05</w:t>
            </w:r>
          </w:p>
        </w:tc>
        <w:tc>
          <w:tcPr>
            <w:tcW w:w="0" w:type="auto"/>
            <w:vAlign w:val="center"/>
          </w:tcPr>
          <w:p w14:paraId="2A443245" w14:textId="6E1BC2F1" w:rsidR="001F201F" w:rsidRPr="009A7F4E" w:rsidRDefault="008A7F98" w:rsidP="001F201F">
            <w:pPr>
              <w:jc w:val="center"/>
              <w:rPr>
                <w:color w:val="000000" w:themeColor="text1"/>
              </w:rPr>
            </w:pPr>
            <w:r w:rsidRPr="009A7F4E">
              <w:rPr>
                <w:color w:val="000000" w:themeColor="text1"/>
              </w:rPr>
              <w:t>0.092</w:t>
            </w:r>
          </w:p>
        </w:tc>
        <w:tc>
          <w:tcPr>
            <w:tcW w:w="1038" w:type="dxa"/>
            <w:vAlign w:val="center"/>
          </w:tcPr>
          <w:p w14:paraId="1549457B" w14:textId="77777777" w:rsidR="001F201F" w:rsidRPr="009A7F4E" w:rsidRDefault="001F201F" w:rsidP="001F201F">
            <w:pPr>
              <w:jc w:val="center"/>
              <w:rPr>
                <w:color w:val="000000" w:themeColor="text1"/>
              </w:rPr>
            </w:pPr>
          </w:p>
        </w:tc>
      </w:tr>
      <w:tr w:rsidR="009A7F4E" w:rsidRPr="009A7F4E" w14:paraId="3393A8BC" w14:textId="77777777" w:rsidTr="00B25629">
        <w:trPr>
          <w:trHeight w:val="36"/>
          <w:tblCellSpacing w:w="15" w:type="dxa"/>
        </w:trPr>
        <w:tc>
          <w:tcPr>
            <w:tcW w:w="2470" w:type="dxa"/>
            <w:vAlign w:val="center"/>
          </w:tcPr>
          <w:p w14:paraId="747375E7" w14:textId="77777777" w:rsidR="001F201F" w:rsidRPr="009A7F4E" w:rsidRDefault="001F201F" w:rsidP="001F201F">
            <w:pPr>
              <w:rPr>
                <w:i/>
                <w:iCs/>
                <w:color w:val="000000" w:themeColor="text1"/>
              </w:rPr>
            </w:pPr>
          </w:p>
        </w:tc>
        <w:tc>
          <w:tcPr>
            <w:tcW w:w="1590" w:type="dxa"/>
            <w:vAlign w:val="center"/>
          </w:tcPr>
          <w:p w14:paraId="0C7F1E4D" w14:textId="77777777" w:rsidR="001F201F" w:rsidRPr="009A7F4E" w:rsidRDefault="001F201F" w:rsidP="001F201F">
            <w:pPr>
              <w:jc w:val="center"/>
              <w:rPr>
                <w:color w:val="000000" w:themeColor="text1"/>
              </w:rPr>
            </w:pPr>
          </w:p>
        </w:tc>
        <w:tc>
          <w:tcPr>
            <w:tcW w:w="1590" w:type="dxa"/>
            <w:vAlign w:val="center"/>
          </w:tcPr>
          <w:p w14:paraId="03BA1B5C" w14:textId="77777777" w:rsidR="001F201F" w:rsidRPr="009A7F4E" w:rsidRDefault="001F201F" w:rsidP="001F201F">
            <w:pPr>
              <w:jc w:val="center"/>
              <w:rPr>
                <w:color w:val="000000" w:themeColor="text1"/>
              </w:rPr>
            </w:pPr>
          </w:p>
        </w:tc>
        <w:tc>
          <w:tcPr>
            <w:tcW w:w="1170" w:type="dxa"/>
            <w:vAlign w:val="center"/>
          </w:tcPr>
          <w:p w14:paraId="15B8526B" w14:textId="77777777" w:rsidR="001F201F" w:rsidRPr="009A7F4E" w:rsidRDefault="001F201F" w:rsidP="001F201F">
            <w:pPr>
              <w:jc w:val="center"/>
              <w:rPr>
                <w:color w:val="000000" w:themeColor="text1"/>
              </w:rPr>
            </w:pPr>
          </w:p>
        </w:tc>
        <w:tc>
          <w:tcPr>
            <w:tcW w:w="0" w:type="auto"/>
            <w:vAlign w:val="center"/>
          </w:tcPr>
          <w:p w14:paraId="5B3E9CF9" w14:textId="77777777" w:rsidR="001F201F" w:rsidRPr="009A7F4E" w:rsidRDefault="001F201F" w:rsidP="001F201F">
            <w:pPr>
              <w:jc w:val="center"/>
              <w:rPr>
                <w:color w:val="000000" w:themeColor="text1"/>
              </w:rPr>
            </w:pPr>
          </w:p>
        </w:tc>
        <w:tc>
          <w:tcPr>
            <w:tcW w:w="1038" w:type="dxa"/>
            <w:vAlign w:val="center"/>
          </w:tcPr>
          <w:p w14:paraId="0C18EEF3" w14:textId="77777777" w:rsidR="001F201F" w:rsidRPr="009A7F4E" w:rsidRDefault="001F201F" w:rsidP="001F201F">
            <w:pPr>
              <w:jc w:val="center"/>
              <w:rPr>
                <w:color w:val="000000" w:themeColor="text1"/>
              </w:rPr>
            </w:pPr>
          </w:p>
        </w:tc>
      </w:tr>
      <w:tr w:rsidR="009A7F4E" w:rsidRPr="009A7F4E" w14:paraId="30BFF627" w14:textId="77777777" w:rsidTr="00B25629">
        <w:trPr>
          <w:trHeight w:val="36"/>
          <w:tblCellSpacing w:w="15" w:type="dxa"/>
        </w:trPr>
        <w:tc>
          <w:tcPr>
            <w:tcW w:w="2470" w:type="dxa"/>
            <w:vAlign w:val="center"/>
          </w:tcPr>
          <w:p w14:paraId="5CF7E84D" w14:textId="3D21A813" w:rsidR="008A5062" w:rsidRPr="009A7F4E" w:rsidRDefault="008A5062" w:rsidP="008A5062">
            <w:pPr>
              <w:rPr>
                <w:b/>
                <w:bCs/>
                <w:color w:val="000000" w:themeColor="text1"/>
              </w:rPr>
            </w:pPr>
            <w:r w:rsidRPr="009A7F4E">
              <w:rPr>
                <w:i/>
                <w:iCs/>
                <w:color w:val="000000" w:themeColor="text1"/>
              </w:rPr>
              <w:t>Weighted average</w:t>
            </w:r>
          </w:p>
        </w:tc>
        <w:tc>
          <w:tcPr>
            <w:tcW w:w="1590" w:type="dxa"/>
            <w:vAlign w:val="center"/>
          </w:tcPr>
          <w:p w14:paraId="2D97A824" w14:textId="4F39C77B" w:rsidR="008A5062" w:rsidRPr="009A7F4E" w:rsidRDefault="008A5062" w:rsidP="008A5062">
            <w:pPr>
              <w:jc w:val="center"/>
              <w:rPr>
                <w:color w:val="000000" w:themeColor="text1"/>
              </w:rPr>
            </w:pPr>
            <w:r w:rsidRPr="009A7F4E">
              <w:rPr>
                <w:color w:val="000000" w:themeColor="text1"/>
              </w:rPr>
              <w:t>—</w:t>
            </w:r>
          </w:p>
        </w:tc>
        <w:tc>
          <w:tcPr>
            <w:tcW w:w="1590" w:type="dxa"/>
            <w:vAlign w:val="center"/>
          </w:tcPr>
          <w:p w14:paraId="2E1A4293" w14:textId="20AFFB6E" w:rsidR="008A5062" w:rsidRPr="009A7F4E" w:rsidRDefault="008A5062" w:rsidP="008A5062">
            <w:pPr>
              <w:jc w:val="center"/>
              <w:rPr>
                <w:color w:val="000000" w:themeColor="text1"/>
              </w:rPr>
            </w:pPr>
            <w:r w:rsidRPr="009A7F4E">
              <w:rPr>
                <w:color w:val="000000" w:themeColor="text1"/>
              </w:rPr>
              <w:t>—</w:t>
            </w:r>
          </w:p>
        </w:tc>
        <w:tc>
          <w:tcPr>
            <w:tcW w:w="1170" w:type="dxa"/>
            <w:vAlign w:val="center"/>
          </w:tcPr>
          <w:p w14:paraId="4078BE8B" w14:textId="1A4D7717" w:rsidR="008A5062" w:rsidRPr="009A7F4E" w:rsidRDefault="008A5062" w:rsidP="008A5062">
            <w:pPr>
              <w:jc w:val="center"/>
              <w:rPr>
                <w:color w:val="000000" w:themeColor="text1"/>
              </w:rPr>
            </w:pPr>
            <w:r w:rsidRPr="009A7F4E">
              <w:rPr>
                <w:color w:val="000000" w:themeColor="text1"/>
              </w:rPr>
              <w:t>—</w:t>
            </w:r>
          </w:p>
        </w:tc>
        <w:tc>
          <w:tcPr>
            <w:tcW w:w="0" w:type="auto"/>
            <w:vAlign w:val="center"/>
          </w:tcPr>
          <w:p w14:paraId="7332BCB9" w14:textId="0896BDBB" w:rsidR="008A5062" w:rsidRPr="009A7F4E" w:rsidRDefault="00BA1643" w:rsidP="008A5062">
            <w:pPr>
              <w:jc w:val="center"/>
              <w:rPr>
                <w:color w:val="000000" w:themeColor="text1"/>
              </w:rPr>
            </w:pPr>
            <w:r w:rsidRPr="009A7F4E">
              <w:rPr>
                <w:color w:val="000000" w:themeColor="text1"/>
              </w:rPr>
              <w:t>0.0036</w:t>
            </w:r>
          </w:p>
        </w:tc>
        <w:tc>
          <w:tcPr>
            <w:tcW w:w="1038" w:type="dxa"/>
            <w:vAlign w:val="center"/>
          </w:tcPr>
          <w:p w14:paraId="7C7F0A6D" w14:textId="795A78D6" w:rsidR="008A5062" w:rsidRPr="009A7F4E" w:rsidRDefault="008A5062" w:rsidP="008A5062">
            <w:pPr>
              <w:jc w:val="center"/>
              <w:rPr>
                <w:color w:val="000000" w:themeColor="text1"/>
              </w:rPr>
            </w:pPr>
            <w:r w:rsidRPr="009A7F4E">
              <w:rPr>
                <w:color w:val="000000" w:themeColor="text1"/>
              </w:rPr>
              <w:t>—</w:t>
            </w:r>
          </w:p>
        </w:tc>
      </w:tr>
      <w:tr w:rsidR="008A5062" w:rsidRPr="009A7F4E" w14:paraId="5A63A811" w14:textId="77777777" w:rsidTr="00B25629">
        <w:trPr>
          <w:tblCellSpacing w:w="15" w:type="dxa"/>
        </w:trPr>
        <w:tc>
          <w:tcPr>
            <w:tcW w:w="2470" w:type="dxa"/>
            <w:vAlign w:val="center"/>
          </w:tcPr>
          <w:p w14:paraId="4F530810" w14:textId="586B8A7B" w:rsidR="008A5062" w:rsidRPr="009A7F4E" w:rsidRDefault="008A5062" w:rsidP="008A5062">
            <w:pPr>
              <w:rPr>
                <w:b/>
                <w:bCs/>
                <w:color w:val="000000" w:themeColor="text1"/>
              </w:rPr>
            </w:pPr>
            <w:r w:rsidRPr="009A7F4E">
              <w:rPr>
                <w:b/>
                <w:bCs/>
                <w:color w:val="000000" w:themeColor="text1"/>
              </w:rPr>
              <w:t>Any AE Leading to Discontinuation</w:t>
            </w:r>
          </w:p>
        </w:tc>
        <w:tc>
          <w:tcPr>
            <w:tcW w:w="1590" w:type="dxa"/>
            <w:vAlign w:val="center"/>
          </w:tcPr>
          <w:p w14:paraId="3F693C1B" w14:textId="1387718A" w:rsidR="008A5062" w:rsidRPr="009A7F4E" w:rsidRDefault="008A5062" w:rsidP="008A5062">
            <w:pPr>
              <w:jc w:val="center"/>
              <w:rPr>
                <w:color w:val="000000" w:themeColor="text1"/>
              </w:rPr>
            </w:pPr>
            <w:r w:rsidRPr="009A7F4E">
              <w:rPr>
                <w:color w:val="000000" w:themeColor="text1"/>
              </w:rPr>
              <w:t>29 (9.3%)</w:t>
            </w:r>
          </w:p>
        </w:tc>
        <w:tc>
          <w:tcPr>
            <w:tcW w:w="1590" w:type="dxa"/>
            <w:vAlign w:val="center"/>
          </w:tcPr>
          <w:p w14:paraId="4333C009" w14:textId="011FEC69" w:rsidR="008A5062" w:rsidRPr="009A7F4E" w:rsidRDefault="008A5062" w:rsidP="008A5062">
            <w:pPr>
              <w:jc w:val="center"/>
              <w:rPr>
                <w:color w:val="000000" w:themeColor="text1"/>
              </w:rPr>
            </w:pPr>
            <w:r w:rsidRPr="009A7F4E">
              <w:rPr>
                <w:color w:val="000000" w:themeColor="text1"/>
              </w:rPr>
              <w:t>—</w:t>
            </w:r>
          </w:p>
        </w:tc>
        <w:tc>
          <w:tcPr>
            <w:tcW w:w="1170" w:type="dxa"/>
            <w:vAlign w:val="center"/>
          </w:tcPr>
          <w:p w14:paraId="335AE626" w14:textId="40BD1B96" w:rsidR="008A5062" w:rsidRPr="009A7F4E" w:rsidRDefault="008A5062" w:rsidP="008A5062">
            <w:pPr>
              <w:jc w:val="center"/>
              <w:rPr>
                <w:color w:val="000000" w:themeColor="text1"/>
              </w:rPr>
            </w:pPr>
            <w:r w:rsidRPr="009A7F4E">
              <w:rPr>
                <w:color w:val="000000" w:themeColor="text1"/>
              </w:rPr>
              <w:t>—</w:t>
            </w:r>
          </w:p>
        </w:tc>
        <w:tc>
          <w:tcPr>
            <w:tcW w:w="0" w:type="auto"/>
            <w:vAlign w:val="center"/>
          </w:tcPr>
          <w:p w14:paraId="413C0138" w14:textId="31D8201D" w:rsidR="008A5062" w:rsidRPr="009A7F4E" w:rsidRDefault="008A5062" w:rsidP="008A5062">
            <w:pPr>
              <w:jc w:val="center"/>
              <w:rPr>
                <w:color w:val="000000" w:themeColor="text1"/>
              </w:rPr>
            </w:pPr>
            <w:r w:rsidRPr="009A7F4E">
              <w:rPr>
                <w:color w:val="000000" w:themeColor="text1"/>
              </w:rPr>
              <w:t>—</w:t>
            </w:r>
          </w:p>
        </w:tc>
        <w:tc>
          <w:tcPr>
            <w:tcW w:w="1038" w:type="dxa"/>
            <w:vAlign w:val="center"/>
          </w:tcPr>
          <w:p w14:paraId="36078AC6" w14:textId="4B54B693" w:rsidR="008A5062" w:rsidRPr="009A7F4E" w:rsidRDefault="008A5062" w:rsidP="008A5062">
            <w:pPr>
              <w:jc w:val="center"/>
              <w:rPr>
                <w:color w:val="000000" w:themeColor="text1"/>
              </w:rPr>
            </w:pPr>
            <w:r w:rsidRPr="009A7F4E">
              <w:rPr>
                <w:color w:val="000000" w:themeColor="text1"/>
              </w:rPr>
              <w:t>—</w:t>
            </w:r>
          </w:p>
        </w:tc>
      </w:tr>
    </w:tbl>
    <w:p w14:paraId="547DDDA7" w14:textId="6136A274" w:rsidR="00996F5E" w:rsidRPr="009A7F4E" w:rsidRDefault="00996F5E" w:rsidP="00996F5E">
      <w:pPr>
        <w:spacing w:before="100" w:beforeAutospacing="1" w:after="100" w:afterAutospacing="1"/>
        <w:rPr>
          <w:color w:val="000000" w:themeColor="text1"/>
        </w:rPr>
      </w:pPr>
    </w:p>
    <w:p w14:paraId="0B9FFE8A" w14:textId="77777777" w:rsidR="00BF5343" w:rsidRPr="009A7F4E" w:rsidRDefault="00BF5343" w:rsidP="00996F5E">
      <w:pPr>
        <w:spacing w:before="100" w:beforeAutospacing="1" w:after="100" w:afterAutospacing="1"/>
        <w:rPr>
          <w:color w:val="000000" w:themeColor="text1"/>
        </w:rPr>
      </w:pPr>
    </w:p>
    <w:p w14:paraId="2A4B6649" w14:textId="77777777" w:rsidR="0018414C" w:rsidRPr="009A7F4E" w:rsidRDefault="0018414C" w:rsidP="0018414C">
      <w:pPr>
        <w:spacing w:before="100" w:beforeAutospacing="1" w:after="100" w:afterAutospacing="1"/>
        <w:outlineLvl w:val="0"/>
        <w:rPr>
          <w:b/>
          <w:bCs/>
          <w:color w:val="000000" w:themeColor="text1"/>
          <w:kern w:val="36"/>
        </w:rPr>
      </w:pPr>
      <w:proofErr w:type="spellStart"/>
      <w:r w:rsidRPr="009A7F4E">
        <w:rPr>
          <w:b/>
          <w:bCs/>
          <w:color w:val="000000" w:themeColor="text1"/>
          <w:kern w:val="36"/>
        </w:rPr>
        <w:t>eMethods</w:t>
      </w:r>
      <w:proofErr w:type="spellEnd"/>
      <w:r w:rsidRPr="009A7F4E">
        <w:rPr>
          <w:b/>
          <w:bCs/>
          <w:color w:val="000000" w:themeColor="text1"/>
          <w:kern w:val="36"/>
        </w:rPr>
        <w:t xml:space="preserve"> - Partitioned Survival Analysis for Advanced Melanoma Treatment</w:t>
      </w:r>
    </w:p>
    <w:p w14:paraId="299FBDB0" w14:textId="77777777" w:rsidR="0018414C" w:rsidRPr="009A7F4E" w:rsidRDefault="0018414C" w:rsidP="0018414C">
      <w:pPr>
        <w:spacing w:before="100" w:beforeAutospacing="1" w:after="100" w:afterAutospacing="1"/>
        <w:outlineLvl w:val="1"/>
        <w:rPr>
          <w:b/>
          <w:bCs/>
          <w:color w:val="000000" w:themeColor="text1"/>
        </w:rPr>
      </w:pPr>
      <w:r w:rsidRPr="009A7F4E">
        <w:rPr>
          <w:b/>
          <w:bCs/>
          <w:color w:val="000000" w:themeColor="text1"/>
        </w:rPr>
        <w:t>1. Model Structure and Design</w:t>
      </w:r>
    </w:p>
    <w:p w14:paraId="703CC122" w14:textId="77777777" w:rsidR="0018414C" w:rsidRPr="009A7F4E" w:rsidRDefault="0018414C" w:rsidP="0018414C">
      <w:pPr>
        <w:spacing w:before="100" w:beforeAutospacing="1" w:after="100" w:afterAutospacing="1"/>
        <w:rPr>
          <w:color w:val="000000" w:themeColor="text1"/>
        </w:rPr>
      </w:pPr>
      <w:r w:rsidRPr="009A7F4E">
        <w:rPr>
          <w:color w:val="000000" w:themeColor="text1"/>
        </w:rPr>
        <w:t xml:space="preserve">Our cost-effectiveness analysis employed a partitioned survival model with three health states: progression-free disease, progressed disease, and death. This structure reflects the natural history of advanced melanoma and aligns with established practice in oncology modeling. State occupancy was derived directly from parametric survival curves fitted to the </w:t>
      </w:r>
      <w:proofErr w:type="spellStart"/>
      <w:r w:rsidRPr="009A7F4E">
        <w:rPr>
          <w:color w:val="000000" w:themeColor="text1"/>
        </w:rPr>
        <w:t>CheckMate</w:t>
      </w:r>
      <w:proofErr w:type="spellEnd"/>
      <w:r w:rsidRPr="009A7F4E">
        <w:rPr>
          <w:color w:val="000000" w:themeColor="text1"/>
        </w:rPr>
        <w:t xml:space="preserve"> 067 trial data with 10-year follow-up.</w:t>
      </w:r>
    </w:p>
    <w:p w14:paraId="65CA1808" w14:textId="77777777" w:rsidR="0018414C" w:rsidRPr="009A7F4E" w:rsidRDefault="0018414C" w:rsidP="0018414C">
      <w:pPr>
        <w:spacing w:before="100" w:beforeAutospacing="1" w:after="100" w:afterAutospacing="1"/>
        <w:rPr>
          <w:color w:val="000000" w:themeColor="text1"/>
        </w:rPr>
      </w:pPr>
      <w:r w:rsidRPr="009A7F4E">
        <w:rPr>
          <w:color w:val="000000" w:themeColor="text1"/>
        </w:rPr>
        <w:t xml:space="preserve">The model used a 10-year (120-month) time horizon corresponding to the maximum follow-up period in the </w:t>
      </w:r>
      <w:proofErr w:type="spellStart"/>
      <w:r w:rsidRPr="009A7F4E">
        <w:rPr>
          <w:color w:val="000000" w:themeColor="text1"/>
        </w:rPr>
        <w:t>CheckMate</w:t>
      </w:r>
      <w:proofErr w:type="spellEnd"/>
      <w:r w:rsidRPr="009A7F4E">
        <w:rPr>
          <w:color w:val="000000" w:themeColor="text1"/>
        </w:rPr>
        <w:t xml:space="preserve"> 067 trial. Monthly cycles were implemented to capture treatment dynamics with sufficient granularity, and a standard 3% annual discount rate was applied to both costs and outcomes following health economic guidelines.</w:t>
      </w:r>
    </w:p>
    <w:p w14:paraId="1508CD4A" w14:textId="77777777" w:rsidR="0018414C" w:rsidRPr="009A7F4E" w:rsidRDefault="0018414C" w:rsidP="0018414C">
      <w:pPr>
        <w:spacing w:before="100" w:beforeAutospacing="1" w:after="100" w:afterAutospacing="1"/>
        <w:outlineLvl w:val="1"/>
        <w:rPr>
          <w:b/>
          <w:bCs/>
          <w:color w:val="000000" w:themeColor="text1"/>
        </w:rPr>
      </w:pPr>
      <w:r w:rsidRPr="009A7F4E">
        <w:rPr>
          <w:b/>
          <w:bCs/>
          <w:color w:val="000000" w:themeColor="text1"/>
        </w:rPr>
        <w:t>2. Survival Analysis and Data Extraction</w:t>
      </w:r>
    </w:p>
    <w:p w14:paraId="0DB85652" w14:textId="77777777" w:rsidR="0018414C" w:rsidRPr="009A7F4E" w:rsidRDefault="0018414C" w:rsidP="0018414C">
      <w:pPr>
        <w:spacing w:before="100" w:beforeAutospacing="1" w:after="100" w:afterAutospacing="1"/>
        <w:outlineLvl w:val="2"/>
        <w:rPr>
          <w:b/>
          <w:bCs/>
          <w:color w:val="000000" w:themeColor="text1"/>
        </w:rPr>
      </w:pPr>
      <w:r w:rsidRPr="009A7F4E">
        <w:rPr>
          <w:b/>
          <w:bCs/>
          <w:color w:val="000000" w:themeColor="text1"/>
        </w:rPr>
        <w:t>Digitization of Survival Curves</w:t>
      </w:r>
    </w:p>
    <w:p w14:paraId="73D4315F" w14:textId="77777777" w:rsidR="0018414C" w:rsidRPr="009A7F4E" w:rsidRDefault="0018414C" w:rsidP="0018414C">
      <w:pPr>
        <w:spacing w:before="100" w:beforeAutospacing="1" w:after="100" w:afterAutospacing="1"/>
        <w:rPr>
          <w:color w:val="000000" w:themeColor="text1"/>
        </w:rPr>
      </w:pPr>
      <w:r w:rsidRPr="009A7F4E">
        <w:rPr>
          <w:color w:val="000000" w:themeColor="text1"/>
        </w:rPr>
        <w:t xml:space="preserve">To obtain patient-level data for our analysis, we digitized the published Kaplan-Meier curves from the </w:t>
      </w:r>
      <w:proofErr w:type="spellStart"/>
      <w:r w:rsidRPr="009A7F4E">
        <w:rPr>
          <w:color w:val="000000" w:themeColor="text1"/>
        </w:rPr>
        <w:t>CheckMate</w:t>
      </w:r>
      <w:proofErr w:type="spellEnd"/>
      <w:r w:rsidRPr="009A7F4E">
        <w:rPr>
          <w:color w:val="000000" w:themeColor="text1"/>
        </w:rPr>
        <w:t xml:space="preserve"> 067 trial using the </w:t>
      </w:r>
      <w:proofErr w:type="spellStart"/>
      <w:r w:rsidRPr="009A7F4E">
        <w:rPr>
          <w:color w:val="000000" w:themeColor="text1"/>
        </w:rPr>
        <w:t>IPDfromKM</w:t>
      </w:r>
      <w:proofErr w:type="spellEnd"/>
      <w:r w:rsidRPr="009A7F4E">
        <w:rPr>
          <w:color w:val="000000" w:themeColor="text1"/>
        </w:rPr>
        <w:t xml:space="preserve"> package in R. This algorithm reconstructs individual patient data by iteratively estimating the underlying individual event and censoring times that would generate the published survival curves. This approach allowed us to work with reconstructed individual-level data rather than relying solely on published summary statistics.</w:t>
      </w:r>
    </w:p>
    <w:p w14:paraId="2E770273" w14:textId="77777777" w:rsidR="0018414C" w:rsidRPr="009A7F4E" w:rsidRDefault="0018414C" w:rsidP="0018414C">
      <w:pPr>
        <w:spacing w:before="100" w:beforeAutospacing="1" w:after="100" w:afterAutospacing="1"/>
        <w:outlineLvl w:val="2"/>
        <w:rPr>
          <w:b/>
          <w:bCs/>
          <w:color w:val="000000" w:themeColor="text1"/>
        </w:rPr>
      </w:pPr>
      <w:r w:rsidRPr="009A7F4E">
        <w:rPr>
          <w:b/>
          <w:bCs/>
          <w:color w:val="000000" w:themeColor="text1"/>
        </w:rPr>
        <w:t>Parametric Modeling Approach</w:t>
      </w:r>
    </w:p>
    <w:p w14:paraId="26A5AFB3" w14:textId="77777777" w:rsidR="0018414C" w:rsidRPr="009A7F4E" w:rsidRDefault="0018414C" w:rsidP="0018414C">
      <w:pPr>
        <w:spacing w:before="100" w:beforeAutospacing="1" w:after="100" w:afterAutospacing="1"/>
        <w:rPr>
          <w:color w:val="000000" w:themeColor="text1"/>
        </w:rPr>
      </w:pPr>
      <w:r w:rsidRPr="009A7F4E">
        <w:rPr>
          <w:color w:val="000000" w:themeColor="text1"/>
        </w:rPr>
        <w:t>We fitted natural cubic spline models to the reconstructed patient-level data for both overall survival (OS) and progression-free survival (PFS). Natural splines were selected after comparison with standard parametric distributions (Weibull, exponential, log-normal, log-</w:t>
      </w:r>
      <w:r w:rsidRPr="009A7F4E">
        <w:rPr>
          <w:color w:val="000000" w:themeColor="text1"/>
        </w:rPr>
        <w:lastRenderedPageBreak/>
        <w:t>logistic, Gompertz, and generalized gamma), as they provided superior fit to the observed data, particularly for capturing the plateau in the survival curves characteristic of immunotherapy.</w:t>
      </w:r>
    </w:p>
    <w:p w14:paraId="3D52292A" w14:textId="77777777" w:rsidR="0018414C" w:rsidRPr="009A7F4E" w:rsidRDefault="0018414C" w:rsidP="0018414C">
      <w:pPr>
        <w:spacing w:before="100" w:beforeAutospacing="1" w:after="100" w:afterAutospacing="1"/>
        <w:rPr>
          <w:color w:val="000000" w:themeColor="text1"/>
        </w:rPr>
      </w:pPr>
      <w:r w:rsidRPr="009A7F4E">
        <w:rPr>
          <w:color w:val="000000" w:themeColor="text1"/>
        </w:rPr>
        <w:t xml:space="preserve">The spline models were fitted independently to each treatment arm's data due to clear violations of the proportional </w:t>
      </w:r>
      <w:proofErr w:type="gramStart"/>
      <w:r w:rsidRPr="009A7F4E">
        <w:rPr>
          <w:color w:val="000000" w:themeColor="text1"/>
        </w:rPr>
        <w:t>hazards</w:t>
      </w:r>
      <w:proofErr w:type="gramEnd"/>
      <w:r w:rsidRPr="009A7F4E">
        <w:rPr>
          <w:color w:val="000000" w:themeColor="text1"/>
        </w:rPr>
        <w:t xml:space="preserve"> assumption, as evidenced by log-log plots and statistical testing. This approach ensures that treatment-specific survival patterns are accurately captured.</w:t>
      </w:r>
    </w:p>
    <w:p w14:paraId="14020082" w14:textId="77777777" w:rsidR="0018414C" w:rsidRPr="009A7F4E" w:rsidRDefault="0018414C" w:rsidP="0018414C">
      <w:pPr>
        <w:spacing w:before="100" w:beforeAutospacing="1" w:after="100" w:afterAutospacing="1"/>
        <w:outlineLvl w:val="2"/>
        <w:rPr>
          <w:b/>
          <w:bCs/>
          <w:color w:val="000000" w:themeColor="text1"/>
        </w:rPr>
      </w:pPr>
      <w:r w:rsidRPr="009A7F4E">
        <w:rPr>
          <w:b/>
          <w:bCs/>
          <w:color w:val="000000" w:themeColor="text1"/>
        </w:rPr>
        <w:t>Time Horizon Considerations</w:t>
      </w:r>
    </w:p>
    <w:p w14:paraId="2BDA434F" w14:textId="77777777" w:rsidR="0018414C" w:rsidRPr="009A7F4E" w:rsidRDefault="0018414C" w:rsidP="0018414C">
      <w:pPr>
        <w:spacing w:before="100" w:beforeAutospacing="1" w:after="100" w:afterAutospacing="1"/>
        <w:rPr>
          <w:color w:val="000000" w:themeColor="text1"/>
        </w:rPr>
      </w:pPr>
      <w:r w:rsidRPr="009A7F4E">
        <w:rPr>
          <w:color w:val="000000" w:themeColor="text1"/>
        </w:rPr>
        <w:t xml:space="preserve">Importantly, our model strictly uses the 10-year observed data from </w:t>
      </w:r>
      <w:proofErr w:type="spellStart"/>
      <w:r w:rsidRPr="009A7F4E">
        <w:rPr>
          <w:color w:val="000000" w:themeColor="text1"/>
        </w:rPr>
        <w:t>CheckMate</w:t>
      </w:r>
      <w:proofErr w:type="spellEnd"/>
      <w:r w:rsidRPr="009A7F4E">
        <w:rPr>
          <w:color w:val="000000" w:themeColor="text1"/>
        </w:rPr>
        <w:t xml:space="preserve"> 067 and does not extrapolate survival beyond this period. This approach eliminates uncertainty associated with extrapolation and ensures that all conclusions are based on actual observed clinical outcomes rather than modeling assumptions about long-term survival.</w:t>
      </w:r>
    </w:p>
    <w:p w14:paraId="6F54FD7F" w14:textId="77777777" w:rsidR="0018414C" w:rsidRPr="009A7F4E" w:rsidRDefault="0018414C" w:rsidP="0018414C">
      <w:pPr>
        <w:spacing w:before="100" w:beforeAutospacing="1" w:after="100" w:afterAutospacing="1"/>
        <w:rPr>
          <w:color w:val="000000" w:themeColor="text1"/>
        </w:rPr>
      </w:pPr>
      <w:r w:rsidRPr="009A7F4E">
        <w:rPr>
          <w:color w:val="000000" w:themeColor="text1"/>
        </w:rPr>
        <w:t>Our model demonstrated strong validation against the trial data, with predicted 10-year OS rates of 43.8% for nivolumab plus ipilimumab and 37.3% for nivolumab, closely aligning with the reported trial rates of 43% and 37%, respectively.</w:t>
      </w:r>
    </w:p>
    <w:p w14:paraId="2A8DDC23" w14:textId="77777777" w:rsidR="0018414C" w:rsidRPr="009A7F4E" w:rsidRDefault="0018414C" w:rsidP="0018414C">
      <w:pPr>
        <w:spacing w:before="100" w:beforeAutospacing="1" w:after="100" w:afterAutospacing="1"/>
        <w:outlineLvl w:val="1"/>
        <w:rPr>
          <w:b/>
          <w:bCs/>
          <w:color w:val="000000" w:themeColor="text1"/>
        </w:rPr>
      </w:pPr>
      <w:r w:rsidRPr="009A7F4E">
        <w:rPr>
          <w:b/>
          <w:bCs/>
          <w:color w:val="000000" w:themeColor="text1"/>
        </w:rPr>
        <w:t>3. Treatment Protocol Implementation</w:t>
      </w:r>
    </w:p>
    <w:p w14:paraId="1F42ECE1" w14:textId="77777777" w:rsidR="0018414C" w:rsidRPr="009A7F4E" w:rsidRDefault="0018414C" w:rsidP="0018414C">
      <w:pPr>
        <w:spacing w:before="100" w:beforeAutospacing="1" w:after="100" w:afterAutospacing="1"/>
        <w:rPr>
          <w:color w:val="000000" w:themeColor="text1"/>
        </w:rPr>
      </w:pPr>
      <w:r w:rsidRPr="009A7F4E">
        <w:rPr>
          <w:color w:val="000000" w:themeColor="text1"/>
        </w:rPr>
        <w:t>Treatment duration in the model was limited to a maximum of 24 months (2 years), reflecting established clinical practice for immunotherapy. This approach is supported by treatment guidelines indicating that patients who achieve response and discontinue after 2 years typically maintain that response. The trial data further supports this assumption, as at 5-year follow-up, only 8% of nivolumab plus ipilimumab and 18% of nivolumab patients remained on treatment.</w:t>
      </w:r>
    </w:p>
    <w:p w14:paraId="6586361F" w14:textId="77777777" w:rsidR="0018414C" w:rsidRPr="009A7F4E" w:rsidRDefault="0018414C" w:rsidP="0018414C">
      <w:pPr>
        <w:spacing w:before="100" w:beforeAutospacing="1" w:after="100" w:afterAutospacing="1"/>
        <w:rPr>
          <w:color w:val="000000" w:themeColor="text1"/>
        </w:rPr>
      </w:pPr>
      <w:r w:rsidRPr="009A7F4E">
        <w:rPr>
          <w:color w:val="000000" w:themeColor="text1"/>
        </w:rPr>
        <w:t xml:space="preserve">Early treatment discontinuation due to adverse events was explicitly modeled based on trial data. </w:t>
      </w:r>
      <w:proofErr w:type="spellStart"/>
      <w:r w:rsidRPr="009A7F4E">
        <w:rPr>
          <w:color w:val="000000" w:themeColor="text1"/>
        </w:rPr>
        <w:t>CheckMate</w:t>
      </w:r>
      <w:proofErr w:type="spellEnd"/>
      <w:r w:rsidRPr="009A7F4E">
        <w:rPr>
          <w:color w:val="000000" w:themeColor="text1"/>
        </w:rPr>
        <w:t xml:space="preserve"> 067 reported that 44.4% of patients receiving combination therapy and 15.7% receiving nivolumab monotherapy discontinued treatment due to toxicity. We implemented a gradual discontinuation approach over the first three months, reflecting the timing of adverse events observed in the trial. After this period, only 55.6% of combination patients and 84.3% of nivolumab patients continued receiving treatment until progression or until reaching the 24-month cap.</w:t>
      </w:r>
    </w:p>
    <w:p w14:paraId="68D740EA" w14:textId="77777777" w:rsidR="0018414C" w:rsidRPr="009A7F4E" w:rsidRDefault="0018414C" w:rsidP="0018414C">
      <w:pPr>
        <w:spacing w:before="100" w:beforeAutospacing="1" w:after="100" w:afterAutospacing="1"/>
        <w:rPr>
          <w:color w:val="000000" w:themeColor="text1"/>
        </w:rPr>
      </w:pPr>
      <w:r w:rsidRPr="009A7F4E">
        <w:rPr>
          <w:color w:val="000000" w:themeColor="text1"/>
        </w:rPr>
        <w:t>For combination therapy, we separately modeled the induction phase (nivolumab plus ipilimumab) and maintenance phase (nivolumab monotherapy), accounting for the 43% of patients who discontinued during induction based on trial observations.</w:t>
      </w:r>
    </w:p>
    <w:p w14:paraId="24E2424D" w14:textId="77777777" w:rsidR="0018414C" w:rsidRPr="009A7F4E" w:rsidRDefault="0018414C" w:rsidP="0018414C">
      <w:pPr>
        <w:spacing w:before="100" w:beforeAutospacing="1" w:after="100" w:afterAutospacing="1"/>
        <w:outlineLvl w:val="1"/>
        <w:rPr>
          <w:b/>
          <w:bCs/>
          <w:color w:val="000000" w:themeColor="text1"/>
        </w:rPr>
      </w:pPr>
      <w:r w:rsidRPr="009A7F4E">
        <w:rPr>
          <w:b/>
          <w:bCs/>
          <w:color w:val="000000" w:themeColor="text1"/>
        </w:rPr>
        <w:t>4. Cost Parameters</w:t>
      </w:r>
    </w:p>
    <w:p w14:paraId="17165007" w14:textId="77777777" w:rsidR="0018414C" w:rsidRPr="009A7F4E" w:rsidRDefault="0018414C" w:rsidP="0018414C">
      <w:pPr>
        <w:spacing w:before="100" w:beforeAutospacing="1" w:after="100" w:afterAutospacing="1"/>
        <w:rPr>
          <w:color w:val="000000" w:themeColor="text1"/>
        </w:rPr>
      </w:pPr>
      <w:r w:rsidRPr="009A7F4E">
        <w:rPr>
          <w:color w:val="000000" w:themeColor="text1"/>
        </w:rPr>
        <w:t>Drug acquisition costs were estimated at $26,425 per month for combination therapy and $14,975 per month for nivolumab monotherapy. These costs were applied only to patients in the progression-free state who remained on treatment, accounting for early discontinuation patterns and the maximum treatment duration.</w:t>
      </w:r>
    </w:p>
    <w:p w14:paraId="4E08DE08" w14:textId="77777777" w:rsidR="0018414C" w:rsidRPr="009A7F4E" w:rsidRDefault="0018414C" w:rsidP="0018414C">
      <w:pPr>
        <w:spacing w:before="100" w:beforeAutospacing="1" w:after="100" w:afterAutospacing="1"/>
        <w:rPr>
          <w:color w:val="000000" w:themeColor="text1"/>
        </w:rPr>
      </w:pPr>
      <w:r w:rsidRPr="009A7F4E">
        <w:rPr>
          <w:color w:val="000000" w:themeColor="text1"/>
        </w:rPr>
        <w:lastRenderedPageBreak/>
        <w:t>Disease management costs of $2,166 per month were applied to patients in the progression-free state, covering routine monitoring, physician visits, and supportive care.</w:t>
      </w:r>
    </w:p>
    <w:p w14:paraId="453AA94E" w14:textId="77777777" w:rsidR="0018414C" w:rsidRPr="009A7F4E" w:rsidRDefault="0018414C" w:rsidP="0018414C">
      <w:pPr>
        <w:spacing w:before="100" w:beforeAutospacing="1" w:after="100" w:afterAutospacing="1"/>
        <w:rPr>
          <w:color w:val="000000" w:themeColor="text1"/>
        </w:rPr>
      </w:pPr>
      <w:r w:rsidRPr="009A7F4E">
        <w:rPr>
          <w:color w:val="000000" w:themeColor="text1"/>
        </w:rPr>
        <w:t xml:space="preserve">Subsequent treatment costs were modeled according to utilization patterns observed in </w:t>
      </w:r>
      <w:proofErr w:type="spellStart"/>
      <w:r w:rsidRPr="009A7F4E">
        <w:rPr>
          <w:color w:val="000000" w:themeColor="text1"/>
        </w:rPr>
        <w:t>CheckMate</w:t>
      </w:r>
      <w:proofErr w:type="spellEnd"/>
      <w:r w:rsidRPr="009A7F4E">
        <w:rPr>
          <w:color w:val="000000" w:themeColor="text1"/>
        </w:rPr>
        <w:t xml:space="preserve"> 067. The trial reported that 36% of combination therapy patients and 50% of nivolumab patients received subsequent systemic therapy after progression. Rather than assuming all progressed patients received second-line therapy, we adjusted the costs proportionally to reflect real-world utilization. The base monthly costs ($8,908 for post-combination and $12,093 for post-nivolumab) were multiplied by these utilization rates, resulting in adjusted costs of $3,207 and $6,047 per month, respectively. This approach more accurately captures the economic benefit of reduced subsequent therapy needs with combination treatment.</w:t>
      </w:r>
    </w:p>
    <w:p w14:paraId="767DEB5A" w14:textId="77777777" w:rsidR="0018414C" w:rsidRPr="009A7F4E" w:rsidRDefault="0018414C" w:rsidP="0018414C">
      <w:pPr>
        <w:spacing w:before="100" w:beforeAutospacing="1" w:after="100" w:afterAutospacing="1"/>
        <w:rPr>
          <w:color w:val="000000" w:themeColor="text1"/>
        </w:rPr>
      </w:pPr>
      <w:r w:rsidRPr="009A7F4E">
        <w:rPr>
          <w:color w:val="000000" w:themeColor="text1"/>
        </w:rPr>
        <w:t>For local therapy costs (radiation or surgery), we incorporated a one-time cost of $5,000 at the time of progression, adjusted by the proportion of patients receiving such interventions in the trial (46% for combination therapy and 56% for nivolumab). Additionally, a one-time end-of-life cost of $15,957 was applied at death for all patients to account for palliative care.</w:t>
      </w:r>
    </w:p>
    <w:p w14:paraId="57BAC99D" w14:textId="77777777" w:rsidR="0018414C" w:rsidRPr="009A7F4E" w:rsidRDefault="0018414C" w:rsidP="0018414C">
      <w:pPr>
        <w:spacing w:before="100" w:beforeAutospacing="1" w:after="100" w:afterAutospacing="1"/>
        <w:outlineLvl w:val="1"/>
        <w:rPr>
          <w:b/>
          <w:bCs/>
          <w:color w:val="000000" w:themeColor="text1"/>
        </w:rPr>
      </w:pPr>
      <w:r w:rsidRPr="009A7F4E">
        <w:rPr>
          <w:b/>
          <w:bCs/>
          <w:color w:val="000000" w:themeColor="text1"/>
        </w:rPr>
        <w:t>5. Health Utility Parameters</w:t>
      </w:r>
    </w:p>
    <w:p w14:paraId="33D577DC" w14:textId="77777777" w:rsidR="0018414C" w:rsidRPr="009A7F4E" w:rsidRDefault="0018414C" w:rsidP="0018414C">
      <w:pPr>
        <w:spacing w:before="100" w:beforeAutospacing="1" w:after="100" w:afterAutospacing="1"/>
        <w:rPr>
          <w:color w:val="000000" w:themeColor="text1"/>
        </w:rPr>
      </w:pPr>
      <w:r w:rsidRPr="009A7F4E">
        <w:rPr>
          <w:color w:val="000000" w:themeColor="text1"/>
        </w:rPr>
        <w:t>Health state utilities were set at 0.754 for progression-free disease and 0.574 for progressed disease (applying a decrement of 0.180), based on published quality-of-life data for advanced melanoma.</w:t>
      </w:r>
    </w:p>
    <w:p w14:paraId="1F63F503" w14:textId="77777777" w:rsidR="0018414C" w:rsidRPr="009A7F4E" w:rsidRDefault="0018414C" w:rsidP="0018414C">
      <w:pPr>
        <w:spacing w:before="100" w:beforeAutospacing="1" w:after="100" w:afterAutospacing="1"/>
        <w:rPr>
          <w:color w:val="000000" w:themeColor="text1"/>
        </w:rPr>
      </w:pPr>
      <w:r w:rsidRPr="009A7F4E">
        <w:rPr>
          <w:color w:val="000000" w:themeColor="text1"/>
        </w:rPr>
        <w:t xml:space="preserve">Adverse event </w:t>
      </w:r>
      <w:proofErr w:type="spellStart"/>
      <w:r w:rsidRPr="009A7F4E">
        <w:rPr>
          <w:color w:val="000000" w:themeColor="text1"/>
        </w:rPr>
        <w:t>disutilities</w:t>
      </w:r>
      <w:proofErr w:type="spellEnd"/>
      <w:r w:rsidRPr="009A7F4E">
        <w:rPr>
          <w:color w:val="000000" w:themeColor="text1"/>
        </w:rPr>
        <w:t xml:space="preserve"> were derived from a detailed analysis of grade 3-4 treatment-related adverse events reported in </w:t>
      </w:r>
      <w:proofErr w:type="spellStart"/>
      <w:r w:rsidRPr="009A7F4E">
        <w:rPr>
          <w:color w:val="000000" w:themeColor="text1"/>
        </w:rPr>
        <w:t>CheckMate</w:t>
      </w:r>
      <w:proofErr w:type="spellEnd"/>
      <w:r w:rsidRPr="009A7F4E">
        <w:rPr>
          <w:color w:val="000000" w:themeColor="text1"/>
        </w:rPr>
        <w:t xml:space="preserve"> 067. From the trial data, we calculated weighted average disutility values by combining:</w:t>
      </w:r>
    </w:p>
    <w:p w14:paraId="58BB2F82" w14:textId="77777777" w:rsidR="0018414C" w:rsidRPr="009A7F4E" w:rsidRDefault="0018414C" w:rsidP="0018414C">
      <w:pPr>
        <w:numPr>
          <w:ilvl w:val="0"/>
          <w:numId w:val="3"/>
        </w:numPr>
        <w:spacing w:before="100" w:beforeAutospacing="1" w:after="100" w:afterAutospacing="1"/>
        <w:rPr>
          <w:color w:val="000000" w:themeColor="text1"/>
        </w:rPr>
      </w:pPr>
      <w:r w:rsidRPr="009A7F4E">
        <w:rPr>
          <w:color w:val="000000" w:themeColor="text1"/>
        </w:rPr>
        <w:t>The incidence of each adverse event type (skin, gastrointestinal, endocrine, hepatic)</w:t>
      </w:r>
    </w:p>
    <w:p w14:paraId="201A69A4" w14:textId="77777777" w:rsidR="0018414C" w:rsidRPr="009A7F4E" w:rsidRDefault="0018414C" w:rsidP="0018414C">
      <w:pPr>
        <w:numPr>
          <w:ilvl w:val="0"/>
          <w:numId w:val="3"/>
        </w:numPr>
        <w:spacing w:before="100" w:beforeAutospacing="1" w:after="100" w:afterAutospacing="1"/>
        <w:rPr>
          <w:color w:val="000000" w:themeColor="text1"/>
        </w:rPr>
      </w:pPr>
      <w:r w:rsidRPr="009A7F4E">
        <w:rPr>
          <w:color w:val="000000" w:themeColor="text1"/>
        </w:rPr>
        <w:t>The median time to resolution for each event type</w:t>
      </w:r>
    </w:p>
    <w:p w14:paraId="30538322" w14:textId="77777777" w:rsidR="0018414C" w:rsidRPr="009A7F4E" w:rsidRDefault="0018414C" w:rsidP="0018414C">
      <w:pPr>
        <w:numPr>
          <w:ilvl w:val="0"/>
          <w:numId w:val="3"/>
        </w:numPr>
        <w:spacing w:before="100" w:beforeAutospacing="1" w:after="100" w:afterAutospacing="1"/>
        <w:rPr>
          <w:color w:val="000000" w:themeColor="text1"/>
        </w:rPr>
      </w:pPr>
      <w:r w:rsidRPr="009A7F4E">
        <w:rPr>
          <w:color w:val="000000" w:themeColor="text1"/>
        </w:rPr>
        <w:t>The established disutility weight per event type</w:t>
      </w:r>
    </w:p>
    <w:p w14:paraId="0EDA7EEE" w14:textId="77777777" w:rsidR="0018414C" w:rsidRPr="009A7F4E" w:rsidRDefault="0018414C" w:rsidP="0018414C">
      <w:pPr>
        <w:spacing w:before="100" w:beforeAutospacing="1" w:after="100" w:afterAutospacing="1"/>
        <w:rPr>
          <w:color w:val="000000" w:themeColor="text1"/>
        </w:rPr>
      </w:pPr>
      <w:r w:rsidRPr="009A7F4E">
        <w:rPr>
          <w:color w:val="000000" w:themeColor="text1"/>
        </w:rPr>
        <w:t xml:space="preserve">This analysis yielded weighted average </w:t>
      </w:r>
      <w:proofErr w:type="spellStart"/>
      <w:r w:rsidRPr="009A7F4E">
        <w:rPr>
          <w:color w:val="000000" w:themeColor="text1"/>
        </w:rPr>
        <w:t>disutilities</w:t>
      </w:r>
      <w:proofErr w:type="spellEnd"/>
      <w:r w:rsidRPr="009A7F4E">
        <w:rPr>
          <w:color w:val="000000" w:themeColor="text1"/>
        </w:rPr>
        <w:t xml:space="preserve"> of 0.012 for combination therapy and 0.0036 for nivolumab monotherapy. The calculation method is illustrated below:</w:t>
      </w:r>
    </w:p>
    <w:p w14:paraId="6F442030" w14:textId="77777777" w:rsidR="0018414C" w:rsidRPr="009A7F4E" w:rsidRDefault="0018414C" w:rsidP="0018414C">
      <w:pPr>
        <w:spacing w:before="100" w:beforeAutospacing="1" w:after="100" w:afterAutospacing="1"/>
        <w:rPr>
          <w:color w:val="000000" w:themeColor="text1"/>
        </w:rPr>
      </w:pPr>
      <w:r w:rsidRPr="009A7F4E">
        <w:rPr>
          <w:color w:val="000000" w:themeColor="text1"/>
        </w:rPr>
        <w:t>For nivolumab plus ipilimumab:</w:t>
      </w:r>
    </w:p>
    <w:p w14:paraId="2393C654" w14:textId="77777777" w:rsidR="0018414C" w:rsidRPr="009A7F4E" w:rsidRDefault="0018414C" w:rsidP="0018414C">
      <w:pPr>
        <w:numPr>
          <w:ilvl w:val="0"/>
          <w:numId w:val="4"/>
        </w:numPr>
        <w:spacing w:before="100" w:beforeAutospacing="1" w:after="100" w:afterAutospacing="1"/>
        <w:rPr>
          <w:color w:val="000000" w:themeColor="text1"/>
        </w:rPr>
      </w:pPr>
      <w:r w:rsidRPr="009A7F4E">
        <w:rPr>
          <w:color w:val="000000" w:themeColor="text1"/>
        </w:rPr>
        <w:t>Skin events: 4.8% incidence, 0.71 months duration, 0.013 disutility = 0.0092 total impact</w:t>
      </w:r>
    </w:p>
    <w:p w14:paraId="772C45C6" w14:textId="77777777" w:rsidR="0018414C" w:rsidRPr="009A7F4E" w:rsidRDefault="0018414C" w:rsidP="0018414C">
      <w:pPr>
        <w:numPr>
          <w:ilvl w:val="0"/>
          <w:numId w:val="4"/>
        </w:numPr>
        <w:spacing w:before="100" w:beforeAutospacing="1" w:after="100" w:afterAutospacing="1"/>
        <w:rPr>
          <w:color w:val="000000" w:themeColor="text1"/>
        </w:rPr>
      </w:pPr>
      <w:r w:rsidRPr="009A7F4E">
        <w:rPr>
          <w:color w:val="000000" w:themeColor="text1"/>
        </w:rPr>
        <w:t>Gastrointestinal events: 14.3% incidence, 0.71 months duration, 0.018 disutility = 0.0128 total impact</w:t>
      </w:r>
    </w:p>
    <w:p w14:paraId="787DC525" w14:textId="77777777" w:rsidR="0018414C" w:rsidRPr="009A7F4E" w:rsidRDefault="0018414C" w:rsidP="0018414C">
      <w:pPr>
        <w:numPr>
          <w:ilvl w:val="0"/>
          <w:numId w:val="4"/>
        </w:numPr>
        <w:spacing w:before="100" w:beforeAutospacing="1" w:after="100" w:afterAutospacing="1"/>
        <w:rPr>
          <w:color w:val="000000" w:themeColor="text1"/>
        </w:rPr>
      </w:pPr>
      <w:r w:rsidRPr="009A7F4E">
        <w:rPr>
          <w:color w:val="000000" w:themeColor="text1"/>
        </w:rPr>
        <w:t>Endocrine events: 4.5% incidence, 4.28 months duration, 0.02 disutility = 0.0856 total impact</w:t>
      </w:r>
    </w:p>
    <w:p w14:paraId="0C012530" w14:textId="77777777" w:rsidR="0018414C" w:rsidRPr="009A7F4E" w:rsidRDefault="0018414C" w:rsidP="0018414C">
      <w:pPr>
        <w:numPr>
          <w:ilvl w:val="0"/>
          <w:numId w:val="4"/>
        </w:numPr>
        <w:spacing w:before="100" w:beforeAutospacing="1" w:after="100" w:afterAutospacing="1"/>
        <w:rPr>
          <w:color w:val="000000" w:themeColor="text1"/>
        </w:rPr>
      </w:pPr>
      <w:r w:rsidRPr="009A7F4E">
        <w:rPr>
          <w:color w:val="000000" w:themeColor="text1"/>
        </w:rPr>
        <w:t>Hepatic events: 12.7% incidence, 0.87 months duration, 0.05 disutility = 0.0435 total impact</w:t>
      </w:r>
    </w:p>
    <w:p w14:paraId="22FC68F2" w14:textId="77777777" w:rsidR="0018414C" w:rsidRPr="009A7F4E" w:rsidRDefault="0018414C" w:rsidP="0018414C">
      <w:pPr>
        <w:spacing w:before="100" w:beforeAutospacing="1" w:after="100" w:afterAutospacing="1"/>
        <w:rPr>
          <w:color w:val="000000" w:themeColor="text1"/>
        </w:rPr>
      </w:pPr>
      <w:r w:rsidRPr="009A7F4E">
        <w:rPr>
          <w:color w:val="000000" w:themeColor="text1"/>
        </w:rPr>
        <w:lastRenderedPageBreak/>
        <w:t>The weighted average of these impacts (0.012) was then applied in a time-dependent manner to reflect the changing burden of adverse events over time:</w:t>
      </w:r>
    </w:p>
    <w:p w14:paraId="4852E2D5" w14:textId="77777777" w:rsidR="0018414C" w:rsidRPr="009A7F4E" w:rsidRDefault="0018414C" w:rsidP="0018414C">
      <w:pPr>
        <w:numPr>
          <w:ilvl w:val="0"/>
          <w:numId w:val="5"/>
        </w:numPr>
        <w:spacing w:before="100" w:beforeAutospacing="1" w:after="100" w:afterAutospacing="1"/>
        <w:rPr>
          <w:color w:val="000000" w:themeColor="text1"/>
        </w:rPr>
      </w:pPr>
      <w:r w:rsidRPr="009A7F4E">
        <w:rPr>
          <w:color w:val="000000" w:themeColor="text1"/>
        </w:rPr>
        <w:t>Full impact (100%) in months 1-3, when most adverse events occur and are most severe</w:t>
      </w:r>
    </w:p>
    <w:p w14:paraId="2ED4D3D5" w14:textId="77777777" w:rsidR="0018414C" w:rsidRPr="009A7F4E" w:rsidRDefault="0018414C" w:rsidP="0018414C">
      <w:pPr>
        <w:numPr>
          <w:ilvl w:val="0"/>
          <w:numId w:val="5"/>
        </w:numPr>
        <w:spacing w:before="100" w:beforeAutospacing="1" w:after="100" w:afterAutospacing="1"/>
        <w:rPr>
          <w:color w:val="000000" w:themeColor="text1"/>
        </w:rPr>
      </w:pPr>
      <w:r w:rsidRPr="009A7F4E">
        <w:rPr>
          <w:color w:val="000000" w:themeColor="text1"/>
        </w:rPr>
        <w:t>Moderate impact (60%) in months 4-6, as many events begin resolving</w:t>
      </w:r>
    </w:p>
    <w:p w14:paraId="35CF4CAD" w14:textId="77777777" w:rsidR="0018414C" w:rsidRPr="009A7F4E" w:rsidRDefault="0018414C" w:rsidP="0018414C">
      <w:pPr>
        <w:numPr>
          <w:ilvl w:val="0"/>
          <w:numId w:val="5"/>
        </w:numPr>
        <w:spacing w:before="100" w:beforeAutospacing="1" w:after="100" w:afterAutospacing="1"/>
        <w:rPr>
          <w:color w:val="000000" w:themeColor="text1"/>
        </w:rPr>
      </w:pPr>
      <w:r w:rsidRPr="009A7F4E">
        <w:rPr>
          <w:color w:val="000000" w:themeColor="text1"/>
        </w:rPr>
        <w:t>Minimal impact (20%) in months 7-24, primarily reflecting persistent endocrine events</w:t>
      </w:r>
    </w:p>
    <w:p w14:paraId="6CBD4876" w14:textId="77777777" w:rsidR="0018414C" w:rsidRPr="009A7F4E" w:rsidRDefault="0018414C" w:rsidP="0018414C">
      <w:pPr>
        <w:numPr>
          <w:ilvl w:val="0"/>
          <w:numId w:val="5"/>
        </w:numPr>
        <w:spacing w:before="100" w:beforeAutospacing="1" w:after="100" w:afterAutospacing="1"/>
        <w:rPr>
          <w:color w:val="000000" w:themeColor="text1"/>
        </w:rPr>
      </w:pPr>
      <w:r w:rsidRPr="009A7F4E">
        <w:rPr>
          <w:color w:val="000000" w:themeColor="text1"/>
        </w:rPr>
        <w:t>No impact after 24 months</w:t>
      </w:r>
    </w:p>
    <w:p w14:paraId="3491B8E0" w14:textId="77777777" w:rsidR="0018414C" w:rsidRPr="009A7F4E" w:rsidRDefault="0018414C" w:rsidP="0018414C">
      <w:pPr>
        <w:spacing w:before="100" w:beforeAutospacing="1" w:after="100" w:afterAutospacing="1"/>
        <w:rPr>
          <w:color w:val="000000" w:themeColor="text1"/>
        </w:rPr>
      </w:pPr>
      <w:r w:rsidRPr="009A7F4E">
        <w:rPr>
          <w:color w:val="000000" w:themeColor="text1"/>
        </w:rPr>
        <w:t xml:space="preserve">This time-dependent approach is supported by the trial's documentation of adverse event timing and resolution patterns. Table S13 in the </w:t>
      </w:r>
      <w:proofErr w:type="spellStart"/>
      <w:r w:rsidRPr="009A7F4E">
        <w:rPr>
          <w:color w:val="000000" w:themeColor="text1"/>
        </w:rPr>
        <w:t>CheckMate</w:t>
      </w:r>
      <w:proofErr w:type="spellEnd"/>
      <w:r w:rsidRPr="009A7F4E">
        <w:rPr>
          <w:color w:val="000000" w:themeColor="text1"/>
        </w:rPr>
        <w:t xml:space="preserve"> 067 appendix shows that most adverse events resolved within weeks to months, with median resolution times of 3-9 weeks for most events, though endocrine events often persisted longer.</w:t>
      </w:r>
    </w:p>
    <w:p w14:paraId="556E3354" w14:textId="77777777" w:rsidR="0018414C" w:rsidRPr="009A7F4E" w:rsidRDefault="0018414C" w:rsidP="0018414C">
      <w:pPr>
        <w:spacing w:before="100" w:beforeAutospacing="1" w:after="100" w:afterAutospacing="1"/>
        <w:outlineLvl w:val="1"/>
        <w:rPr>
          <w:b/>
          <w:bCs/>
          <w:color w:val="000000" w:themeColor="text1"/>
        </w:rPr>
      </w:pPr>
      <w:r w:rsidRPr="009A7F4E">
        <w:rPr>
          <w:b/>
          <w:bCs/>
          <w:color w:val="000000" w:themeColor="text1"/>
        </w:rPr>
        <w:t>6. Model Validation and Sensitivity Analyses</w:t>
      </w:r>
    </w:p>
    <w:p w14:paraId="7FB40211" w14:textId="77777777" w:rsidR="0018414C" w:rsidRPr="009A7F4E" w:rsidRDefault="0018414C" w:rsidP="0018414C">
      <w:pPr>
        <w:spacing w:before="100" w:beforeAutospacing="1" w:after="100" w:afterAutospacing="1"/>
        <w:rPr>
          <w:color w:val="000000" w:themeColor="text1"/>
        </w:rPr>
      </w:pPr>
      <w:r w:rsidRPr="009A7F4E">
        <w:rPr>
          <w:color w:val="000000" w:themeColor="text1"/>
        </w:rPr>
        <w:t>We validated our model through multiple approaches. Internal validation confirmed that predicted survival outcomes closely matched observed trial data. Face validity was established by ensuring that survival patterns showed the expected plateau characteristic of immunotherapy and that economic outcomes aligned with clinical expectations.</w:t>
      </w:r>
    </w:p>
    <w:p w14:paraId="37C03D3D" w14:textId="77777777" w:rsidR="0018414C" w:rsidRPr="009A7F4E" w:rsidRDefault="0018414C" w:rsidP="0018414C">
      <w:pPr>
        <w:spacing w:before="100" w:beforeAutospacing="1" w:after="100" w:afterAutospacing="1"/>
        <w:rPr>
          <w:color w:val="000000" w:themeColor="text1"/>
        </w:rPr>
      </w:pPr>
      <w:r w:rsidRPr="009A7F4E">
        <w:rPr>
          <w:color w:val="000000" w:themeColor="text1"/>
        </w:rPr>
        <w:t>Sensitivity analyses were conducted to test the robustness of our findings. A probabilistic sensitivity analysis with 1,000 Monte Carlo simulations varied all key parameters simultaneously, including survival model parameters, utilities, costs, and adverse event incidences. Deterministic sensitivity analyses examined the impact of individual parameters, such as discount rates, utility values, cost inputs, and treatment duration assumptions.</w:t>
      </w:r>
    </w:p>
    <w:p w14:paraId="64FA18C3" w14:textId="77777777" w:rsidR="0018414C" w:rsidRPr="009A7F4E" w:rsidRDefault="0018414C" w:rsidP="0018414C">
      <w:pPr>
        <w:spacing w:before="100" w:beforeAutospacing="1" w:after="100" w:afterAutospacing="1"/>
        <w:rPr>
          <w:color w:val="000000" w:themeColor="text1"/>
        </w:rPr>
      </w:pPr>
      <w:r w:rsidRPr="009A7F4E">
        <w:rPr>
          <w:color w:val="000000" w:themeColor="text1"/>
        </w:rPr>
        <w:t>Additional scenario analyses explored alternative parametric survival distributions, different treatment durations, and variations in early discontinuation rates to further test the stability of our conclusions.</w:t>
      </w:r>
    </w:p>
    <w:p w14:paraId="6994D53E" w14:textId="77777777" w:rsidR="0018414C" w:rsidRPr="009A7F4E" w:rsidRDefault="0018414C" w:rsidP="0018414C">
      <w:pPr>
        <w:spacing w:before="100" w:beforeAutospacing="1" w:after="100" w:afterAutospacing="1"/>
        <w:outlineLvl w:val="1"/>
        <w:rPr>
          <w:b/>
          <w:bCs/>
          <w:color w:val="000000" w:themeColor="text1"/>
        </w:rPr>
      </w:pPr>
      <w:r w:rsidRPr="009A7F4E">
        <w:rPr>
          <w:b/>
          <w:bCs/>
          <w:color w:val="000000" w:themeColor="text1"/>
        </w:rPr>
        <w:t>7. Limitations</w:t>
      </w:r>
    </w:p>
    <w:p w14:paraId="0DC594A7" w14:textId="77777777" w:rsidR="0018414C" w:rsidRPr="009A7F4E" w:rsidRDefault="0018414C" w:rsidP="0018414C">
      <w:pPr>
        <w:spacing w:before="100" w:beforeAutospacing="1" w:after="100" w:afterAutospacing="1"/>
        <w:rPr>
          <w:color w:val="000000" w:themeColor="text1"/>
        </w:rPr>
      </w:pPr>
      <w:r w:rsidRPr="009A7F4E">
        <w:rPr>
          <w:color w:val="000000" w:themeColor="text1"/>
        </w:rPr>
        <w:t>Our model has several limitations worth noting. While our approach of using natural splines with the complete 10-year trial data eliminates extrapolation uncertainty, it is bound by the follow-up period of the trial. Our approach to modeling treatment discontinuation simplifies complex real-world patterns. The costs of subsequent therapies are based on aggregate estimates rather than patient-level data on specific regimens. Additionally, our model does not explicitly account for heterogeneity in treatment effects across different patient subgroups, which may be clinically relevant.</w:t>
      </w:r>
    </w:p>
    <w:p w14:paraId="6FE47812" w14:textId="77777777" w:rsidR="0018414C" w:rsidRPr="009A7F4E" w:rsidRDefault="0018414C" w:rsidP="0018414C">
      <w:pPr>
        <w:spacing w:before="100" w:beforeAutospacing="1" w:after="100" w:afterAutospacing="1"/>
        <w:rPr>
          <w:color w:val="000000" w:themeColor="text1"/>
        </w:rPr>
      </w:pPr>
      <w:r w:rsidRPr="009A7F4E">
        <w:rPr>
          <w:color w:val="000000" w:themeColor="text1"/>
        </w:rPr>
        <w:t>Despite these limitations, our partitioned survival analysis provides a robust framework for evaluating the cost-effectiveness of nivolumab plus ipilimumab compared to nivolumab monotherapy in advanced melanoma, based on the most mature clinical data available without requiring extrapolation beyond the observed trial period.</w:t>
      </w:r>
    </w:p>
    <w:p w14:paraId="2C1F59B9" w14:textId="77777777" w:rsidR="00BF5343" w:rsidRPr="009A7F4E" w:rsidRDefault="00BF5343" w:rsidP="00996F5E">
      <w:pPr>
        <w:spacing w:before="100" w:beforeAutospacing="1" w:after="100" w:afterAutospacing="1"/>
        <w:rPr>
          <w:color w:val="000000" w:themeColor="text1"/>
        </w:rPr>
      </w:pPr>
    </w:p>
    <w:sectPr w:rsidR="00BF5343" w:rsidRPr="009A7F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0C83C" w14:textId="77777777" w:rsidR="00ED687B" w:rsidRDefault="00ED687B" w:rsidP="006F744D">
      <w:r>
        <w:separator/>
      </w:r>
    </w:p>
  </w:endnote>
  <w:endnote w:type="continuationSeparator" w:id="0">
    <w:p w14:paraId="5A7662DD" w14:textId="77777777" w:rsidR="00ED687B" w:rsidRDefault="00ED687B" w:rsidP="006F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F281E" w14:textId="77777777" w:rsidR="00ED687B" w:rsidRDefault="00ED687B" w:rsidP="006F744D">
      <w:r>
        <w:separator/>
      </w:r>
    </w:p>
  </w:footnote>
  <w:footnote w:type="continuationSeparator" w:id="0">
    <w:p w14:paraId="5E259C4C" w14:textId="77777777" w:rsidR="00ED687B" w:rsidRDefault="00ED687B" w:rsidP="006F7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D7DF8"/>
    <w:multiLevelType w:val="multilevel"/>
    <w:tmpl w:val="2A2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A643E"/>
    <w:multiLevelType w:val="multilevel"/>
    <w:tmpl w:val="B7F23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971A0"/>
    <w:multiLevelType w:val="multilevel"/>
    <w:tmpl w:val="2A2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35498"/>
    <w:multiLevelType w:val="multilevel"/>
    <w:tmpl w:val="3958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05630"/>
    <w:multiLevelType w:val="multilevel"/>
    <w:tmpl w:val="50E4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62848">
    <w:abstractNumId w:val="0"/>
  </w:num>
  <w:num w:numId="2" w16cid:durableId="1395471693">
    <w:abstractNumId w:val="2"/>
  </w:num>
  <w:num w:numId="3" w16cid:durableId="235479267">
    <w:abstractNumId w:val="1"/>
  </w:num>
  <w:num w:numId="4" w16cid:durableId="1357123957">
    <w:abstractNumId w:val="3"/>
  </w:num>
  <w:num w:numId="5" w16cid:durableId="881134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A1"/>
    <w:rsid w:val="000067EF"/>
    <w:rsid w:val="00022792"/>
    <w:rsid w:val="000B4EF2"/>
    <w:rsid w:val="000C690C"/>
    <w:rsid w:val="000E5485"/>
    <w:rsid w:val="000F556A"/>
    <w:rsid w:val="001063E8"/>
    <w:rsid w:val="0018414C"/>
    <w:rsid w:val="0019105C"/>
    <w:rsid w:val="001A05EC"/>
    <w:rsid w:val="001E52CB"/>
    <w:rsid w:val="001F0EE2"/>
    <w:rsid w:val="001F201F"/>
    <w:rsid w:val="00207353"/>
    <w:rsid w:val="002263C2"/>
    <w:rsid w:val="002F72BB"/>
    <w:rsid w:val="00305F3F"/>
    <w:rsid w:val="00364F15"/>
    <w:rsid w:val="00391549"/>
    <w:rsid w:val="0039204A"/>
    <w:rsid w:val="003D345C"/>
    <w:rsid w:val="003F35CC"/>
    <w:rsid w:val="003F7E86"/>
    <w:rsid w:val="004175CD"/>
    <w:rsid w:val="00482701"/>
    <w:rsid w:val="0048311B"/>
    <w:rsid w:val="004A2C00"/>
    <w:rsid w:val="00502938"/>
    <w:rsid w:val="005821B3"/>
    <w:rsid w:val="00590513"/>
    <w:rsid w:val="00596A25"/>
    <w:rsid w:val="005D2C0E"/>
    <w:rsid w:val="00645B30"/>
    <w:rsid w:val="00652B67"/>
    <w:rsid w:val="00655078"/>
    <w:rsid w:val="0067690A"/>
    <w:rsid w:val="006948C7"/>
    <w:rsid w:val="006B68DB"/>
    <w:rsid w:val="006E32A0"/>
    <w:rsid w:val="006F744D"/>
    <w:rsid w:val="0072720C"/>
    <w:rsid w:val="00740636"/>
    <w:rsid w:val="00765B60"/>
    <w:rsid w:val="007A0F1B"/>
    <w:rsid w:val="007C550A"/>
    <w:rsid w:val="00807EB8"/>
    <w:rsid w:val="00822950"/>
    <w:rsid w:val="008A5062"/>
    <w:rsid w:val="008A7F98"/>
    <w:rsid w:val="008C666E"/>
    <w:rsid w:val="009052BB"/>
    <w:rsid w:val="00915440"/>
    <w:rsid w:val="00975EF4"/>
    <w:rsid w:val="0099312B"/>
    <w:rsid w:val="00996F5E"/>
    <w:rsid w:val="009A7F4E"/>
    <w:rsid w:val="009B4281"/>
    <w:rsid w:val="00A02883"/>
    <w:rsid w:val="00A04265"/>
    <w:rsid w:val="00A1313B"/>
    <w:rsid w:val="00A41AAD"/>
    <w:rsid w:val="00A52697"/>
    <w:rsid w:val="00A71B62"/>
    <w:rsid w:val="00A85558"/>
    <w:rsid w:val="00A90ECF"/>
    <w:rsid w:val="00AB2678"/>
    <w:rsid w:val="00AF35A1"/>
    <w:rsid w:val="00B25629"/>
    <w:rsid w:val="00B65B8B"/>
    <w:rsid w:val="00BA1643"/>
    <w:rsid w:val="00BB3A6A"/>
    <w:rsid w:val="00BF5343"/>
    <w:rsid w:val="00C0009E"/>
    <w:rsid w:val="00C21C67"/>
    <w:rsid w:val="00C35EF1"/>
    <w:rsid w:val="00CB1096"/>
    <w:rsid w:val="00CB171C"/>
    <w:rsid w:val="00CB1CE0"/>
    <w:rsid w:val="00CD4549"/>
    <w:rsid w:val="00CF7D10"/>
    <w:rsid w:val="00D02BDA"/>
    <w:rsid w:val="00D0737E"/>
    <w:rsid w:val="00D25041"/>
    <w:rsid w:val="00D473D0"/>
    <w:rsid w:val="00D76E9D"/>
    <w:rsid w:val="00E01D76"/>
    <w:rsid w:val="00E11E27"/>
    <w:rsid w:val="00E20418"/>
    <w:rsid w:val="00E45507"/>
    <w:rsid w:val="00EA1B0C"/>
    <w:rsid w:val="00ED687B"/>
    <w:rsid w:val="00F0513E"/>
    <w:rsid w:val="00F268F7"/>
    <w:rsid w:val="00F941AC"/>
    <w:rsid w:val="00FD4B4D"/>
    <w:rsid w:val="00FE3C0D"/>
    <w:rsid w:val="00FE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D8A5"/>
  <w15:chartTrackingRefBased/>
  <w15:docId w15:val="{9503F417-2891-EC40-ADD7-B89F34A3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2C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F35A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F35A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AF35A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F35A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F35A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F35A1"/>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F35A1"/>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F35A1"/>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F35A1"/>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3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3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5A1"/>
    <w:rPr>
      <w:rFonts w:eastAsiaTheme="majorEastAsia" w:cstheme="majorBidi"/>
      <w:color w:val="272727" w:themeColor="text1" w:themeTint="D8"/>
    </w:rPr>
  </w:style>
  <w:style w:type="paragraph" w:styleId="Title">
    <w:name w:val="Title"/>
    <w:basedOn w:val="Normal"/>
    <w:next w:val="Normal"/>
    <w:link w:val="TitleChar"/>
    <w:uiPriority w:val="10"/>
    <w:qFormat/>
    <w:rsid w:val="00AF35A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F3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5A1"/>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F3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5A1"/>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F35A1"/>
    <w:rPr>
      <w:i/>
      <w:iCs/>
      <w:color w:val="404040" w:themeColor="text1" w:themeTint="BF"/>
    </w:rPr>
  </w:style>
  <w:style w:type="paragraph" w:styleId="ListParagraph">
    <w:name w:val="List Paragraph"/>
    <w:basedOn w:val="Normal"/>
    <w:uiPriority w:val="34"/>
    <w:qFormat/>
    <w:rsid w:val="00AF35A1"/>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F35A1"/>
    <w:rPr>
      <w:i/>
      <w:iCs/>
      <w:color w:val="0F4761" w:themeColor="accent1" w:themeShade="BF"/>
    </w:rPr>
  </w:style>
  <w:style w:type="paragraph" w:styleId="IntenseQuote">
    <w:name w:val="Intense Quote"/>
    <w:basedOn w:val="Normal"/>
    <w:next w:val="Normal"/>
    <w:link w:val="IntenseQuoteChar"/>
    <w:uiPriority w:val="30"/>
    <w:qFormat/>
    <w:rsid w:val="00AF35A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F35A1"/>
    <w:rPr>
      <w:i/>
      <w:iCs/>
      <w:color w:val="0F4761" w:themeColor="accent1" w:themeShade="BF"/>
    </w:rPr>
  </w:style>
  <w:style w:type="character" w:styleId="IntenseReference">
    <w:name w:val="Intense Reference"/>
    <w:basedOn w:val="DefaultParagraphFont"/>
    <w:uiPriority w:val="32"/>
    <w:qFormat/>
    <w:rsid w:val="00AF35A1"/>
    <w:rPr>
      <w:b/>
      <w:bCs/>
      <w:smallCaps/>
      <w:color w:val="0F4761" w:themeColor="accent1" w:themeShade="BF"/>
      <w:spacing w:val="5"/>
    </w:rPr>
  </w:style>
  <w:style w:type="paragraph" w:styleId="NormalWeb">
    <w:name w:val="Normal (Web)"/>
    <w:basedOn w:val="Normal"/>
    <w:uiPriority w:val="99"/>
    <w:unhideWhenUsed/>
    <w:rsid w:val="004A2C00"/>
    <w:pPr>
      <w:spacing w:before="100" w:beforeAutospacing="1" w:after="100" w:afterAutospacing="1"/>
    </w:pPr>
  </w:style>
  <w:style w:type="character" w:styleId="Strong">
    <w:name w:val="Strong"/>
    <w:basedOn w:val="DefaultParagraphFont"/>
    <w:uiPriority w:val="22"/>
    <w:qFormat/>
    <w:rsid w:val="004A2C00"/>
    <w:rPr>
      <w:b/>
      <w:bCs/>
    </w:rPr>
  </w:style>
  <w:style w:type="character" w:customStyle="1" w:styleId="apple-converted-space">
    <w:name w:val="apple-converted-space"/>
    <w:basedOn w:val="DefaultParagraphFont"/>
    <w:rsid w:val="004A2C00"/>
  </w:style>
  <w:style w:type="character" w:customStyle="1" w:styleId="katex-mathml">
    <w:name w:val="katex-mathml"/>
    <w:basedOn w:val="DefaultParagraphFont"/>
    <w:rsid w:val="004A2C00"/>
  </w:style>
  <w:style w:type="character" w:customStyle="1" w:styleId="mord">
    <w:name w:val="mord"/>
    <w:basedOn w:val="DefaultParagraphFont"/>
    <w:rsid w:val="004A2C00"/>
  </w:style>
  <w:style w:type="character" w:customStyle="1" w:styleId="vlist-s">
    <w:name w:val="vlist-s"/>
    <w:basedOn w:val="DefaultParagraphFont"/>
    <w:rsid w:val="004A2C00"/>
  </w:style>
  <w:style w:type="character" w:customStyle="1" w:styleId="mopen">
    <w:name w:val="mopen"/>
    <w:basedOn w:val="DefaultParagraphFont"/>
    <w:rsid w:val="004A2C00"/>
  </w:style>
  <w:style w:type="character" w:customStyle="1" w:styleId="mclose">
    <w:name w:val="mclose"/>
    <w:basedOn w:val="DefaultParagraphFont"/>
    <w:rsid w:val="004A2C00"/>
  </w:style>
  <w:style w:type="character" w:customStyle="1" w:styleId="mrel">
    <w:name w:val="mrel"/>
    <w:basedOn w:val="DefaultParagraphFont"/>
    <w:rsid w:val="004A2C00"/>
  </w:style>
  <w:style w:type="character" w:customStyle="1" w:styleId="mbin">
    <w:name w:val="mbin"/>
    <w:basedOn w:val="DefaultParagraphFont"/>
    <w:rsid w:val="004A2C00"/>
  </w:style>
  <w:style w:type="character" w:customStyle="1" w:styleId="mpunct">
    <w:name w:val="mpunct"/>
    <w:basedOn w:val="DefaultParagraphFont"/>
    <w:rsid w:val="004A2C00"/>
  </w:style>
  <w:style w:type="character" w:styleId="PlaceholderText">
    <w:name w:val="Placeholder Text"/>
    <w:basedOn w:val="DefaultParagraphFont"/>
    <w:uiPriority w:val="99"/>
    <w:semiHidden/>
    <w:rsid w:val="006948C7"/>
    <w:rPr>
      <w:color w:val="666666"/>
    </w:rPr>
  </w:style>
  <w:style w:type="paragraph" w:styleId="Caption">
    <w:name w:val="caption"/>
    <w:basedOn w:val="Normal"/>
    <w:next w:val="Normal"/>
    <w:uiPriority w:val="35"/>
    <w:unhideWhenUsed/>
    <w:qFormat/>
    <w:rsid w:val="0048311B"/>
    <w:pPr>
      <w:spacing w:after="200"/>
    </w:pPr>
    <w:rPr>
      <w:rFonts w:asciiTheme="minorHAnsi" w:eastAsiaTheme="minorHAnsi" w:hAnsiTheme="minorHAnsi" w:cstheme="minorBidi"/>
      <w:i/>
      <w:iCs/>
      <w:color w:val="0E2841" w:themeColor="text2"/>
      <w:kern w:val="2"/>
      <w:sz w:val="18"/>
      <w:szCs w:val="18"/>
      <w14:ligatures w14:val="standardContextual"/>
    </w:rPr>
  </w:style>
  <w:style w:type="paragraph" w:customStyle="1" w:styleId="whitespace-pre-wrap">
    <w:name w:val="whitespace-pre-wrap"/>
    <w:basedOn w:val="Normal"/>
    <w:rsid w:val="0018414C"/>
    <w:pPr>
      <w:spacing w:before="100" w:beforeAutospacing="1" w:after="100" w:afterAutospacing="1"/>
    </w:pPr>
  </w:style>
  <w:style w:type="paragraph" w:customStyle="1" w:styleId="whitespace-normal">
    <w:name w:val="whitespace-normal"/>
    <w:basedOn w:val="Normal"/>
    <w:rsid w:val="0018414C"/>
    <w:pPr>
      <w:spacing w:before="100" w:beforeAutospacing="1" w:after="100" w:afterAutospacing="1"/>
    </w:pPr>
  </w:style>
  <w:style w:type="paragraph" w:customStyle="1" w:styleId="para">
    <w:name w:val="para"/>
    <w:basedOn w:val="Normal"/>
    <w:rsid w:val="00E01D76"/>
    <w:pPr>
      <w:spacing w:before="100" w:beforeAutospacing="1" w:after="100" w:afterAutospacing="1"/>
    </w:pPr>
  </w:style>
  <w:style w:type="character" w:styleId="Hyperlink">
    <w:name w:val="Hyperlink"/>
    <w:basedOn w:val="DefaultParagraphFont"/>
    <w:uiPriority w:val="99"/>
    <w:semiHidden/>
    <w:unhideWhenUsed/>
    <w:rsid w:val="00E01D76"/>
    <w:rPr>
      <w:color w:val="0000FF"/>
      <w:u w:val="single"/>
    </w:rPr>
  </w:style>
  <w:style w:type="paragraph" w:styleId="Header">
    <w:name w:val="header"/>
    <w:basedOn w:val="Normal"/>
    <w:link w:val="HeaderChar"/>
    <w:uiPriority w:val="99"/>
    <w:unhideWhenUsed/>
    <w:rsid w:val="006F744D"/>
    <w:pPr>
      <w:tabs>
        <w:tab w:val="center" w:pos="4680"/>
        <w:tab w:val="right" w:pos="9360"/>
      </w:tabs>
    </w:pPr>
  </w:style>
  <w:style w:type="character" w:customStyle="1" w:styleId="HeaderChar">
    <w:name w:val="Header Char"/>
    <w:basedOn w:val="DefaultParagraphFont"/>
    <w:link w:val="Header"/>
    <w:uiPriority w:val="99"/>
    <w:rsid w:val="006F744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F744D"/>
    <w:pPr>
      <w:tabs>
        <w:tab w:val="center" w:pos="4680"/>
        <w:tab w:val="right" w:pos="9360"/>
      </w:tabs>
    </w:pPr>
  </w:style>
  <w:style w:type="character" w:customStyle="1" w:styleId="FooterChar">
    <w:name w:val="Footer Char"/>
    <w:basedOn w:val="DefaultParagraphFont"/>
    <w:link w:val="Footer"/>
    <w:uiPriority w:val="99"/>
    <w:rsid w:val="006F744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95119">
      <w:bodyDiv w:val="1"/>
      <w:marLeft w:val="0"/>
      <w:marRight w:val="0"/>
      <w:marTop w:val="0"/>
      <w:marBottom w:val="0"/>
      <w:divBdr>
        <w:top w:val="none" w:sz="0" w:space="0" w:color="auto"/>
        <w:left w:val="none" w:sz="0" w:space="0" w:color="auto"/>
        <w:bottom w:val="none" w:sz="0" w:space="0" w:color="auto"/>
        <w:right w:val="none" w:sz="0" w:space="0" w:color="auto"/>
      </w:divBdr>
    </w:div>
    <w:div w:id="86125340">
      <w:bodyDiv w:val="1"/>
      <w:marLeft w:val="0"/>
      <w:marRight w:val="0"/>
      <w:marTop w:val="0"/>
      <w:marBottom w:val="0"/>
      <w:divBdr>
        <w:top w:val="none" w:sz="0" w:space="0" w:color="auto"/>
        <w:left w:val="none" w:sz="0" w:space="0" w:color="auto"/>
        <w:bottom w:val="none" w:sz="0" w:space="0" w:color="auto"/>
        <w:right w:val="none" w:sz="0" w:space="0" w:color="auto"/>
      </w:divBdr>
    </w:div>
    <w:div w:id="118189823">
      <w:bodyDiv w:val="1"/>
      <w:marLeft w:val="0"/>
      <w:marRight w:val="0"/>
      <w:marTop w:val="0"/>
      <w:marBottom w:val="0"/>
      <w:divBdr>
        <w:top w:val="none" w:sz="0" w:space="0" w:color="auto"/>
        <w:left w:val="none" w:sz="0" w:space="0" w:color="auto"/>
        <w:bottom w:val="none" w:sz="0" w:space="0" w:color="auto"/>
        <w:right w:val="none" w:sz="0" w:space="0" w:color="auto"/>
      </w:divBdr>
    </w:div>
    <w:div w:id="269319546">
      <w:bodyDiv w:val="1"/>
      <w:marLeft w:val="0"/>
      <w:marRight w:val="0"/>
      <w:marTop w:val="0"/>
      <w:marBottom w:val="0"/>
      <w:divBdr>
        <w:top w:val="none" w:sz="0" w:space="0" w:color="auto"/>
        <w:left w:val="none" w:sz="0" w:space="0" w:color="auto"/>
        <w:bottom w:val="none" w:sz="0" w:space="0" w:color="auto"/>
        <w:right w:val="none" w:sz="0" w:space="0" w:color="auto"/>
      </w:divBdr>
    </w:div>
    <w:div w:id="367032484">
      <w:bodyDiv w:val="1"/>
      <w:marLeft w:val="0"/>
      <w:marRight w:val="0"/>
      <w:marTop w:val="0"/>
      <w:marBottom w:val="0"/>
      <w:divBdr>
        <w:top w:val="none" w:sz="0" w:space="0" w:color="auto"/>
        <w:left w:val="none" w:sz="0" w:space="0" w:color="auto"/>
        <w:bottom w:val="none" w:sz="0" w:space="0" w:color="auto"/>
        <w:right w:val="none" w:sz="0" w:space="0" w:color="auto"/>
      </w:divBdr>
    </w:div>
    <w:div w:id="431512360">
      <w:bodyDiv w:val="1"/>
      <w:marLeft w:val="0"/>
      <w:marRight w:val="0"/>
      <w:marTop w:val="0"/>
      <w:marBottom w:val="0"/>
      <w:divBdr>
        <w:top w:val="none" w:sz="0" w:space="0" w:color="auto"/>
        <w:left w:val="none" w:sz="0" w:space="0" w:color="auto"/>
        <w:bottom w:val="none" w:sz="0" w:space="0" w:color="auto"/>
        <w:right w:val="none" w:sz="0" w:space="0" w:color="auto"/>
      </w:divBdr>
    </w:div>
    <w:div w:id="442119286">
      <w:bodyDiv w:val="1"/>
      <w:marLeft w:val="0"/>
      <w:marRight w:val="0"/>
      <w:marTop w:val="0"/>
      <w:marBottom w:val="0"/>
      <w:divBdr>
        <w:top w:val="none" w:sz="0" w:space="0" w:color="auto"/>
        <w:left w:val="none" w:sz="0" w:space="0" w:color="auto"/>
        <w:bottom w:val="none" w:sz="0" w:space="0" w:color="auto"/>
        <w:right w:val="none" w:sz="0" w:space="0" w:color="auto"/>
      </w:divBdr>
    </w:div>
    <w:div w:id="509950551">
      <w:bodyDiv w:val="1"/>
      <w:marLeft w:val="0"/>
      <w:marRight w:val="0"/>
      <w:marTop w:val="0"/>
      <w:marBottom w:val="0"/>
      <w:divBdr>
        <w:top w:val="none" w:sz="0" w:space="0" w:color="auto"/>
        <w:left w:val="none" w:sz="0" w:space="0" w:color="auto"/>
        <w:bottom w:val="none" w:sz="0" w:space="0" w:color="auto"/>
        <w:right w:val="none" w:sz="0" w:space="0" w:color="auto"/>
      </w:divBdr>
    </w:div>
    <w:div w:id="649594953">
      <w:bodyDiv w:val="1"/>
      <w:marLeft w:val="0"/>
      <w:marRight w:val="0"/>
      <w:marTop w:val="0"/>
      <w:marBottom w:val="0"/>
      <w:divBdr>
        <w:top w:val="none" w:sz="0" w:space="0" w:color="auto"/>
        <w:left w:val="none" w:sz="0" w:space="0" w:color="auto"/>
        <w:bottom w:val="none" w:sz="0" w:space="0" w:color="auto"/>
        <w:right w:val="none" w:sz="0" w:space="0" w:color="auto"/>
      </w:divBdr>
      <w:divsChild>
        <w:div w:id="555119271">
          <w:marLeft w:val="0"/>
          <w:marRight w:val="0"/>
          <w:marTop w:val="48"/>
          <w:marBottom w:val="120"/>
          <w:divBdr>
            <w:top w:val="none" w:sz="0" w:space="0" w:color="auto"/>
            <w:left w:val="none" w:sz="0" w:space="0" w:color="auto"/>
            <w:bottom w:val="none" w:sz="0" w:space="0" w:color="auto"/>
            <w:right w:val="none" w:sz="0" w:space="0" w:color="auto"/>
          </w:divBdr>
          <w:divsChild>
            <w:div w:id="378240119">
              <w:marLeft w:val="0"/>
              <w:marRight w:val="0"/>
              <w:marTop w:val="0"/>
              <w:marBottom w:val="0"/>
              <w:divBdr>
                <w:top w:val="none" w:sz="0" w:space="0" w:color="auto"/>
                <w:left w:val="none" w:sz="0" w:space="0" w:color="auto"/>
                <w:bottom w:val="none" w:sz="0" w:space="0" w:color="auto"/>
                <w:right w:val="none" w:sz="0" w:space="0" w:color="auto"/>
              </w:divBdr>
            </w:div>
          </w:divsChild>
        </w:div>
        <w:div w:id="802581301">
          <w:marLeft w:val="0"/>
          <w:marRight w:val="0"/>
          <w:marTop w:val="48"/>
          <w:marBottom w:val="120"/>
          <w:divBdr>
            <w:top w:val="none" w:sz="0" w:space="0" w:color="auto"/>
            <w:left w:val="none" w:sz="0" w:space="0" w:color="auto"/>
            <w:bottom w:val="none" w:sz="0" w:space="0" w:color="auto"/>
            <w:right w:val="none" w:sz="0" w:space="0" w:color="auto"/>
          </w:divBdr>
          <w:divsChild>
            <w:div w:id="359207735">
              <w:marLeft w:val="0"/>
              <w:marRight w:val="0"/>
              <w:marTop w:val="0"/>
              <w:marBottom w:val="0"/>
              <w:divBdr>
                <w:top w:val="none" w:sz="0" w:space="0" w:color="auto"/>
                <w:left w:val="none" w:sz="0" w:space="0" w:color="auto"/>
                <w:bottom w:val="none" w:sz="0" w:space="0" w:color="auto"/>
                <w:right w:val="none" w:sz="0" w:space="0" w:color="auto"/>
              </w:divBdr>
            </w:div>
          </w:divsChild>
        </w:div>
        <w:div w:id="1287809406">
          <w:marLeft w:val="0"/>
          <w:marRight w:val="0"/>
          <w:marTop w:val="48"/>
          <w:marBottom w:val="120"/>
          <w:divBdr>
            <w:top w:val="none" w:sz="0" w:space="0" w:color="auto"/>
            <w:left w:val="none" w:sz="0" w:space="0" w:color="auto"/>
            <w:bottom w:val="none" w:sz="0" w:space="0" w:color="auto"/>
            <w:right w:val="none" w:sz="0" w:space="0" w:color="auto"/>
          </w:divBdr>
          <w:divsChild>
            <w:div w:id="1426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0999">
      <w:bodyDiv w:val="1"/>
      <w:marLeft w:val="0"/>
      <w:marRight w:val="0"/>
      <w:marTop w:val="0"/>
      <w:marBottom w:val="0"/>
      <w:divBdr>
        <w:top w:val="none" w:sz="0" w:space="0" w:color="auto"/>
        <w:left w:val="none" w:sz="0" w:space="0" w:color="auto"/>
        <w:bottom w:val="none" w:sz="0" w:space="0" w:color="auto"/>
        <w:right w:val="none" w:sz="0" w:space="0" w:color="auto"/>
      </w:divBdr>
      <w:divsChild>
        <w:div w:id="982391204">
          <w:marLeft w:val="0"/>
          <w:marRight w:val="0"/>
          <w:marTop w:val="48"/>
          <w:marBottom w:val="120"/>
          <w:divBdr>
            <w:top w:val="none" w:sz="0" w:space="0" w:color="auto"/>
            <w:left w:val="none" w:sz="0" w:space="0" w:color="auto"/>
            <w:bottom w:val="none" w:sz="0" w:space="0" w:color="auto"/>
            <w:right w:val="none" w:sz="0" w:space="0" w:color="auto"/>
          </w:divBdr>
          <w:divsChild>
            <w:div w:id="2989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392">
      <w:bodyDiv w:val="1"/>
      <w:marLeft w:val="0"/>
      <w:marRight w:val="0"/>
      <w:marTop w:val="0"/>
      <w:marBottom w:val="0"/>
      <w:divBdr>
        <w:top w:val="none" w:sz="0" w:space="0" w:color="auto"/>
        <w:left w:val="none" w:sz="0" w:space="0" w:color="auto"/>
        <w:bottom w:val="none" w:sz="0" w:space="0" w:color="auto"/>
        <w:right w:val="none" w:sz="0" w:space="0" w:color="auto"/>
      </w:divBdr>
    </w:div>
    <w:div w:id="1268273066">
      <w:bodyDiv w:val="1"/>
      <w:marLeft w:val="0"/>
      <w:marRight w:val="0"/>
      <w:marTop w:val="0"/>
      <w:marBottom w:val="0"/>
      <w:divBdr>
        <w:top w:val="none" w:sz="0" w:space="0" w:color="auto"/>
        <w:left w:val="none" w:sz="0" w:space="0" w:color="auto"/>
        <w:bottom w:val="none" w:sz="0" w:space="0" w:color="auto"/>
        <w:right w:val="none" w:sz="0" w:space="0" w:color="auto"/>
      </w:divBdr>
    </w:div>
    <w:div w:id="1696689549">
      <w:bodyDiv w:val="1"/>
      <w:marLeft w:val="0"/>
      <w:marRight w:val="0"/>
      <w:marTop w:val="0"/>
      <w:marBottom w:val="0"/>
      <w:divBdr>
        <w:top w:val="none" w:sz="0" w:space="0" w:color="auto"/>
        <w:left w:val="none" w:sz="0" w:space="0" w:color="auto"/>
        <w:bottom w:val="none" w:sz="0" w:space="0" w:color="auto"/>
        <w:right w:val="none" w:sz="0" w:space="0" w:color="auto"/>
      </w:divBdr>
    </w:div>
    <w:div w:id="1869371378">
      <w:bodyDiv w:val="1"/>
      <w:marLeft w:val="0"/>
      <w:marRight w:val="0"/>
      <w:marTop w:val="0"/>
      <w:marBottom w:val="0"/>
      <w:divBdr>
        <w:top w:val="none" w:sz="0" w:space="0" w:color="auto"/>
        <w:left w:val="none" w:sz="0" w:space="0" w:color="auto"/>
        <w:bottom w:val="none" w:sz="0" w:space="0" w:color="auto"/>
        <w:right w:val="none" w:sz="0" w:space="0" w:color="auto"/>
      </w:divBdr>
      <w:divsChild>
        <w:div w:id="1926912559">
          <w:marLeft w:val="0"/>
          <w:marRight w:val="0"/>
          <w:marTop w:val="48"/>
          <w:marBottom w:val="120"/>
          <w:divBdr>
            <w:top w:val="none" w:sz="0" w:space="0" w:color="auto"/>
            <w:left w:val="none" w:sz="0" w:space="0" w:color="auto"/>
            <w:bottom w:val="none" w:sz="0" w:space="0" w:color="auto"/>
            <w:right w:val="none" w:sz="0" w:space="0" w:color="auto"/>
          </w:divBdr>
          <w:divsChild>
            <w:div w:id="14234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376">
      <w:bodyDiv w:val="1"/>
      <w:marLeft w:val="0"/>
      <w:marRight w:val="0"/>
      <w:marTop w:val="0"/>
      <w:marBottom w:val="0"/>
      <w:divBdr>
        <w:top w:val="none" w:sz="0" w:space="0" w:color="auto"/>
        <w:left w:val="none" w:sz="0" w:space="0" w:color="auto"/>
        <w:bottom w:val="none" w:sz="0" w:space="0" w:color="auto"/>
        <w:right w:val="none" w:sz="0" w:space="0" w:color="auto"/>
      </w:divBdr>
    </w:div>
    <w:div w:id="2101759083">
      <w:bodyDiv w:val="1"/>
      <w:marLeft w:val="0"/>
      <w:marRight w:val="0"/>
      <w:marTop w:val="0"/>
      <w:marBottom w:val="0"/>
      <w:divBdr>
        <w:top w:val="none" w:sz="0" w:space="0" w:color="auto"/>
        <w:left w:val="none" w:sz="0" w:space="0" w:color="auto"/>
        <w:bottom w:val="none" w:sz="0" w:space="0" w:color="auto"/>
        <w:right w:val="none" w:sz="0" w:space="0" w:color="auto"/>
      </w:divBdr>
    </w:div>
    <w:div w:id="2121486290">
      <w:bodyDiv w:val="1"/>
      <w:marLeft w:val="0"/>
      <w:marRight w:val="0"/>
      <w:marTop w:val="0"/>
      <w:marBottom w:val="0"/>
      <w:divBdr>
        <w:top w:val="none" w:sz="0" w:space="0" w:color="auto"/>
        <w:left w:val="none" w:sz="0" w:space="0" w:color="auto"/>
        <w:bottom w:val="none" w:sz="0" w:space="0" w:color="auto"/>
        <w:right w:val="none" w:sz="0" w:space="0" w:color="auto"/>
      </w:divBdr>
    </w:div>
    <w:div w:id="214009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F204C1-219C-504F-8717-0A0EFC60245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185</TotalTime>
  <Pages>19</Pages>
  <Words>5381</Words>
  <Characters>30672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75</cp:revision>
  <dcterms:created xsi:type="dcterms:W3CDTF">2025-02-16T17:38:00Z</dcterms:created>
  <dcterms:modified xsi:type="dcterms:W3CDTF">2025-04-22T02:11:00Z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documentId_1961</vt:lpwstr>
  </property>
  <property fmtid="{D5CDD505-2E9C-101B-9397-08002B2CF9AE}" pid="3" name="grammarly_documentContext">
    <vt:lpwstr>{"goals":[],"domain":"general","emotions":[],"dialect":"american"}</vt:lpwstr>
  </property>
</Properties>
</file>