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0000"/>
          <w:sz w:val="16"/>
          <w:szCs w:val="16"/>
        </w:rPr>
        <w:t xml:space="preserve">NERC CIP Vendor Firmware Governance Monitor  (NERC CIP-013, CIP-010, CIP-005)</w:t>
      </w:r>
    </w:p>
    <w:p>
      <w:pPr>
        <w:spacing w:after="100"/>
      </w:pPr>
      <w:r>
        <w:rPr>
          <w:rFonts w:ascii="Calibri" w:cs="Calibri" w:eastAsia="Calibri" w:hAnsi="Calibri"/>
          <w:color w:val="000000"/>
          <w:sz w:val="16"/>
          <w:szCs w:val="16"/>
        </w:rPr>
        <w:t xml:space="preserve">Continuous verification of the firmware and remote access your vendors push into the grid</w:t>
      </w:r>
    </w:p>
    <w:p>
      <w:pPr>
        <w:spacing w:after="200"/>
      </w:pPr>
      <w:r>
        <w:rPr>
          <w:rFonts w:ascii="Calibri" w:cs="Calibri" w:eastAsia="Calibri" w:hAnsi="Calibri"/>
          <w:color w:val="000000"/>
          <w:sz w:val="16"/>
          <w:szCs w:val="16"/>
        </w:rPr>
        <w:t xml:space="preserve">Jacob Joshy|   github.com/jacobjoshy16-commits/vendor-risk-analyst-agent</w:t>
      </w:r>
    </w:p>
    <w:p>
      <w:pPr>
        <w:pStyle w:val="Heading1"/>
        <w:spacing w:after="140"/>
      </w:pPr>
      <w:r>
        <w:rPr>
          <w:rFonts w:ascii="Calibri" w:cs="Calibri" w:eastAsia="Calibri" w:hAnsi="Calibri"/>
          <w:color w:val="2E74B5"/>
          <w:sz w:val="16"/>
          <w:szCs w:val="16"/>
        </w:rPr>
        <w:t xml:space="preserve">The problem</w:t>
      </w:r>
    </w:p>
    <w:p>
      <w:pPr>
        <w:spacing w:after="120"/>
      </w:pPr>
      <w:r>
        <w:rPr>
          <w:rFonts w:ascii="Calibri" w:cs="Calibri" w:eastAsia="Calibri" w:hAnsi="Calibri"/>
          <w:color w:val="000000"/>
          <w:sz w:val="16"/>
          <w:szCs w:val="16"/>
        </w:rPr>
        <w:t xml:space="preserve">When a vendor ships a firmware update to a substation, the standard check is to compare a fingerprint of the file against the fingerprint published on the vendor's download page. If they match, it installs. That proves the file arrived intact. It does not prove the file came from the vendor — if an attacker owns the download server, they own the file and the fingerprint printed beside it. Both match. The check passes. The update installs.</w:t>
      </w:r>
    </w:p>
    <w:p>
      <w:pPr>
        <w:spacing w:after="120"/>
      </w:pPr>
      <w:r>
        <w:rPr>
          <w:rFonts w:ascii="Calibri" w:cs="Calibri" w:eastAsia="Calibri" w:hAnsi="Calibri"/>
          <w:color w:val="000000"/>
          <w:sz w:val="16"/>
          <w:szCs w:val="16"/>
        </w:rPr>
        <w:t xml:space="preserve">Entergy told investors that it and its third-party suppliers have already been attacked and expect to remain targets, while roughly a dozen new generating plants come online and bring new vendor firmware, new remote access, and 21 turbine equipment sets from a single vendor into scope.</w:t>
      </w:r>
    </w:p>
    <w:p>
      <w:pPr>
        <w:spacing w:after="120"/>
      </w:pPr>
      <w:r>
        <w:rPr>
          <w:rFonts w:ascii="Calibri" w:cs="Calibri" w:eastAsia="Calibri" w:hAnsi="Calibri"/>
          <w:color w:val="000000"/>
          <w:sz w:val="16"/>
          <w:szCs w:val="16"/>
        </w:rPr>
        <w:t xml:space="preserve">This tool is the check that can tell the difference.</w:t>
      </w:r>
    </w:p>
    <w:p>
      <w:pPr>
        <w:pStyle w:val="Heading1"/>
        <w:spacing w:after="140"/>
      </w:pPr>
      <w:r>
        <w:rPr>
          <w:rFonts w:ascii="Calibri" w:cs="Calibri" w:eastAsia="Calibri" w:hAnsi="Calibri"/>
          <w:color w:val="2E74B5"/>
          <w:sz w:val="16"/>
          <w:szCs w:val="16"/>
        </w:rPr>
        <w:t xml:space="preserve">What it does</w:t>
      </w:r>
    </w:p>
    <w:p>
      <w:pPr>
        <w:pStyle w:val="ListParagraph"/>
        <w:numPr>
          <w:ilvl w:val="0"/>
          <w:numId w:val="2"/>
        </w:numPr>
        <w:spacing w:after="80"/>
      </w:pPr>
      <w:r>
        <w:rPr>
          <w:rFonts w:ascii="Calibri" w:cs="Calibri" w:eastAsia="Calibri" w:hAnsi="Calibri"/>
          <w:color w:val="000000"/>
          <w:sz w:val="16"/>
          <w:szCs w:val="16"/>
        </w:rPr>
        <w:t xml:space="preserve">Verifies every vendor package by digital signature against a pinned vendor key — and records “the bytes are intact” and “the vendor really sent it” as two separate facts, so one can never stand in for the other.</w:t>
      </w:r>
    </w:p>
    <w:p>
      <w:pPr>
        <w:pStyle w:val="ListParagraph"/>
        <w:numPr>
          <w:ilvl w:val="0"/>
          <w:numId w:val="2"/>
        </w:numPr>
        <w:spacing w:after="80"/>
      </w:pPr>
      <w:r>
        <w:rPr>
          <w:rFonts w:ascii="Calibri" w:cs="Calibri" w:eastAsia="Calibri" w:hAnsi="Calibri"/>
          <w:color w:val="000000"/>
          <w:sz w:val="16"/>
          <w:szCs w:val="16"/>
        </w:rPr>
        <w:t xml:space="preserve">Scores each vendor and each package against 34 NERC CIP control checks drawn from CIP-013, CIP-010, CIP-005, CIP-003 and CIP-004 — the standards a regional entity audit actually asks about.</w:t>
      </w:r>
    </w:p>
    <w:p>
      <w:pPr>
        <w:pStyle w:val="ListParagraph"/>
        <w:numPr>
          <w:ilvl w:val="0"/>
          <w:numId w:val="2"/>
        </w:numPr>
        <w:spacing w:after="80"/>
      </w:pPr>
      <w:r>
        <w:rPr>
          <w:rFonts w:ascii="Calibri" w:cs="Calibri" w:eastAsia="Calibri" w:hAnsi="Calibri"/>
          <w:color w:val="000000"/>
          <w:sz w:val="16"/>
          <w:szCs w:val="16"/>
        </w:rPr>
        <w:t xml:space="preserve">Keeps running. It holds a sealed baseline and alerts the moment a signing key changes, a package fingerprint changes, or a vendor obligation quietly disappears from a renewed contract.</w:t>
      </w:r>
    </w:p>
    <w:p>
      <w:pPr>
        <w:pStyle w:val="ListParagraph"/>
        <w:numPr>
          <w:ilvl w:val="0"/>
          <w:numId w:val="2"/>
        </w:numPr>
        <w:spacing w:after="80"/>
      </w:pPr>
      <w:r>
        <w:rPr>
          <w:rFonts w:ascii="Calibri" w:cs="Calibri" w:eastAsia="Calibri" w:hAnsi="Calibri"/>
          <w:color w:val="000000"/>
          <w:sz w:val="16"/>
          <w:szCs w:val="16"/>
        </w:rPr>
        <w:t xml:space="preserve">Blocks the package and writes the audit record — every allow and every block, with its inputs, its NERC citation, and its reasoning, in an append-only ledger.</w:t>
      </w:r>
    </w:p>
    <w:p>
      <w:pPr>
        <w:pStyle w:val="Heading1"/>
        <w:spacing w:after="140"/>
      </w:pPr>
      <w:r>
        <w:rPr>
          <w:rFonts w:ascii="Calibri" w:cs="Calibri" w:eastAsia="Calibri" w:hAnsi="Calibri"/>
          <w:color w:val="2E74B5"/>
          <w:sz w:val="16"/>
          <w:szCs w:val="16"/>
        </w:rPr>
        <w:t xml:space="preserve">Live system execution</w:t>
      </w:r>
    </w:p>
    <w:p>
      <w:pPr>
        <w:pStyle w:val="Heading2"/>
        <w:spacing w:after="80"/>
      </w:pPr>
      <w:r>
        <w:rPr>
          <w:rFonts w:ascii="Calibri" w:cs="Calibri" w:eastAsia="Calibri" w:hAnsi="Calibri"/>
          <w:color w:val="2E74B5"/>
          <w:sz w:val="16"/>
          <w:szCs w:val="16"/>
        </w:rPr>
        <w:t xml:space="preserve">1.  It reads the contract, not a questionnaire checkbox</w:t>
      </w:r>
    </w:p>
    <w:p>
      <w:pPr>
        <w:spacing w:after="120"/>
      </w:pPr>
      <w:r>
        <w:rPr>
          <w:rFonts w:ascii="Calibri" w:cs="Calibri" w:eastAsia="Calibri" w:hAnsi="Calibri"/>
          <w:color w:val="000000"/>
          <w:sz w:val="16"/>
          <w:szCs w:val="16"/>
        </w:rPr>
        <w:t xml:space="preserve">Onboarded a vendor from a signed master agreement and a security questionnaire, and pulled out what the vendor actually committed to: incident notification timelines, remote access coordination, verification support, personnel vetting.</w:t>
      </w:r>
    </w:p>
    <w:p>
      <w:pPr>
        <w:pBdr>
          <w:top w:val="dashed" w:color="2E74B5" w:sz="4" w:space="10"/>
          <w:left w:val="dashed" w:color="2E74B5" w:sz="4" w:space="10"/>
          <w:bottom w:val="dashed" w:color="2E74B5" w:sz="4" w:space="10"/>
          <w:right w:val="dashed" w:color="2E74B5" w:sz="4" w:space="10"/>
        </w:pBdr>
        <w:spacing w:after="180" w:before="60"/>
        <w:jc w:val="center"/>
      </w:pPr>
      <w:r>
        <w:rPr>
          <w:rFonts w:ascii="Calibri" w:cs="Calibri" w:eastAsia="Calibri" w:hAnsi="Calibri"/>
          <w:b/>
          <w:bCs/>
          <w:color w:val="2E74B5"/>
          <w:sz w:val="16"/>
          <w:szCs w:val="16"/>
        </w:rPr>
        <w:t xml:space="preserve">[ UPLOAD SCREENSHOT 1 OF THE WALKTHROUGH HERE — VENDOR ONBOARDING ]</w:t>
      </w:r>
    </w:p>
    <w:p>
      <w:pPr>
        <w:spacing w:after="180"/>
      </w:pPr>
      <w:r>
        <w:rPr>
          <w:rFonts w:ascii="Calibri" w:cs="Calibri" w:eastAsia="Calibri" w:hAnsi="Calibri"/>
          <w:b/>
          <w:bCs/>
          <w:color w:val="000000"/>
          <w:sz w:val="16"/>
          <w:szCs w:val="16"/>
        </w:rPr>
        <w:t xml:space="preserve">What this shows:  </w:t>
      </w:r>
      <w:r>
        <w:rPr>
          <w:rFonts w:ascii="Calibri" w:cs="Calibri" w:eastAsia="Calibri" w:hAnsi="Calibri"/>
          <w:color w:val="000000"/>
          <w:sz w:val="16"/>
          <w:szCs w:val="16"/>
        </w:rPr>
        <w:t xml:space="preserve">Eight CIP-013 obligations adjudicated straight from the contract text — two raised as critical exceptions and seven held back as unanswered questions because the wording did not actually support them. An annual questionnaire would have returned a “yes” on all eight.</w:t>
      </w:r>
    </w:p>
    <w:p>
      <w:pPr>
        <w:pStyle w:val="Heading2"/>
        <w:spacing w:after="80"/>
      </w:pPr>
      <w:r>
        <w:rPr>
          <w:rFonts w:ascii="Calibri" w:cs="Calibri" w:eastAsia="Calibri" w:hAnsi="Calibri"/>
          <w:color w:val="2E74B5"/>
          <w:sz w:val="16"/>
          <w:szCs w:val="16"/>
        </w:rPr>
        <w:t xml:space="preserve">2.  It catches the update that should never install</w:t>
      </w:r>
    </w:p>
    <w:p>
      <w:pPr>
        <w:spacing w:after="120"/>
      </w:pPr>
      <w:r>
        <w:rPr>
          <w:rFonts w:ascii="Calibri" w:cs="Calibri" w:eastAsia="Calibri" w:hAnsi="Calibri"/>
          <w:color w:val="000000"/>
          <w:sz w:val="16"/>
          <w:szCs w:val="16"/>
        </w:rPr>
        <w:t xml:space="preserve">A vendor distribution server pushed a substituted firmware package for a substation controller. The published fingerprint matched the file, exactly as it is supposed to.</w:t>
      </w:r>
    </w:p>
    <w:p>
      <w:pPr>
        <w:pBdr>
          <w:top w:val="dashed" w:color="2E74B5" w:sz="4" w:space="10"/>
          <w:left w:val="dashed" w:color="2E74B5" w:sz="4" w:space="10"/>
          <w:bottom w:val="dashed" w:color="2E74B5" w:sz="4" w:space="10"/>
          <w:right w:val="dashed" w:color="2E74B5" w:sz="4" w:space="10"/>
        </w:pBdr>
        <w:spacing w:after="180" w:before="60"/>
        <w:jc w:val="center"/>
      </w:pPr>
      <w:r>
        <w:rPr>
          <w:rFonts w:ascii="Calibri" w:cs="Calibri" w:eastAsia="Calibri" w:hAnsi="Calibri"/>
          <w:b/>
          <w:bCs/>
          <w:color w:val="2E74B5"/>
          <w:sz w:val="16"/>
          <w:szCs w:val="16"/>
        </w:rPr>
        <w:t xml:space="preserve">[ UPLOAD SCREENSHOT 2 OF THE WALKTHROUGH HERE — FIRMWARE PUSH, GENUINE vs SUBSTITUTED ]</w:t>
      </w:r>
    </w:p>
    <w:p>
      <w:pPr>
        <w:spacing w:after="180"/>
      </w:pPr>
      <w:r>
        <w:rPr>
          <w:rFonts w:ascii="Calibri" w:cs="Calibri" w:eastAsia="Calibri" w:hAnsi="Calibri"/>
          <w:b/>
          <w:bCs/>
          <w:color w:val="000000"/>
          <w:sz w:val="16"/>
          <w:szCs w:val="16"/>
        </w:rPr>
        <w:t xml:space="preserve">What this shows:  </w:t>
      </w:r>
      <w:r>
        <w:rPr>
          <w:rFonts w:ascii="Calibri" w:cs="Calibri" w:eastAsia="Calibri" w:hAnsi="Calibri"/>
          <w:color w:val="000000"/>
          <w:sz w:val="16"/>
          <w:szCs w:val="16"/>
        </w:rPr>
        <w:t xml:space="preserve">The genuine signed package allowed, the substituted package blocked. The fingerprint check passed on both. The signature check is the only thing that separated them, and this is the whole point of the project: a matching hash tells you nothing about who sent the file.</w:t>
      </w:r>
    </w:p>
    <w:p>
      <w:pPr>
        <w:pStyle w:val="Heading2"/>
        <w:spacing w:after="80"/>
      </w:pPr>
      <w:r>
        <w:rPr>
          <w:rFonts w:ascii="Calibri" w:cs="Calibri" w:eastAsia="Calibri" w:hAnsi="Calibri"/>
          <w:color w:val="2E74B5"/>
          <w:sz w:val="16"/>
          <w:szCs w:val="16"/>
        </w:rPr>
        <w:t xml:space="preserve">3.  Every finding comes with its evidence</w:t>
      </w:r>
    </w:p>
    <w:p>
      <w:pPr>
        <w:spacing w:after="120"/>
      </w:pPr>
      <w:r>
        <w:rPr>
          <w:rFonts w:ascii="Calibri" w:cs="Calibri" w:eastAsia="Calibri" w:hAnsi="Calibri"/>
          <w:color w:val="000000"/>
          <w:sz w:val="16"/>
          <w:szCs w:val="16"/>
        </w:rPr>
        <w:t xml:space="preserve">Findings are not summaries. Each one carries the NERC standard and requirement it failed, the observed field values, a due date anchored to the day it was first seen, and the vendor's own sentence as proof.</w:t>
      </w:r>
    </w:p>
    <w:p>
      <w:pPr>
        <w:pBdr>
          <w:top w:val="dashed" w:color="2E74B5" w:sz="4" w:space="10"/>
          <w:left w:val="dashed" w:color="2E74B5" w:sz="4" w:space="10"/>
          <w:bottom w:val="dashed" w:color="2E74B5" w:sz="4" w:space="10"/>
          <w:right w:val="dashed" w:color="2E74B5" w:sz="4" w:space="10"/>
        </w:pBdr>
        <w:spacing w:after="180" w:before="60"/>
        <w:jc w:val="center"/>
      </w:pPr>
      <w:r>
        <w:rPr>
          <w:rFonts w:ascii="Calibri" w:cs="Calibri" w:eastAsia="Calibri" w:hAnsi="Calibri"/>
          <w:b/>
          <w:bCs/>
          <w:color w:val="2E74B5"/>
          <w:sz w:val="16"/>
          <w:szCs w:val="16"/>
        </w:rPr>
        <w:t xml:space="preserve">[ UPLOAD SCREENSHOT 3 OF THE WALKTHROUGH HERE — A FINDING WITH ITS CIP CITATION AND QUOTE ]</w:t>
      </w:r>
    </w:p>
    <w:p>
      <w:pPr>
        <w:spacing w:after="180"/>
      </w:pPr>
      <w:r>
        <w:rPr>
          <w:rFonts w:ascii="Calibri" w:cs="Calibri" w:eastAsia="Calibri" w:hAnsi="Calibri"/>
          <w:b/>
          <w:bCs/>
          <w:color w:val="000000"/>
          <w:sz w:val="16"/>
          <w:szCs w:val="16"/>
        </w:rPr>
        <w:t xml:space="preserve">What this shows:  </w:t>
      </w:r>
      <w:r>
        <w:rPr>
          <w:rFonts w:ascii="Calibri" w:cs="Calibri" w:eastAsia="Calibri" w:hAnsi="Calibri"/>
          <w:color w:val="000000"/>
          <w:sz w:val="16"/>
          <w:szCs w:val="16"/>
        </w:rPr>
        <w:t xml:space="preserve">A blocked package tied to CIP-010-4 R1 Part 1.6, with the failed verification recorded as two separate results — integrity and source identity — rather than one pass/fail anyone could argue with.</w:t>
      </w:r>
    </w:p>
    <w:p>
      <w:pPr>
        <w:pStyle w:val="Heading2"/>
        <w:spacing w:after="80"/>
      </w:pPr>
      <w:r>
        <w:rPr>
          <w:rFonts w:ascii="Calibri" w:cs="Calibri" w:eastAsia="Calibri" w:hAnsi="Calibri"/>
          <w:color w:val="2E74B5"/>
          <w:sz w:val="16"/>
          <w:szCs w:val="16"/>
        </w:rPr>
        <w:t xml:space="preserve">4.  The AI's work is logged</w:t>
      </w:r>
    </w:p>
    <w:p>
      <w:pPr>
        <w:spacing w:after="120"/>
      </w:pPr>
      <w:r>
        <w:rPr>
          <w:rFonts w:ascii="Calibri" w:cs="Calibri" w:eastAsia="Calibri" w:hAnsi="Calibri"/>
          <w:color w:val="000000"/>
          <w:sz w:val="16"/>
          <w:szCs w:val="16"/>
        </w:rPr>
        <w:t xml:space="preserve">A live ledger of every decision the local model contributed to: what it was asked, what it answered, which model answered, and whether the package was allowed or blocked.</w:t>
      </w:r>
    </w:p>
    <w:p>
      <w:pPr>
        <w:pBdr>
          <w:top w:val="dashed" w:color="2E74B5" w:sz="4" w:space="10"/>
          <w:left w:val="dashed" w:color="2E74B5" w:sz="4" w:space="10"/>
          <w:bottom w:val="dashed" w:color="2E74B5" w:sz="4" w:space="10"/>
          <w:right w:val="dashed" w:color="2E74B5" w:sz="4" w:space="10"/>
        </w:pBdr>
        <w:spacing w:after="180" w:before="60"/>
        <w:jc w:val="center"/>
      </w:pPr>
      <w:r>
        <w:rPr>
          <w:rFonts w:ascii="Calibri" w:cs="Calibri" w:eastAsia="Calibri" w:hAnsi="Calibri"/>
          <w:b/>
          <w:bCs/>
          <w:color w:val="2E74B5"/>
          <w:sz w:val="16"/>
          <w:szCs w:val="16"/>
        </w:rPr>
        <w:t xml:space="preserve">[ UPLOAD SCREENSHOT 4 OF THE WALKTHROUGH HERE — AGENT DECISION LEDGER ]</w:t>
      </w:r>
    </w:p>
    <w:p>
      <w:pPr>
        <w:spacing w:after="180"/>
      </w:pPr>
      <w:r>
        <w:rPr>
          <w:rFonts w:ascii="Calibri" w:cs="Calibri" w:eastAsia="Calibri" w:hAnsi="Calibri"/>
          <w:b/>
          <w:bCs/>
          <w:color w:val="000000"/>
          <w:sz w:val="16"/>
          <w:szCs w:val="16"/>
        </w:rPr>
        <w:t xml:space="preserve">What this shows:  </w:t>
      </w:r>
      <w:r>
        <w:rPr>
          <w:rFonts w:ascii="Calibri" w:cs="Calibri" w:eastAsia="Calibri" w:hAnsi="Calibri"/>
          <w:color w:val="000000"/>
          <w:sz w:val="16"/>
          <w:szCs w:val="16"/>
        </w:rPr>
        <w:t xml:space="preserve">Seven decisions in one cycle — two allows and five blocks — each attributed to the local model that produced the reasoning behind it.</w:t>
      </w:r>
    </w:p>
    <w:p>
      <w:pPr>
        <w:spacing w:after="120"/>
      </w:pPr>
      <w:r>
        <w:rPr>
          <w:rFonts w:ascii="Calibri" w:cs="Calibri" w:eastAsia="Calibri" w:hAnsi="Calibri"/>
          <w:color w:val="000000"/>
          <w:sz w:val="16"/>
          <w:szCs w:val="16"/>
        </w:rPr>
        <w:t xml:space="preserve">The AI in this tool cannot invent a NERC obligation. It reads messy procurement documents and drafts the wording — but it is structurally unable to create a finding, raise a severity, or set a deadline. It cannot claim a contract clause exists without quoting the sentence, and code then re-checks that sentence against the document, rejects a quote that is not actually about the obligation it was offered for, and refuses the same sentence being spent twice. If it finds nothing, that becomes an open question for a human, never a satisfied control. Those separations are enforced by tests, not by good intentions.</w:t>
      </w:r>
    </w:p>
    <w:p>
      <w:pPr>
        <w:spacing w:after="120"/>
      </w:pPr>
      <w:r>
        <w:rPr>
          <w:rFonts w:ascii="Calibri" w:cs="Calibri" w:eastAsia="Calibri" w:hAnsi="Calibri"/>
          <w:color w:val="000000"/>
          <w:sz w:val="16"/>
          <w:szCs w:val="16"/>
        </w:rPr>
        <w:t xml:space="preserve">For a security team, this is the difference between a tool you can put in front of a NERC auditor and a chatbot you have to double-check.</w:t>
      </w:r>
    </w:p>
    <w:p>
      <w:pPr>
        <w:spacing w:after="120"/>
      </w:pPr>
      <w:r>
        <w:rPr>
          <w:rFonts w:ascii="Calibri" w:cs="Calibri" w:eastAsia="Calibri" w:hAnsi="Calibri"/>
          <w:color w:val="000000"/>
          <w:sz w:val="16"/>
          <w:szCs w:val="16"/>
        </w:rPr>
        <w:t xml:space="preserve">It also runs entirely on the machine, on a local AI model. Vendor contracts and firmware data do not leave it.</w:t>
      </w:r>
    </w:p>
    <w:p>
      <w:pPr>
        <w:pStyle w:val="Heading1"/>
        <w:spacing w:after="140"/>
      </w:pPr>
      <w:r>
        <w:rPr>
          <w:rFonts w:ascii="Calibri" w:cs="Calibri" w:eastAsia="Calibri" w:hAnsi="Calibri"/>
          <w:color w:val="2E74B5"/>
          <w:sz w:val="16"/>
          <w:szCs w:val="16"/>
        </w:rPr>
        <w:t xml:space="preserve">Sandbox environment tested</w:t>
      </w:r>
    </w:p>
    <w:p>
      <w:pPr>
        <w:spacing w:after="120"/>
      </w:pPr>
      <w:r>
        <w:rPr>
          <w:rFonts w:ascii="Calibri" w:cs="Calibri" w:eastAsia="Calibri" w:hAnsi="Calibri"/>
          <w:color w:val="000000"/>
          <w:sz w:val="16"/>
          <w:szCs w:val="16"/>
        </w:rPr>
        <w:t xml:space="preserve">I built a controlled grid: 1,300 synthetic substations, roughly 7,500 synthetic devices, and fictional vendors with signed contracts and signed firmware. I planted a substituted package inside one vendor's distribution and left the others genuine. A detector that blocks a genuine package is a detector nobody will trust, so the genuine ones are the real test.</w:t>
      </w:r>
    </w:p>
    <w:p>
      <w:pPr>
        <w:pStyle w:val="ListParagraph"/>
        <w:numPr>
          <w:ilvl w:val="0"/>
          <w:numId w:val="2"/>
        </w:numPr>
        <w:spacing w:after="80"/>
      </w:pPr>
      <w:r>
        <w:rPr>
          <w:rFonts w:ascii="Calibri" w:cs="Calibri" w:eastAsia="Calibri" w:hAnsi="Calibri"/>
          <w:color w:val="000000"/>
          <w:sz w:val="16"/>
          <w:szCs w:val="16"/>
        </w:rPr>
        <w:t xml:space="preserve">Around 585 automated tests, including tests whose only job is to verify the AI cannot create a finding or assert a clause it cannot quote.</w:t>
      </w:r>
    </w:p>
    <w:p>
      <w:pPr>
        <w:pStyle w:val="ListParagraph"/>
        <w:numPr>
          <w:ilvl w:val="0"/>
          <w:numId w:val="2"/>
        </w:numPr>
        <w:spacing w:after="80"/>
      </w:pPr>
      <w:r>
        <w:rPr>
          <w:rFonts w:ascii="Calibri" w:cs="Calibri" w:eastAsia="Calibri" w:hAnsi="Calibri"/>
          <w:color w:val="000000"/>
          <w:sz w:val="16"/>
          <w:szCs w:val="16"/>
        </w:rPr>
        <w:t xml:space="preserve">22 of the 34 control citations verified line by line against current NERC standard text; the remaining CIP-004 checks have confirmed revisions but unverified part numbers, and that gap is written down rather than hidden.</w:t>
      </w:r>
    </w:p>
    <w:p>
      <w:pPr>
        <w:pStyle w:val="ListParagraph"/>
        <w:numPr>
          <w:ilvl w:val="0"/>
          <w:numId w:val="2"/>
        </w:numPr>
        <w:spacing w:after="80"/>
      </w:pPr>
      <w:r>
        <w:rPr>
          <w:rFonts w:ascii="Calibri" w:cs="Calibri" w:eastAsia="Calibri" w:hAnsi="Calibri"/>
          <w:color w:val="000000"/>
          <w:sz w:val="16"/>
          <w:szCs w:val="16"/>
        </w:rPr>
        <w:t xml:space="preserve">A real defect found during my own live validation: the model satisfied the quote check by citing a genuine sentence about a different requirement, and would have written a clause into the record that the contract does not contain. Fixed with relevance and re-use checks, documented publicly, alongside a written list of what this project does not prove.</w:t>
      </w:r>
    </w:p>
    <w:p>
      <w:pPr>
        <w:pStyle w:val="Heading1"/>
        <w:spacing w:after="140"/>
      </w:pPr>
      <w:r>
        <w:rPr>
          <w:rFonts w:ascii="Calibri" w:cs="Calibri" w:eastAsia="Calibri" w:hAnsi="Calibri"/>
          <w:color w:val="2E74B5"/>
          <w:sz w:val="16"/>
          <w:szCs w:val="16"/>
        </w:rPr>
        <w:t xml:space="preserve">Built with</w:t>
      </w:r>
    </w:p>
    <w:p>
      <w:pPr>
        <w:spacing w:after="120"/>
      </w:pPr>
      <w:r>
        <w:rPr>
          <w:rFonts w:ascii="Calibri" w:cs="Calibri" w:eastAsia="Calibri" w:hAnsi="Calibri"/>
          <w:color w:val="000000"/>
          <w:sz w:val="16"/>
          <w:szCs w:val="16"/>
        </w:rPr>
        <w:t xml:space="preserve">Python  ·  A private AI model running locally (Qwen2.5:7b-instruct – running via Ollama)  ·  Ed25519 signature verification and SHA-256 integrity hashing  ·  NERC CIP-013-2, CIP-010-4, CIP-005-7, CIP-003-9 and CIP-004-7</w:t>
      </w:r>
    </w:p>
    <w:p>
      <w:pPr>
        <w:spacing w:after="0"/>
      </w:pPr>
      <w:r>
        <w:rPr>
          <w:rFonts w:ascii="Calibri" w:cs="Calibri" w:eastAsia="Calibri" w:hAnsi="Calibri"/>
          <w:i/>
          <w:iCs/>
          <w:color w:val="000000"/>
          <w:sz w:val="16"/>
          <w:szCs w:val="16"/>
        </w:rPr>
        <w:t xml:space="preserve">Every substation, vendor, contract, key and firmware package in this project is synthetic. No Entergy data was used and no claim is made about Entergy's actual systems.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val="false"/>
      <w:bCs w:val="false"/>
      <w:color w:val="2E74B5"/>
      <w:sz w:val="16"/>
      <w:szCs w:val="16"/>
    </w:rPr>
  </w:style>
  <w:style w:type="paragraph" w:styleId="Heading2">
    <w:name w:val="Heading 2"/>
    <w:basedOn w:val="Normal"/>
    <w:next w:val="Normal"/>
    <w:qFormat/>
    <w:rPr>
      <w:rFonts w:ascii="Calibri" w:cs="Calibri" w:eastAsia="Calibri" w:hAnsi="Calibri"/>
      <w:b w:val="false"/>
      <w:bCs w:val="false"/>
      <w:color w:val="2E74B5"/>
      <w:sz w:val="16"/>
      <w:szCs w:val="1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NERC CIP Vendor Firmware Governance Monitor</dc:title>
  <dc:creator>Jacob Joshy</dc:creator>
  <cp:lastModifiedBy>Un-named</cp:lastModifiedBy>
  <cp:revision>1</cp:revision>
  <dcterms:created xsi:type="dcterms:W3CDTF">2026-09-23T00:54:42.429Z</dcterms:created>
  <dcterms:modified xsi:type="dcterms:W3CDTF">2026-09-23T00:54:42.429Z</dcterms:modified>
</cp:coreProperties>
</file>

<file path=docProps/custom.xml><?xml version="1.0" encoding="utf-8"?>
<Properties xmlns="http://schemas.openxmlformats.org/officeDocument/2006/custom-properties" xmlns:vt="http://schemas.openxmlformats.org/officeDocument/2006/docPropsVTypes"/>
</file>