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</w:pPr>
      <w:r>
        <w:rPr>
          <w:rFonts w:ascii="Calibri" w:cs="Calibri" w:eastAsia="Calibri" w:hAnsi="Calibri"/>
          <w:b/>
          <w:bCs/>
          <w:color w:val="2E5A88"/>
          <w:sz w:val="17"/>
          <w:szCs w:val="17"/>
        </w:rPr>
        <w:t xml:space="preserve">PORTFOLIO PROJECT  ·  CYBERSECURITY / GRID SUPPLY CHAIN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Vendor Firmware Provenance &amp; NERC CIP Evidence Agent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A working model of the third-party risk Entergy describes in its own Form 10-K.</w:t>
      </w:r>
    </w:p>
    <w:p>
      <w:pPr>
        <w:pBdr>
          <w:bottom w:val="single" w:color="1F3864" w:sz="12" w:space="6"/>
        </w:pBdr>
        <w:spacing w:after="24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[YOUR NAME]  ·  [University, expected graduation]  ·  [email]  ·  [github.com/your-repo]</w:t>
      </w:r>
    </w:p>
    <w:p>
      <w:pPr>
        <w:pStyle w:val="Heading1"/>
        <w:pBdr>
          <w:bottom w:val="single" w:color="2E5A8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 Why I built this — in Entergy's own words</w:t>
      </w:r>
    </w:p>
    <w:p>
      <w:pPr>
        <w:spacing w:after="12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 didn't invent this problem. I read Entergy's FY2025 Form 10-K and built a working model of the risk it describes.</w:t>
      </w:r>
    </w:p>
    <w:p>
      <w:pPr>
        <w:pBdr>
          <w:left w:val="single" w:color="2E5A88" w:sz="18" w:space="10"/>
        </w:pBdr>
        <w:spacing w:after="40" w:line="276"/>
        <w:ind w:left="36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Entergy and its third-party suppliers have already experienced cybersecurity attacks, and expect to continue to be targets.</w:t>
      </w:r>
    </w:p>
    <w:p>
      <w:pPr>
        <w:pBdr>
          <w:left w:val="single" w:color="2E5A88" w:sz="18" w:space="10"/>
        </w:pBdr>
        <w:spacing w:after="200" w:line="276"/>
        <w:ind w:left="360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— Form 10-K, Item 1A, Risk Factors (paraphrase — verify exact wording before circulating)</w:t>
      </w:r>
    </w:p>
    <w:p>
      <w:pPr>
        <w:spacing w:after="12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Three more disclosures from the same filing frame the rest of this document:</w:t>
      </w:r>
    </w:p>
    <w:tbl>
      <w:tblPr>
        <w:tblW w:type="dxa" w:w="9360"/>
        <w:tblBorders>
          <w:top w:val="single" w:color="BFCBD9" w:sz="2"/>
          <w:left w:val="single" w:color="BFCBD9" w:sz="2"/>
          <w:bottom w:val="single" w:color="BFCBD9" w:sz="2"/>
          <w:right w:val="single" w:color="BFCBD9" w:sz="2"/>
          <w:insideH w:val="single" w:color="BFCBD9" w:sz="2"/>
          <w:insideV w:val="single" w:color="BFCBD9" w:sz="2"/>
        </w:tblBorders>
      </w:tblPr>
      <w:tblGrid>
        <w:gridCol w:w="2100"/>
        <w:gridCol w:w="3900"/>
        <w:gridCol w:w="33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Filing location</w:t>
            </w:r>
          </w:p>
        </w:tc>
        <w:tc>
          <w:tcPr>
            <w:tcW w:type="dxa" w:w="39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Entergy disclosed</w:t>
            </w:r>
          </w:p>
        </w:tc>
        <w:tc>
          <w:tcPr>
            <w:tcW w:type="dxa" w:w="336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implies operationally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Item 1A — Risk Factors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Names attacks on critical suppliers, contractors, and other third parties interconnected through the grid, with potential loss of operational control and service interruption.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 compromised vendor is a path to operational control — not just a data-privacy event.</w:t>
            </w:r>
          </w:p>
        </w:tc>
      </w:tr>
      <w:tr>
        <w:tc>
          <w:tcPr>
            <w:tcW w:type="dxa" w:w="2100"/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Item 1A — Risk Factors</w:t>
            </w:r>
          </w:p>
        </w:tc>
        <w:tc>
          <w:tcPr>
            <w:tcW w:type="dxa" w:w="3900"/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States Entergy cannot anticipate, detect, or implement fully preventive measures against all cybersecurity threats, and specifically names threats fueled by artificial intelligence.</w:t>
            </w:r>
          </w:p>
        </w:tc>
        <w:tc>
          <w:tcPr>
            <w:tcW w:type="dxa" w:w="3360"/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Prevention alone is not the plan. Detection and defensible evidence carry the weight.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Item 1C — Cybersecurity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Describes a vendor risk management program and threat-intelligence services that continuously monitor the cybersecurity risk of key vendors.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The program already exists. What is scarce is per-artifact evidence, per-control, at the moment the change arrives.</w:t>
            </w:r>
          </w:p>
        </w:tc>
      </w:tr>
      <w:tr>
        <w:tc>
          <w:tcPr>
            <w:tcW w:type="dxa" w:w="2100"/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Capital plan &amp; Note 8</w:t>
            </w:r>
          </w:p>
        </w:tc>
        <w:tc>
          <w:tcPr>
            <w:tcW w:type="dxa" w:w="3900"/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Approximately $6.35B (2026) and $8.01B (2027) of generation spend, roughly a dozen new plants, and 21 turbine equipment sets from a single vendor with 7 delivered.</w:t>
            </w:r>
          </w:p>
        </w:tc>
        <w:tc>
          <w:tcPr>
            <w:tcW w:type="dxa" w:w="3360"/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Every new plant adds vendors, firmware, and remote-access accounts to CIP scope — and single-sourcing concentrates that exposure.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/>
      </w:r>
    </w:p>
    <w:p>
      <w:pPr>
        <w:shd w:fill="F4F7FB" w:color="auto" w:val="clear"/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One date worth connecting: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NERC CIP-003-9 Attachment 1, Section 6 — vendor electronic remote access controls for low-impact assets — becomes enforceable 1 April 2026. That pulls a population of assets with previously light requirements into scope at the same moment the generation buildout is adding new vendors. Those are two public facts placed side by side, not a claim from the filing.</w:t>
      </w:r>
    </w:p>
    <w:p>
      <w:pPr>
        <w:spacing w:after="200" w:line="276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Template note: every quotation above should be checked against the filed 10-K and given an exact item and page reference before this document leaves your hands. A misquoted filing costs you the room.</w:t>
      </w:r>
    </w:p>
    <w:p>
      <w:pPr>
        <w:pStyle w:val="Heading1"/>
        <w:pBdr>
          <w:bottom w:val="single" w:color="2E5A8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 The specific gap I went after</w:t>
      </w:r>
    </w:p>
    <w:p>
      <w:pPr>
        <w:spacing w:after="12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When a vendor ships a firmware or software update, the normal check is: download the file, compute a fingerprint of its contents, and compare that fingerprint to the one published on the vendor's download page. If they match, install it.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That check answers one question: did the file arrive intact? It does not answer the one that matters here: did the file actually come from the vendor?</w:t>
      </w:r>
    </w:p>
    <w:p>
      <w:pPr>
        <w:spacing w:after="12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If an attacker controls the vendor's distribution server — which is exactly the supplier compromise the filing describes — they control the file and the fingerprint printed next to it. Both match. The check passes. The update installs.</w:t>
      </w:r>
    </w:p>
    <w:p>
      <w:pPr>
        <w:spacing w:after="12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answer is a digital signature. The vendor holds a private key; the utility holds only the vendor's public key. Only the true holder of that private key can produce a signature the public key accepts. A stolen server does not get you the key.</w:t>
      </w:r>
    </w:p>
    <w:p>
      <w:pPr>
        <w:spacing w:after="12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So my tool records two separate facts about every package: whether the bytes changed, and whether the vendor really sent it. It will not let the first stand in for the second.</w:t>
      </w:r>
    </w:p>
    <w:p>
      <w:pPr>
        <w:pStyle w:val="Heading1"/>
        <w:pBdr>
          <w:bottom w:val="single" w:color="2E5A8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 What the tool does</w:t>
      </w:r>
    </w:p>
    <w:p>
      <w:pPr>
        <w:spacing w:after="12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It sits in front of vendor software and firmware entering the estate, and it runs continuously rather than once.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Onboard the vendor — reads the signed master agreement and the security questionnaire, and extracts what the vendor actually committed to: incident notification timelines, remote-access coordination, verification support, personnel vetting.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Check the artifact — verifies the vendor's signature against a pinned key, and records integrity and source identity as two independent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Apply the rules — evaluates the result against 34 NERC control checks drawn from CIP-013, CIP-010, CIP-005, CIP-003 and CIP-004, then allows or blocks the package.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Write the record — every decision, its inputs, and its reasoning land in an append-only ledger with the finding's age and due date, so an auditor can see what was known and when.</w:t>
      </w:r>
    </w:p>
    <w:p>
      <w:pPr>
        <w:spacing w:after="20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Between runs it holds a sealed baseline and alerts on drift: a changed signing key, a changed package fingerprint, a vendor obligation that quietly disappeared from a renewed contract.</w:t>
      </w:r>
    </w:p>
    <w:p>
      <w:r>
        <w:br w:type="page"/>
      </w:r>
    </w:p>
    <w:p>
      <w:pPr>
        <w:pStyle w:val="Heading1"/>
        <w:pBdr>
          <w:bottom w:val="single" w:color="2E5A8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 What the local model does — and what it is not allowed to do</w:t>
      </w:r>
    </w:p>
    <w:p>
      <w:pPr>
        <w:spacing w:after="12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tool runs a local language model (Qwen 2.5 7B, through Ollama) on my own machine. Contract text never leaves the environment — no vendor agreement is sent to a third-party API.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A88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Reads the vendor contract and questionnaire and identifies which NERC obligations the vendor appears to have accepted, quoting the sentence it relied 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Writes the human-readable reasoning attached to each allow or block decision, so the record explains itself.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A88"/>
          <w:sz w:val="22"/>
          <w:szCs w:val="22"/>
        </w:rPr>
        <w:t xml:space="preserve">What it is structurally prevented from doing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Claiming without quoting.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Code searches the source document for the exact sentence the model cited. No quote, no claim.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Reusing evidence.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 quote must be topically relevant to the obligation it is offered for, and one sentence cannot be spent on two different obligations.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Escalating on its own.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 model-sourced quote can never raise a critical finding by itself. Criticals require a fact a human registered.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Passing by silence.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If the model finds nothing, that is recorded as an information gap for a human — never as a satisfied control. Presence can be evidenced; absence cannot.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Why this shape: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the filing names AI-fuelled threats and says the company cannot fully prevent what it cannot anticipate. A model that can invent a contract clause is a liability inside a compliance record. So the model reasons and drafts; code adjudicates and refuses.</w:t>
      </w:r>
    </w:p>
    <w:p>
      <w:pPr>
        <w:shd w:fill="F4F7FB" w:color="auto" w:val="clear"/>
        <w:spacing w:after="20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Honest observation from a live run: </w:t>
      </w:r>
      <w:r>
        <w:rPr>
          <w:rFonts w:ascii="Calibri" w:cs="Calibri" w:eastAsia="Calibri" w:hAnsi="Calibri"/>
          <w:color w:val="1F3864"/>
          <w:sz w:val="21"/>
          <w:szCs w:val="21"/>
        </w:rPr>
        <w:t xml:space="preserve">the model missed one obligation that was genuinely present in the contract (CIP-013 R1.2.6, remote-access coordination). The design handled it the way it should — the obligation became an information gap for a human to resolve, not a false pass. That is the failure mode I built for.</w:t>
      </w:r>
    </w:p>
    <w:p>
      <w:pPr>
        <w:pStyle w:val="Heading1"/>
        <w:pBdr>
          <w:bottom w:val="single" w:color="2E5A8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 Evidence it runs</w:t>
      </w:r>
    </w:p>
    <w:p>
      <w:pPr>
        <w:spacing w:after="12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Captured from a live run against synthetic data on my own machine, not a description of intended behaviour.</w:t>
      </w:r>
    </w:p>
    <w:tbl>
      <w:tblPr>
        <w:tblW w:type="dxa" w:w="9360"/>
        <w:tblBorders>
          <w:top w:val="single" w:color="BFCBD9" w:sz="2"/>
          <w:left w:val="single" w:color="BFCBD9" w:sz="2"/>
          <w:bottom w:val="single" w:color="BFCBD9" w:sz="2"/>
          <w:right w:val="single" w:color="BFCBD9" w:sz="2"/>
          <w:insideH w:val="single" w:color="BFCBD9" w:sz="2"/>
          <w:insideV w:val="single" w:color="BFCBD9" w:sz="2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 ran</w:t>
            </w:r>
          </w:p>
        </w:tc>
        <w:tc>
          <w:tcPr>
            <w:tcW w:type="dxa" w:w="516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came back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Vendor onboarding against a synthetic master agreement and questionnaire</w:t>
            </w:r>
          </w:p>
        </w:tc>
        <w:tc>
          <w:tcPr>
            <w:tcW w:type="dxa" w:w="516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8 contract obligations adjudicated; 7 recorded as information gaps; 2 critical exceptions raised</w:t>
            </w:r>
          </w:p>
        </w:tc>
      </w:tr>
      <w:tr>
        <w:tc>
          <w:tcPr>
            <w:tcW w:type="dxa" w:w="4200"/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Firmware push simulation — genuine package vs. substituted package</w:t>
            </w:r>
          </w:p>
        </w:tc>
        <w:tc>
          <w:tcPr>
            <w:tcW w:type="dxa" w:w="5160"/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Genuine signed package allowed; substituted package blocked, because the fingerprint matched and the signature did not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Agent decision ledger</w:t>
            </w:r>
          </w:p>
        </w:tc>
        <w:tc>
          <w:tcPr>
            <w:tcW w:type="dxa" w:w="516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7 records — 2 allow, 5 block — each attributed to ollama/qwen2.5:7b-instruct with its stated reasoning</w:t>
            </w:r>
          </w:p>
        </w:tc>
      </w:tr>
      <w:tr>
        <w:tc>
          <w:tcPr>
            <w:tcW w:type="dxa" w:w="4200"/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Control coverage</w:t>
            </w:r>
          </w:p>
        </w:tc>
        <w:tc>
          <w:tcPr>
            <w:tcW w:type="dxa" w:w="5160"/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34 NERC control checks; 22 of 34 citations verified line by line against current standard text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Automated test suite</w:t>
            </w:r>
          </w:p>
        </w:tc>
        <w:tc>
          <w:tcPr>
            <w:tcW w:type="dxa" w:w="516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Approximately 585 tests</w:t>
            </w:r>
          </w:p>
        </w:tc>
      </w:tr>
      <w:tr>
        <w:tc>
          <w:tcPr>
            <w:tcW w:type="dxa" w:w="4200"/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Synthetic estate</w:t>
            </w:r>
          </w:p>
        </w:tc>
        <w:tc>
          <w:tcPr>
            <w:tcW w:type="dxa" w:w="5160"/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1,300 synthetic substations, roughly 7,500 synthetic devices, 5 synthetic vendors, 15 synthetic packages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/>
      </w:r>
    </w:p>
    <w:p>
      <w:pPr>
        <w:pBdr>
          <w:top w:val="dashed" w:color="2E5A88" w:sz="4" w:space="6"/>
          <w:left w:val="dashed" w:color="2E5A88" w:sz="4" w:space="6"/>
          <w:bottom w:val="dashed" w:color="2E5A88" w:sz="4" w:space="6"/>
          <w:right w:val="dashed" w:color="2E5A88" w:sz="4" w:space="6"/>
        </w:pBdr>
        <w:shd w:fill="F4F7FB" w:color="auto" w:val="clear"/>
        <w:spacing w:after="200" w:line="276"/>
        <w:jc w:val="center"/>
      </w:pPr>
      <w:r>
        <w:rPr>
          <w:rFonts w:ascii="Calibri" w:cs="Calibri" w:eastAsia="Calibri" w:hAnsi="Calibri"/>
          <w:b/>
          <w:bCs/>
          <w:color w:val="2E5A88"/>
          <w:sz w:val="19"/>
          <w:szCs w:val="19"/>
        </w:rPr>
        <w:t xml:space="preserve">[ INSERT SCREENSHOT 1 — vendor onboarding output: the 8 obligations, the information gaps, the 2 critical exceptions ]</w:t>
      </w:r>
    </w:p>
    <w:p>
      <w:pPr>
        <w:pBdr>
          <w:top w:val="dashed" w:color="2E5A88" w:sz="4" w:space="6"/>
          <w:left w:val="dashed" w:color="2E5A88" w:sz="4" w:space="6"/>
          <w:bottom w:val="dashed" w:color="2E5A88" w:sz="4" w:space="6"/>
          <w:right w:val="dashed" w:color="2E5A88" w:sz="4" w:space="6"/>
        </w:pBdr>
        <w:shd w:fill="F4F7FB" w:color="auto" w:val="clear"/>
        <w:spacing w:after="200" w:line="276"/>
        <w:jc w:val="center"/>
      </w:pPr>
      <w:r>
        <w:rPr>
          <w:rFonts w:ascii="Calibri" w:cs="Calibri" w:eastAsia="Calibri" w:hAnsi="Calibri"/>
          <w:b/>
          <w:bCs/>
          <w:color w:val="2E5A88"/>
          <w:sz w:val="19"/>
          <w:szCs w:val="19"/>
        </w:rPr>
        <w:t xml:space="preserve">[ INSERT SCREENSHOT 2 — agent decision ledger: 7 records, 2 allow / 5 block, each via ollama/qwen2.5:7b-instruct ]</w:t>
      </w:r>
    </w:p>
    <w:p>
      <w:pPr>
        <w:spacing w:after="200" w:line="276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Template note: crop each screenshot to the result, not the whole terminal. One caption line underneath in your own words — what the reader should notice — beats a full-screen dump.</w:t>
      </w:r>
    </w:p>
    <w:p>
      <w:pPr>
        <w:pStyle w:val="Heading1"/>
        <w:pBdr>
          <w:bottom w:val="single" w:color="2E5A8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 What this is not</w:t>
      </w:r>
    </w:p>
    <w:p>
      <w:pPr>
        <w:spacing w:after="12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Stating the limits is part of the work. If a recruiter finds one I didn't, the rest of the document stops counting.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Everything here is synthetic.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The substations, vendors, contracts, keys and firmware are fabricated for this project. No Entergy data of any kind was used, and no claim is made about Entergy's actual systems.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This is evidence automation, not compliance.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It produces artifacts an audit asks for. It does not make anyone compliant and it is not a substitute for a registered entity's CIP program.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Citation coverage is partial.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22 of 34 control citations are verified against current standard text. The remaining CIP-004 checks have confirmed revisions, but I have not verified every part number and threshold line by line.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Contract extraction is unproven on real documents.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The model has never read a real utility master agreement. Its accuracy on genuine procurement language is untested.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The key registry is not PKI.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It is a flat list of pinned vendor keys with validity windows — no certificate chain validation, no revocation infrastructure.</w:t>
      </w:r>
    </w:p>
    <w:p>
      <w:pPr>
        <w:pStyle w:val="Heading1"/>
        <w:pBdr>
          <w:bottom w:val="single" w:color="2E5A8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 The twenty-second version</w:t>
      </w:r>
    </w:p>
    <w:p>
      <w:pPr>
        <w:spacing w:after="12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This is what I would say standing at the table. Everything above exists to back it up.</w:t>
      </w:r>
    </w:p>
    <w:p>
      <w:pPr>
        <w:pBdr>
          <w:left w:val="single" w:color="2E5A88" w:sz="18" w:space="10"/>
        </w:pBdr>
        <w:spacing w:after="200" w:line="276"/>
        <w:ind w:left="36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“Your 10-K says your suppliers have already been attacked and you expect that to continue, and you're bringing about a dozen new plants online with a lot of new vendor firmware behind them. The standard check on a vendor update is a fingerprint — and a fingerprint can't tell you the file came from the vendor, because whoever owns the download server owns both. I built a working model of the control that can: it verifies the vendor's signature, applies the NERC CIP-013 and CIP-010 checks, uses a local model to read the vendor contract but never lets it assert a clause it can't quote, and writes an auditable record of every decision. It's all synthetic data. I built it to show I understand the problem your program already solves.”</w:t>
      </w:r>
    </w:p>
    <w:p>
      <w:pPr>
        <w:pStyle w:val="Heading1"/>
        <w:pBdr>
          <w:bottom w:val="single" w:color="2E5A8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 Appendix — how to run it yourself</w:t>
      </w:r>
    </w:p>
    <w:p>
      <w:pPr>
        <w:spacing w:after="10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Repository: [github.com/your-repo]  ·  Branch: [branch name]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[COMMAND 1 — the narrated end-to-end walkthrough]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[COMMAND 2 — the firmware push simulation, genuine vs. substituted]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[COMMAND 3 — the proof script that regenerates the results table above]</w:t>
      </w:r>
    </w:p>
    <w:p>
      <w:pPr>
        <w:spacing w:after="200" w:line="276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Template note: paste the three commands exactly as they appear in your README, and say how long each takes. A reviewer who can reproduce your result in under five minutes trusts everything else on the page.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863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Firmware Provenance &amp; NERC CIP Evidence Agent</dc:title>
  <dc:creator>[Your Name]</dc:creator>
  <dc:description>Portfolio template</dc:description>
  <cp:lastModifiedBy>Un-named</cp:lastModifiedBy>
  <cp:revision>1</cp:revision>
  <dcterms:created xsi:type="dcterms:W3CDTF">2026-09-23T00:47:50.721Z</dcterms:created>
  <dcterms:modified xsi:type="dcterms:W3CDTF">2026-09-23T00:47:50.721Z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