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3134" w14:textId="77777777" w:rsidR="00EB3063" w:rsidRDefault="00EB3063" w:rsidP="00EB3063">
      <w:pPr>
        <w:pStyle w:val="Ttulo"/>
        <w:spacing w:line="360" w:lineRule="auto"/>
        <w:jc w:val="center"/>
        <w:rPr>
          <w:rFonts w:ascii="Arial" w:hAnsi="Arial" w:cs="Arial"/>
          <w:sz w:val="40"/>
          <w:szCs w:val="40"/>
        </w:rPr>
      </w:pPr>
      <w:r>
        <w:rPr>
          <w:noProof/>
        </w:rPr>
        <w:drawing>
          <wp:anchor distT="0" distB="0" distL="114300" distR="114300" simplePos="0" relativeHeight="251660288" behindDoc="0" locked="0" layoutInCell="1" allowOverlap="1" wp14:anchorId="25384F06" wp14:editId="50D80F3B">
            <wp:simplePos x="0" y="0"/>
            <wp:positionH relativeFrom="margin">
              <wp:align>center</wp:align>
            </wp:positionH>
            <wp:positionV relativeFrom="paragraph">
              <wp:posOffset>454</wp:posOffset>
            </wp:positionV>
            <wp:extent cx="2353128" cy="1009776"/>
            <wp:effectExtent l="0" t="0" r="0" b="0"/>
            <wp:wrapTopAndBottom/>
            <wp:docPr id="50582606" name="Imagen 1" descr="Volumen 46 - U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n 46 - UV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3128" cy="10097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1E1F8" w14:textId="77777777" w:rsidR="006E60B1" w:rsidRPr="006E60B1" w:rsidRDefault="006E60B1" w:rsidP="006E60B1">
      <w:pPr>
        <w:spacing w:line="360" w:lineRule="auto"/>
        <w:jc w:val="center"/>
        <w:rPr>
          <w:rFonts w:ascii="Arial" w:hAnsi="Arial" w:cs="Arial"/>
          <w:b/>
          <w:bCs/>
          <w:sz w:val="40"/>
          <w:szCs w:val="40"/>
        </w:rPr>
      </w:pPr>
      <w:r w:rsidRPr="006E60B1">
        <w:rPr>
          <w:rFonts w:ascii="Arial" w:hAnsi="Arial" w:cs="Arial"/>
          <w:b/>
          <w:bCs/>
          <w:sz w:val="40"/>
          <w:szCs w:val="40"/>
        </w:rPr>
        <w:t>Universidad Del Valle de Guatemala</w:t>
      </w:r>
    </w:p>
    <w:p w14:paraId="6C4F7909" w14:textId="15B9A050" w:rsidR="00F846D4" w:rsidRPr="00155AA3" w:rsidRDefault="00F846D4" w:rsidP="006E60B1">
      <w:pPr>
        <w:pStyle w:val="Ttulo"/>
        <w:spacing w:line="360" w:lineRule="auto"/>
        <w:jc w:val="center"/>
        <w:rPr>
          <w:rFonts w:ascii="Arial" w:hAnsi="Arial" w:cs="Arial"/>
          <w:b/>
          <w:bCs/>
          <w:u w:val="single"/>
        </w:rPr>
      </w:pPr>
      <w:r w:rsidRPr="006E60B1">
        <w:rPr>
          <w:rFonts w:ascii="Arial" w:hAnsi="Arial" w:cs="Arial"/>
          <w:b/>
          <w:bCs/>
          <w:sz w:val="40"/>
          <w:szCs w:val="40"/>
        </w:rPr>
        <w:t xml:space="preserve">Pasaporte # </w:t>
      </w:r>
      <w:r w:rsidR="00D33B5F">
        <w:rPr>
          <w:rFonts w:ascii="Arial" w:hAnsi="Arial" w:cs="Arial"/>
          <w:b/>
          <w:bCs/>
          <w:sz w:val="40"/>
          <w:szCs w:val="40"/>
        </w:rPr>
        <w:t>4</w:t>
      </w:r>
    </w:p>
    <w:p w14:paraId="162ECDE2" w14:textId="77A69541" w:rsidR="00F846D4" w:rsidRPr="006E60B1" w:rsidRDefault="00F846D4" w:rsidP="005A7178">
      <w:pPr>
        <w:spacing w:line="360" w:lineRule="auto"/>
        <w:jc w:val="center"/>
        <w:rPr>
          <w:rFonts w:ascii="Arial" w:hAnsi="Arial" w:cs="Arial"/>
          <w:b/>
          <w:bCs/>
          <w:sz w:val="40"/>
          <w:szCs w:val="40"/>
        </w:rPr>
      </w:pPr>
      <w:r w:rsidRPr="006E60B1">
        <w:rPr>
          <w:rFonts w:ascii="Arial" w:hAnsi="Arial" w:cs="Arial"/>
          <w:b/>
          <w:bCs/>
          <w:sz w:val="40"/>
          <w:szCs w:val="40"/>
        </w:rPr>
        <w:t>Jacob Juárez Guerra</w:t>
      </w:r>
    </w:p>
    <w:p w14:paraId="2BCD54DD" w14:textId="76FD7130"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Carné: 261521</w:t>
      </w:r>
    </w:p>
    <w:p w14:paraId="4004467B" w14:textId="7D100B52"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Curso: Ciencias De La Vida</w:t>
      </w:r>
    </w:p>
    <w:p w14:paraId="7209C29F" w14:textId="09AF0F06" w:rsidR="002D5909" w:rsidRPr="006E60B1" w:rsidRDefault="005A7178" w:rsidP="005A7178">
      <w:pPr>
        <w:spacing w:line="360" w:lineRule="auto"/>
        <w:jc w:val="center"/>
        <w:rPr>
          <w:rFonts w:ascii="Arial" w:hAnsi="Arial" w:cs="Arial"/>
          <w:b/>
          <w:bCs/>
          <w:sz w:val="40"/>
          <w:szCs w:val="40"/>
        </w:rPr>
      </w:pPr>
      <w:r w:rsidRPr="006E60B1">
        <w:rPr>
          <w:rFonts w:ascii="Arial" w:hAnsi="Arial" w:cs="Arial"/>
          <w:b/>
          <w:bCs/>
          <w:sz w:val="40"/>
          <w:szCs w:val="40"/>
        </w:rPr>
        <w:t>Docente</w:t>
      </w:r>
      <w:r w:rsidR="002D5909" w:rsidRPr="006E60B1">
        <w:rPr>
          <w:rFonts w:ascii="Arial" w:hAnsi="Arial" w:cs="Arial"/>
          <w:b/>
          <w:bCs/>
          <w:sz w:val="40"/>
          <w:szCs w:val="40"/>
        </w:rPr>
        <w:t>: Marie Andre Cosenza Barnéond</w:t>
      </w:r>
    </w:p>
    <w:p w14:paraId="5B3583BF" w14:textId="49BACC06" w:rsidR="002D5909" w:rsidRPr="006E60B1" w:rsidRDefault="002D5909" w:rsidP="005A7178">
      <w:pPr>
        <w:spacing w:line="360" w:lineRule="auto"/>
        <w:jc w:val="center"/>
        <w:rPr>
          <w:rFonts w:ascii="Arial" w:hAnsi="Arial" w:cs="Arial"/>
          <w:b/>
          <w:bCs/>
          <w:sz w:val="40"/>
          <w:szCs w:val="40"/>
        </w:rPr>
      </w:pPr>
      <w:r w:rsidRPr="006E60B1">
        <w:rPr>
          <w:rFonts w:ascii="Arial" w:hAnsi="Arial" w:cs="Arial"/>
          <w:b/>
          <w:bCs/>
          <w:sz w:val="40"/>
          <w:szCs w:val="40"/>
        </w:rPr>
        <w:t>Secci</w:t>
      </w:r>
      <w:r w:rsidR="006E60B1" w:rsidRPr="006E60B1">
        <w:rPr>
          <w:rFonts w:ascii="Arial" w:hAnsi="Arial" w:cs="Arial"/>
          <w:b/>
          <w:bCs/>
          <w:sz w:val="40"/>
          <w:szCs w:val="40"/>
        </w:rPr>
        <w:t>ó</w:t>
      </w:r>
      <w:r w:rsidRPr="006E60B1">
        <w:rPr>
          <w:rFonts w:ascii="Arial" w:hAnsi="Arial" w:cs="Arial"/>
          <w:b/>
          <w:bCs/>
          <w:sz w:val="40"/>
          <w:szCs w:val="40"/>
        </w:rPr>
        <w:t>n: 40</w:t>
      </w:r>
    </w:p>
    <w:p w14:paraId="2FB8D462" w14:textId="25E154DE" w:rsidR="004E0F2C" w:rsidRDefault="00D0189B" w:rsidP="005A7178">
      <w:pPr>
        <w:spacing w:line="360" w:lineRule="auto"/>
        <w:jc w:val="center"/>
        <w:rPr>
          <w:rFonts w:ascii="Arial" w:hAnsi="Arial" w:cs="Arial"/>
          <w:b/>
          <w:bCs/>
          <w:sz w:val="40"/>
          <w:szCs w:val="40"/>
        </w:rPr>
      </w:pPr>
      <w:r>
        <w:rPr>
          <w:rFonts w:ascii="Arial" w:hAnsi="Arial" w:cs="Arial"/>
          <w:b/>
          <w:bCs/>
          <w:sz w:val="40"/>
          <w:szCs w:val="40"/>
        </w:rPr>
        <w:t>1</w:t>
      </w:r>
      <w:r w:rsidR="00D33B5F">
        <w:rPr>
          <w:rFonts w:ascii="Arial" w:hAnsi="Arial" w:cs="Arial"/>
          <w:b/>
          <w:bCs/>
          <w:sz w:val="40"/>
          <w:szCs w:val="40"/>
        </w:rPr>
        <w:t>7</w:t>
      </w:r>
      <w:r w:rsidR="00F846D4" w:rsidRPr="006E60B1">
        <w:rPr>
          <w:rFonts w:ascii="Arial" w:hAnsi="Arial" w:cs="Arial"/>
          <w:b/>
          <w:bCs/>
          <w:sz w:val="40"/>
          <w:szCs w:val="40"/>
        </w:rPr>
        <w:t>/0</w:t>
      </w:r>
      <w:r w:rsidR="00D47439">
        <w:rPr>
          <w:rFonts w:ascii="Arial" w:hAnsi="Arial" w:cs="Arial"/>
          <w:b/>
          <w:bCs/>
          <w:sz w:val="40"/>
          <w:szCs w:val="40"/>
        </w:rPr>
        <w:t>2</w:t>
      </w:r>
      <w:r w:rsidR="00F846D4" w:rsidRPr="006E60B1">
        <w:rPr>
          <w:rFonts w:ascii="Arial" w:hAnsi="Arial" w:cs="Arial"/>
          <w:b/>
          <w:bCs/>
          <w:sz w:val="40"/>
          <w:szCs w:val="40"/>
        </w:rPr>
        <w:t>/2026</w:t>
      </w:r>
    </w:p>
    <w:p w14:paraId="70C65C44" w14:textId="77777777" w:rsidR="004E0F2C" w:rsidRDefault="004E0F2C">
      <w:pPr>
        <w:rPr>
          <w:rFonts w:ascii="Arial" w:hAnsi="Arial" w:cs="Arial"/>
          <w:b/>
          <w:bCs/>
          <w:sz w:val="40"/>
          <w:szCs w:val="40"/>
        </w:rPr>
      </w:pPr>
      <w:r>
        <w:rPr>
          <w:rFonts w:ascii="Arial" w:hAnsi="Arial" w:cs="Arial"/>
          <w:b/>
          <w:bCs/>
          <w:sz w:val="40"/>
          <w:szCs w:val="40"/>
        </w:rPr>
        <w:br w:type="page"/>
      </w:r>
    </w:p>
    <w:sdt>
      <w:sdtPr>
        <w:rPr>
          <w:rFonts w:asciiTheme="minorHAnsi" w:eastAsiaTheme="minorHAnsi" w:hAnsiTheme="minorHAnsi" w:cstheme="minorBidi"/>
          <w:color w:val="auto"/>
          <w:kern w:val="2"/>
          <w:sz w:val="24"/>
          <w:szCs w:val="24"/>
          <w:lang w:val="es-ES" w:eastAsia="en-US"/>
          <w14:ligatures w14:val="standardContextual"/>
        </w:rPr>
        <w:id w:val="-739630782"/>
        <w:docPartObj>
          <w:docPartGallery w:val="Table of Contents"/>
          <w:docPartUnique/>
        </w:docPartObj>
      </w:sdtPr>
      <w:sdtEndPr/>
      <w:sdtContent>
        <w:p w14:paraId="5FB204D7" w14:textId="026C722B" w:rsidR="004E0F2C" w:rsidRPr="004E0F2C" w:rsidRDefault="004E0F2C">
          <w:pPr>
            <w:pStyle w:val="TtuloTDC"/>
            <w:rPr>
              <w:b/>
              <w:bCs/>
              <w:color w:val="auto"/>
            </w:rPr>
          </w:pPr>
          <w:r w:rsidRPr="004E0F2C">
            <w:rPr>
              <w:b/>
              <w:bCs/>
              <w:color w:val="auto"/>
              <w:lang w:val="es-ES"/>
            </w:rPr>
            <w:t>Contenido explicativo</w:t>
          </w:r>
        </w:p>
        <w:p w14:paraId="063D51E2" w14:textId="408905E5" w:rsidR="004A12E3" w:rsidRDefault="004E0F2C">
          <w:pPr>
            <w:pStyle w:val="TDC1"/>
            <w:tabs>
              <w:tab w:val="right" w:leader="dot" w:pos="9350"/>
            </w:tabs>
            <w:rPr>
              <w:rFonts w:eastAsiaTheme="minorEastAsia"/>
              <w:noProof/>
              <w:lang w:eastAsia="es-GT"/>
            </w:rPr>
          </w:pPr>
          <w:r w:rsidRPr="004E0F2C">
            <w:fldChar w:fldCharType="begin"/>
          </w:r>
          <w:r w:rsidRPr="004E0F2C">
            <w:instrText xml:space="preserve"> TOC \o "1-3" \h \z \u </w:instrText>
          </w:r>
          <w:r w:rsidRPr="004E0F2C">
            <w:fldChar w:fldCharType="separate"/>
          </w:r>
          <w:hyperlink w:anchor="_Toc221650475" w:history="1">
            <w:r w:rsidR="004A12E3" w:rsidRPr="00815363">
              <w:rPr>
                <w:rStyle w:val="Hipervnculo"/>
                <w:rFonts w:ascii="Arial" w:hAnsi="Arial" w:cs="Arial"/>
                <w:b/>
                <w:bCs/>
                <w:noProof/>
              </w:rPr>
              <w:t>Instrucciones Y Respuestas</w:t>
            </w:r>
            <w:r w:rsidR="004A12E3">
              <w:rPr>
                <w:noProof/>
                <w:webHidden/>
              </w:rPr>
              <w:tab/>
            </w:r>
            <w:r w:rsidR="004A12E3">
              <w:rPr>
                <w:noProof/>
                <w:webHidden/>
              </w:rPr>
              <w:fldChar w:fldCharType="begin"/>
            </w:r>
            <w:r w:rsidR="004A12E3">
              <w:rPr>
                <w:noProof/>
                <w:webHidden/>
              </w:rPr>
              <w:instrText xml:space="preserve"> PAGEREF _Toc221650475 \h </w:instrText>
            </w:r>
            <w:r w:rsidR="004A12E3">
              <w:rPr>
                <w:noProof/>
                <w:webHidden/>
              </w:rPr>
            </w:r>
            <w:r w:rsidR="004A12E3">
              <w:rPr>
                <w:noProof/>
                <w:webHidden/>
              </w:rPr>
              <w:fldChar w:fldCharType="separate"/>
            </w:r>
            <w:r w:rsidR="004A12E3">
              <w:rPr>
                <w:noProof/>
                <w:webHidden/>
              </w:rPr>
              <w:t>3</w:t>
            </w:r>
            <w:r w:rsidR="004A12E3">
              <w:rPr>
                <w:noProof/>
                <w:webHidden/>
              </w:rPr>
              <w:fldChar w:fldCharType="end"/>
            </w:r>
          </w:hyperlink>
        </w:p>
        <w:p w14:paraId="797B03BF" w14:textId="08DEA758" w:rsidR="004A12E3" w:rsidRDefault="004A12E3">
          <w:pPr>
            <w:pStyle w:val="TDC2"/>
            <w:tabs>
              <w:tab w:val="left" w:pos="720"/>
              <w:tab w:val="right" w:leader="dot" w:pos="9350"/>
            </w:tabs>
            <w:rPr>
              <w:noProof/>
            </w:rPr>
          </w:pPr>
          <w:hyperlink w:anchor="_Toc221650476" w:history="1">
            <w:r w:rsidRPr="00815363">
              <w:rPr>
                <w:rStyle w:val="Hipervnculo"/>
                <w:noProof/>
              </w:rPr>
              <w:t>1.</w:t>
            </w:r>
            <w:r>
              <w:rPr>
                <w:noProof/>
              </w:rPr>
              <w:tab/>
            </w:r>
            <w:r w:rsidRPr="00815363">
              <w:rPr>
                <w:rStyle w:val="Hipervnculo"/>
                <w:noProof/>
              </w:rPr>
              <w:t>Investigue y explique la diferencia entre un microscopio y un estereoscopio.</w:t>
            </w:r>
            <w:r>
              <w:rPr>
                <w:noProof/>
                <w:webHidden/>
              </w:rPr>
              <w:tab/>
            </w:r>
            <w:r>
              <w:rPr>
                <w:noProof/>
                <w:webHidden/>
              </w:rPr>
              <w:fldChar w:fldCharType="begin"/>
            </w:r>
            <w:r>
              <w:rPr>
                <w:noProof/>
                <w:webHidden/>
              </w:rPr>
              <w:instrText xml:space="preserve"> PAGEREF _Toc221650476 \h </w:instrText>
            </w:r>
            <w:r>
              <w:rPr>
                <w:noProof/>
                <w:webHidden/>
              </w:rPr>
            </w:r>
            <w:r>
              <w:rPr>
                <w:noProof/>
                <w:webHidden/>
              </w:rPr>
              <w:fldChar w:fldCharType="separate"/>
            </w:r>
            <w:r>
              <w:rPr>
                <w:noProof/>
                <w:webHidden/>
              </w:rPr>
              <w:t>3</w:t>
            </w:r>
            <w:r>
              <w:rPr>
                <w:noProof/>
                <w:webHidden/>
              </w:rPr>
              <w:fldChar w:fldCharType="end"/>
            </w:r>
          </w:hyperlink>
        </w:p>
        <w:p w14:paraId="7F4B9C83" w14:textId="3BB84412" w:rsidR="004A12E3" w:rsidRDefault="004A12E3">
          <w:pPr>
            <w:pStyle w:val="TDC2"/>
            <w:tabs>
              <w:tab w:val="left" w:pos="720"/>
              <w:tab w:val="right" w:leader="dot" w:pos="9350"/>
            </w:tabs>
            <w:rPr>
              <w:noProof/>
            </w:rPr>
          </w:pPr>
          <w:hyperlink w:anchor="_Toc221650477" w:history="1">
            <w:r w:rsidRPr="00815363">
              <w:rPr>
                <w:rStyle w:val="Hipervnculo"/>
                <w:noProof/>
              </w:rPr>
              <w:t>2.</w:t>
            </w:r>
            <w:r>
              <w:rPr>
                <w:noProof/>
              </w:rPr>
              <w:tab/>
            </w:r>
            <w:r w:rsidRPr="00815363">
              <w:rPr>
                <w:rStyle w:val="Hipervnculo"/>
                <w:noProof/>
              </w:rPr>
              <w:t>Lea detenidamente la información disponible en la guía, además ubique las partes de cada equipo (usando las figuras adjuntas). Escriba la función de cada parte de cada equipo</w:t>
            </w:r>
            <w:r>
              <w:rPr>
                <w:noProof/>
                <w:webHidden/>
              </w:rPr>
              <w:tab/>
            </w:r>
            <w:r>
              <w:rPr>
                <w:noProof/>
                <w:webHidden/>
              </w:rPr>
              <w:fldChar w:fldCharType="begin"/>
            </w:r>
            <w:r>
              <w:rPr>
                <w:noProof/>
                <w:webHidden/>
              </w:rPr>
              <w:instrText xml:space="preserve"> PAGEREF _Toc221650477 \h </w:instrText>
            </w:r>
            <w:r>
              <w:rPr>
                <w:noProof/>
                <w:webHidden/>
              </w:rPr>
            </w:r>
            <w:r>
              <w:rPr>
                <w:noProof/>
                <w:webHidden/>
              </w:rPr>
              <w:fldChar w:fldCharType="separate"/>
            </w:r>
            <w:r>
              <w:rPr>
                <w:noProof/>
                <w:webHidden/>
              </w:rPr>
              <w:t>4</w:t>
            </w:r>
            <w:r>
              <w:rPr>
                <w:noProof/>
                <w:webHidden/>
              </w:rPr>
              <w:fldChar w:fldCharType="end"/>
            </w:r>
          </w:hyperlink>
        </w:p>
        <w:p w14:paraId="12C03D9C" w14:textId="673428E0" w:rsidR="004A12E3" w:rsidRDefault="004A12E3">
          <w:pPr>
            <w:pStyle w:val="TDC2"/>
            <w:tabs>
              <w:tab w:val="left" w:pos="720"/>
              <w:tab w:val="right" w:leader="dot" w:pos="9350"/>
            </w:tabs>
            <w:rPr>
              <w:noProof/>
            </w:rPr>
          </w:pPr>
          <w:hyperlink w:anchor="_Toc221650478" w:history="1">
            <w:r w:rsidRPr="00815363">
              <w:rPr>
                <w:rStyle w:val="Hipervnculo"/>
                <w:rFonts w:eastAsia="Times New Roman"/>
                <w:noProof/>
                <w:lang w:eastAsia="es-GT"/>
              </w:rPr>
              <w:t>3.</w:t>
            </w:r>
            <w:r>
              <w:rPr>
                <w:noProof/>
              </w:rPr>
              <w:tab/>
            </w:r>
            <w:r w:rsidRPr="00815363">
              <w:rPr>
                <w:rStyle w:val="Hipervnculo"/>
                <w:rFonts w:eastAsia="Times New Roman"/>
                <w:noProof/>
                <w:lang w:eastAsia="es-GT"/>
              </w:rPr>
              <w:t>Realice un cuadro comparativo entre la célula animal y la vegetal enfocándose en estructuras y organelos compartidos y diferentes.</w:t>
            </w:r>
            <w:r>
              <w:rPr>
                <w:noProof/>
                <w:webHidden/>
              </w:rPr>
              <w:tab/>
            </w:r>
            <w:r>
              <w:rPr>
                <w:noProof/>
                <w:webHidden/>
              </w:rPr>
              <w:fldChar w:fldCharType="begin"/>
            </w:r>
            <w:r>
              <w:rPr>
                <w:noProof/>
                <w:webHidden/>
              </w:rPr>
              <w:instrText xml:space="preserve"> PAGEREF _Toc221650478 \h </w:instrText>
            </w:r>
            <w:r>
              <w:rPr>
                <w:noProof/>
                <w:webHidden/>
              </w:rPr>
            </w:r>
            <w:r>
              <w:rPr>
                <w:noProof/>
                <w:webHidden/>
              </w:rPr>
              <w:fldChar w:fldCharType="separate"/>
            </w:r>
            <w:r>
              <w:rPr>
                <w:noProof/>
                <w:webHidden/>
              </w:rPr>
              <w:t>5</w:t>
            </w:r>
            <w:r>
              <w:rPr>
                <w:noProof/>
                <w:webHidden/>
              </w:rPr>
              <w:fldChar w:fldCharType="end"/>
            </w:r>
          </w:hyperlink>
        </w:p>
        <w:p w14:paraId="7408526D" w14:textId="43B36F99" w:rsidR="004A12E3" w:rsidRDefault="004A12E3">
          <w:pPr>
            <w:pStyle w:val="TDC1"/>
            <w:tabs>
              <w:tab w:val="right" w:leader="dot" w:pos="9350"/>
            </w:tabs>
            <w:rPr>
              <w:rFonts w:eastAsiaTheme="minorEastAsia"/>
              <w:noProof/>
              <w:lang w:eastAsia="es-GT"/>
            </w:rPr>
          </w:pPr>
          <w:hyperlink w:anchor="_Toc221650479" w:history="1">
            <w:r w:rsidRPr="00815363">
              <w:rPr>
                <w:rStyle w:val="Hipervnculo"/>
                <w:b/>
                <w:bCs/>
                <w:noProof/>
              </w:rPr>
              <w:t>Referencias</w:t>
            </w:r>
            <w:r>
              <w:rPr>
                <w:noProof/>
                <w:webHidden/>
              </w:rPr>
              <w:tab/>
            </w:r>
            <w:r>
              <w:rPr>
                <w:noProof/>
                <w:webHidden/>
              </w:rPr>
              <w:fldChar w:fldCharType="begin"/>
            </w:r>
            <w:r>
              <w:rPr>
                <w:noProof/>
                <w:webHidden/>
              </w:rPr>
              <w:instrText xml:space="preserve"> PAGEREF _Toc221650479 \h </w:instrText>
            </w:r>
            <w:r>
              <w:rPr>
                <w:noProof/>
                <w:webHidden/>
              </w:rPr>
            </w:r>
            <w:r>
              <w:rPr>
                <w:noProof/>
                <w:webHidden/>
              </w:rPr>
              <w:fldChar w:fldCharType="separate"/>
            </w:r>
            <w:r>
              <w:rPr>
                <w:noProof/>
                <w:webHidden/>
              </w:rPr>
              <w:t>6</w:t>
            </w:r>
            <w:r>
              <w:rPr>
                <w:noProof/>
                <w:webHidden/>
              </w:rPr>
              <w:fldChar w:fldCharType="end"/>
            </w:r>
          </w:hyperlink>
        </w:p>
        <w:p w14:paraId="4B7090F5" w14:textId="7E4F07BF" w:rsidR="004E0F2C" w:rsidRPr="004E0F2C" w:rsidRDefault="004E0F2C">
          <w:r w:rsidRPr="004E0F2C">
            <w:rPr>
              <w:lang w:val="es-ES"/>
            </w:rPr>
            <w:fldChar w:fldCharType="end"/>
          </w:r>
        </w:p>
      </w:sdtContent>
    </w:sdt>
    <w:p w14:paraId="6AB0382A" w14:textId="161EA98A" w:rsidR="006E60B1" w:rsidRPr="004E0F2C" w:rsidRDefault="006E60B1" w:rsidP="00D33B5F">
      <w:pPr>
        <w:spacing w:line="360" w:lineRule="auto"/>
        <w:rPr>
          <w:rFonts w:ascii="Arial" w:hAnsi="Arial" w:cs="Arial"/>
          <w:sz w:val="40"/>
          <w:szCs w:val="40"/>
        </w:rPr>
      </w:pPr>
    </w:p>
    <w:p w14:paraId="24261AF5" w14:textId="76683694" w:rsidR="00F846D4" w:rsidRPr="004E0F2C" w:rsidRDefault="00F846D4" w:rsidP="006E60B1">
      <w:pPr>
        <w:spacing w:line="360" w:lineRule="auto"/>
        <w:rPr>
          <w:rFonts w:ascii="Arial" w:hAnsi="Arial" w:cs="Arial"/>
          <w:sz w:val="40"/>
          <w:szCs w:val="40"/>
        </w:rPr>
      </w:pPr>
      <w:r w:rsidRPr="004E0F2C">
        <w:rPr>
          <w:rFonts w:ascii="Arial" w:hAnsi="Arial" w:cs="Arial"/>
        </w:rPr>
        <w:br w:type="page"/>
      </w:r>
    </w:p>
    <w:p w14:paraId="2A47321A" w14:textId="50646BE7" w:rsidR="00EB6016" w:rsidRPr="00232BDD" w:rsidRDefault="005A7178" w:rsidP="005A7178">
      <w:pPr>
        <w:pStyle w:val="Ttulo1"/>
        <w:rPr>
          <w:rFonts w:ascii="Arial" w:hAnsi="Arial" w:cs="Arial"/>
          <w:color w:val="auto"/>
        </w:rPr>
      </w:pPr>
      <w:bookmarkStart w:id="0" w:name="_Toc221045085"/>
      <w:bookmarkStart w:id="1" w:name="_Toc221650475"/>
      <w:r w:rsidRPr="00232BDD">
        <w:rPr>
          <w:rFonts w:ascii="Arial" w:hAnsi="Arial" w:cs="Arial"/>
          <w:b/>
          <w:bCs/>
          <w:color w:val="auto"/>
        </w:rPr>
        <w:lastRenderedPageBreak/>
        <w:t>I</w:t>
      </w:r>
      <w:r w:rsidR="00EB6016" w:rsidRPr="00232BDD">
        <w:rPr>
          <w:rFonts w:ascii="Arial" w:hAnsi="Arial" w:cs="Arial"/>
          <w:b/>
          <w:bCs/>
          <w:color w:val="auto"/>
        </w:rPr>
        <w:t>nstrucciones</w:t>
      </w:r>
      <w:r w:rsidR="00547548" w:rsidRPr="00232BDD">
        <w:rPr>
          <w:rFonts w:ascii="Arial" w:hAnsi="Arial" w:cs="Arial"/>
          <w:b/>
          <w:bCs/>
          <w:color w:val="auto"/>
        </w:rPr>
        <w:t xml:space="preserve"> Y Respuestas</w:t>
      </w:r>
      <w:bookmarkEnd w:id="0"/>
      <w:bookmarkEnd w:id="1"/>
    </w:p>
    <w:p w14:paraId="24B55B4F" w14:textId="3EF2A66F" w:rsidR="008A54C9" w:rsidRDefault="008A54C9" w:rsidP="002713D2">
      <w:pPr>
        <w:pStyle w:val="Ttulo2"/>
        <w:numPr>
          <w:ilvl w:val="0"/>
          <w:numId w:val="13"/>
        </w:numPr>
      </w:pPr>
      <w:r>
        <w:t>¿Que es transporte pasivo y transporte activo?</w:t>
      </w:r>
    </w:p>
    <w:p w14:paraId="375453BF" w14:textId="77777777" w:rsidR="008A54C9" w:rsidRPr="00BE5938" w:rsidRDefault="008A54C9" w:rsidP="008A54C9">
      <w:pPr>
        <w:ind w:left="360"/>
      </w:pPr>
      <w:r w:rsidRPr="00BE5938">
        <w:t>Aunque pequeñas, las células regulan con precisión lo que entra o sale gracias a su membrana semipermeable. Este control se logra mediante procesos como el transporte sin gasto energético, junto con movimientos que requieren energía celular. Así mantienen condiciones estables en su interior, un estado clave para funcionar correctamente. Mientras uno de ellos ocurre espontáneamente, el otro depende de aporte externo de recursos. Ambos trabajan para preservar la homeostasis necesaria.</w:t>
      </w:r>
    </w:p>
    <w:p w14:paraId="391DA28D" w14:textId="77777777" w:rsidR="008A54C9" w:rsidRPr="00BE5938" w:rsidRDefault="008A54C9" w:rsidP="008A54C9">
      <w:pPr>
        <w:ind w:left="360"/>
      </w:pPr>
      <w:r w:rsidRPr="00BE5938">
        <w:t>Transporte pasivo</w:t>
      </w:r>
    </w:p>
    <w:p w14:paraId="40F1BEBC" w14:textId="77777777" w:rsidR="008A54C9" w:rsidRPr="00BE5938" w:rsidRDefault="008A54C9" w:rsidP="008A54C9">
      <w:pPr>
        <w:ind w:left="360"/>
      </w:pPr>
      <w:r w:rsidRPr="00BE5938">
        <w:t>Sin necesidad de gastar energía, las células permiten que ciertas moléculas crucen su membrana por transporte pasivo. Hacia zonas menos saturadas se desplazan estas partículas, moviéndose en dirección del gradiente. Este proceso aprovecha diferencias naturales en la cantidad de sustancia entre ambos lados del límite celular. La difusión sigue caminos espontáneos, impulsada solo por el desequilibrio inicial de concentraciones. No interviene ATP alguno durante este tránsito sencillo y constante a través de la bicapa lipídica.</w:t>
      </w:r>
    </w:p>
    <w:p w14:paraId="152EFF07" w14:textId="77777777" w:rsidR="008A54C9" w:rsidRPr="00BE5938" w:rsidRDefault="008A54C9" w:rsidP="008A54C9">
      <w:pPr>
        <w:ind w:left="360"/>
      </w:pPr>
      <w:r w:rsidRPr="00BE5938">
        <w:t>Tipos de transporte pasivo:</w:t>
      </w:r>
    </w:p>
    <w:p w14:paraId="46FA6305" w14:textId="77777777" w:rsidR="008A54C9" w:rsidRPr="00BE5938" w:rsidRDefault="008A54C9" w:rsidP="008A54C9">
      <w:pPr>
        <w:ind w:left="360"/>
      </w:pPr>
      <w:r w:rsidRPr="00BE5938">
        <w:t>Pequeñas moléculas viajan sin ayuda. Así ocurre con el oxígeno, por ejemplo. El dióxido de carbono también se desplaza así. Este paso sucede rápido. Sin energía gastada en el proceso. La membrana permite este tráfico fácil.</w:t>
      </w:r>
    </w:p>
    <w:p w14:paraId="0EB5887E" w14:textId="77777777" w:rsidR="008A54C9" w:rsidRPr="00BE5938" w:rsidRDefault="008A54C9" w:rsidP="008A54C9">
      <w:pPr>
        <w:ind w:left="360"/>
      </w:pPr>
      <w:r w:rsidRPr="00BE5938">
        <w:t>El agua se desplaza por ósmosis cuando cruza una membrana en dirección al lugar donde hay más partículas disueltas. Aunque parezca sencillo, este proceso ocurre sin gasto de energía. Sucede porque las moléculas buscan equilibrar las concentraciones a ambos lados. La membrana solo permite el paso del solvente, no de los solutos. Así, el flujo continúa hasta alcanzar un punto de balance. Este fenómeno es clave para muchas funciones celulares. Ocurre incluso si la diferencia inicial es mínima.</w:t>
      </w:r>
    </w:p>
    <w:p w14:paraId="6541FCCC" w14:textId="77777777" w:rsidR="008A54C9" w:rsidRPr="00BE5938" w:rsidRDefault="008A54C9" w:rsidP="008A54C9">
      <w:pPr>
        <w:ind w:left="360"/>
      </w:pPr>
      <w:r w:rsidRPr="00BE5938">
        <w:t>Gracias a ciertas proteínas, algunas sustancias atraviesan la membrana más rápido. Ocurre cuando canales específicos, como las acuaporinas, permiten el paso de moléculas pequeñas. En lugar de difundirse libremente, los componentes usan estas estructuras como puente. Así, por ejemplo, el agua entra y sale sin demora. Este tipo de transporte no requiere energía directa. Depende únicamente del diseño molecular de las proteínas involucradas.</w:t>
      </w:r>
    </w:p>
    <w:p w14:paraId="2F8C12B3" w14:textId="77777777" w:rsidR="008A54C9" w:rsidRPr="00BE5938" w:rsidRDefault="008A54C9" w:rsidP="008A54C9">
      <w:pPr>
        <w:ind w:left="360"/>
      </w:pPr>
      <w:r w:rsidRPr="00BE5938">
        <w:lastRenderedPageBreak/>
        <w:t>Buscando mantener un balance interno, el transporte pasivo actúa hasta lograr condiciones estables en la célula. Cuando las concentraciones se nivelan, este proceso naturalmente cesa por sí solo.</w:t>
      </w:r>
    </w:p>
    <w:p w14:paraId="2BB628C8" w14:textId="77777777" w:rsidR="008A54C9" w:rsidRPr="00BE5938" w:rsidRDefault="008A54C9" w:rsidP="008A54C9">
      <w:pPr>
        <w:ind w:left="360"/>
      </w:pPr>
      <w:r w:rsidRPr="00BE5938">
        <w:t>Transporte activo</w:t>
      </w:r>
    </w:p>
    <w:p w14:paraId="06474CA3" w14:textId="77777777" w:rsidR="008A54C9" w:rsidRPr="00BE5938" w:rsidRDefault="008A54C9" w:rsidP="008A54C9">
      <w:pPr>
        <w:ind w:left="360"/>
      </w:pPr>
      <w:r w:rsidRPr="00BE5938">
        <w:t>Gracias al ATP, el cuerpo logra mover ciertas sustancias aunque vayan desde zonas menos concentradas hacia las más densas. Este proceso consume energía simplemente porque no sigue la corriente natural de difusión. En lugar de avanzar por sí solo, el material necesita un impulso extra para cambiar de sitio. La célula utiliza entonces moléculas como el adenosín trifosfato para hacer posible este traslado forzado. Sin ese combustible interno, muchas funciones celulares se detendrían sin aviso.</w:t>
      </w:r>
    </w:p>
    <w:p w14:paraId="7853C3BB" w14:textId="77777777" w:rsidR="008A54C9" w:rsidRPr="00BE5938" w:rsidRDefault="008A54C9" w:rsidP="008A54C9">
      <w:pPr>
        <w:ind w:left="360"/>
      </w:pPr>
      <w:r w:rsidRPr="00BE5938">
        <w:t>Tipos de transporte activo:</w:t>
      </w:r>
    </w:p>
    <w:p w14:paraId="4088D7D1" w14:textId="77777777" w:rsidR="008A54C9" w:rsidRPr="00BE5938" w:rsidRDefault="008A54C9" w:rsidP="008A54C9">
      <w:pPr>
        <w:ind w:left="360"/>
      </w:pPr>
      <w:r w:rsidRPr="00BE5938">
        <w:t>La célula mantiene su equilibrio gracias a ciertas proteínas de membrana. Un ejemplo es el transportador activo que mueve tres iones Na</w:t>
      </w:r>
      <w:r w:rsidRPr="008A54C9">
        <w:rPr>
          <w:rFonts w:ascii="Cambria Math" w:hAnsi="Cambria Math" w:cs="Cambria Math"/>
        </w:rPr>
        <w:t>⁺</w:t>
      </w:r>
      <w:r w:rsidRPr="00BE5938">
        <w:t xml:space="preserve"> hacia afuera. Al mismo tiempo, permite la entrada de dos K</w:t>
      </w:r>
      <w:r w:rsidRPr="008A54C9">
        <w:rPr>
          <w:rFonts w:ascii="Cambria Math" w:hAnsi="Cambria Math" w:cs="Cambria Math"/>
        </w:rPr>
        <w:t>⁺</w:t>
      </w:r>
      <w:r w:rsidRPr="00BE5938">
        <w:t xml:space="preserve"> desde fuera. Este proceso consume energ</w:t>
      </w:r>
      <w:r w:rsidRPr="008A54C9">
        <w:rPr>
          <w:rFonts w:ascii="Aptos" w:hAnsi="Aptos" w:cs="Aptos"/>
        </w:rPr>
        <w:t>í</w:t>
      </w:r>
      <w:r w:rsidRPr="00BE5938">
        <w:t>a en forma de ATP. Funciona como un sistema regulado de intercambio i</w:t>
      </w:r>
      <w:r w:rsidRPr="008A54C9">
        <w:rPr>
          <w:rFonts w:ascii="Aptos" w:hAnsi="Aptos" w:cs="Aptos"/>
        </w:rPr>
        <w:t>ó</w:t>
      </w:r>
      <w:r w:rsidRPr="00BE5938">
        <w:t>nico. Sin este mecanismo, las diferencias el</w:t>
      </w:r>
      <w:r w:rsidRPr="008A54C9">
        <w:rPr>
          <w:rFonts w:ascii="Aptos" w:hAnsi="Aptos" w:cs="Aptos"/>
        </w:rPr>
        <w:t>é</w:t>
      </w:r>
      <w:r w:rsidRPr="00BE5938">
        <w:t>ctricas entre ambos lados se perder</w:t>
      </w:r>
      <w:r w:rsidRPr="008A54C9">
        <w:rPr>
          <w:rFonts w:ascii="Aptos" w:hAnsi="Aptos" w:cs="Aptos"/>
        </w:rPr>
        <w:t>í</w:t>
      </w:r>
      <w:r w:rsidRPr="00BE5938">
        <w:t>an. La distribuci</w:t>
      </w:r>
      <w:r w:rsidRPr="008A54C9">
        <w:rPr>
          <w:rFonts w:ascii="Aptos" w:hAnsi="Aptos" w:cs="Aptos"/>
        </w:rPr>
        <w:t>ó</w:t>
      </w:r>
      <w:r w:rsidRPr="00BE5938">
        <w:t>n desigual ayuda a funciones posteriores, como impulsos nerviosos. Cada ciclo modifica levemente el voltaje celular.</w:t>
      </w:r>
    </w:p>
    <w:p w14:paraId="5CCC4291" w14:textId="77777777" w:rsidR="008A54C9" w:rsidRPr="00BE5938" w:rsidRDefault="008A54C9" w:rsidP="008A54C9">
      <w:pPr>
        <w:ind w:left="360"/>
      </w:pPr>
      <w:r w:rsidRPr="00BE5938">
        <w:t>Fuera de la célula, los materiales entran formando pequeñas bolsas. Estas estructuras se generan a partir de la membrana plasmática.Fagocitosis (ingestión de partículas grandes)Pinocitosis (ingestión de líquidos)Endocitosis mediada por receptor</w:t>
      </w:r>
    </w:p>
    <w:p w14:paraId="2322A61F" w14:textId="77777777" w:rsidR="008A54C9" w:rsidRPr="00BE5938" w:rsidRDefault="008A54C9" w:rsidP="008A54C9">
      <w:pPr>
        <w:ind w:left="360"/>
      </w:pPr>
      <w:r w:rsidRPr="00BE5938">
        <w:t>Fagocitosis (ingestión de partículas grandes)</w:t>
      </w:r>
    </w:p>
    <w:p w14:paraId="034BA6E4" w14:textId="77777777" w:rsidR="008A54C9" w:rsidRPr="00BE5938" w:rsidRDefault="008A54C9" w:rsidP="008A54C9">
      <w:pPr>
        <w:ind w:left="360"/>
      </w:pPr>
      <w:r w:rsidRPr="00BE5938">
        <w:t>Pinocitosis (ingestión de líquidos)</w:t>
      </w:r>
    </w:p>
    <w:p w14:paraId="084E3214" w14:textId="77777777" w:rsidR="008A54C9" w:rsidRPr="00BE5938" w:rsidRDefault="008A54C9" w:rsidP="008A54C9">
      <w:pPr>
        <w:ind w:left="360"/>
      </w:pPr>
      <w:r w:rsidRPr="00BE5938">
        <w:t>Endocitosis mediada por receptor</w:t>
      </w:r>
    </w:p>
    <w:p w14:paraId="3AE3D40D" w14:textId="77777777" w:rsidR="008A54C9" w:rsidRPr="00BE5938" w:rsidRDefault="008A54C9" w:rsidP="008A54C9">
      <w:pPr>
        <w:ind w:left="360"/>
      </w:pPr>
      <w:r w:rsidRPr="00BE5938">
        <w:t>Exocitosis: Expulsión de sustancias fuera de la célula.</w:t>
      </w:r>
    </w:p>
    <w:p w14:paraId="514ADCB1" w14:textId="77777777" w:rsidR="008A54C9" w:rsidRPr="00BE5938" w:rsidRDefault="008A54C9" w:rsidP="008A54C9">
      <w:pPr>
        <w:ind w:left="360"/>
      </w:pPr>
      <w:r w:rsidRPr="00BE5938">
        <w:t>Gracias a él, las células pueden mover iones contra su gradiente. A pesar de requerir energía, este proceso permite que ciertas sustancias entren incluso cuando hay saturación. Sin ese impulso interno, muchas reacciones vitales se detendrían. Por eso, en sistemas biológicos, el movimiento controlado marca la diferencia. Resulta clave mantener niveles estables dentro del organismo.</w:t>
      </w:r>
    </w:p>
    <w:p w14:paraId="34AAE557" w14:textId="62E5CB4E" w:rsidR="00CC0343" w:rsidRDefault="002713D2" w:rsidP="002713D2">
      <w:pPr>
        <w:pStyle w:val="Ttulo2"/>
        <w:numPr>
          <w:ilvl w:val="0"/>
          <w:numId w:val="13"/>
        </w:numPr>
      </w:pPr>
      <w:r>
        <w:rPr>
          <w:rStyle w:val="Ttulo2Car"/>
        </w:rPr>
        <w:br w:type="page"/>
      </w:r>
      <w:r w:rsidR="00CC0343">
        <w:lastRenderedPageBreak/>
        <w:br w:type="page"/>
      </w:r>
    </w:p>
    <w:p w14:paraId="57F72CB7" w14:textId="77777777" w:rsidR="00787AE5" w:rsidRPr="00547CCA" w:rsidRDefault="00787AE5" w:rsidP="00787AE5">
      <w:pPr>
        <w:ind w:left="720"/>
      </w:pPr>
    </w:p>
    <w:p w14:paraId="449D2F92" w14:textId="5277A6B3" w:rsidR="005A7178" w:rsidRDefault="00860675" w:rsidP="009E7653">
      <w:pPr>
        <w:pStyle w:val="Ttulo1"/>
        <w:rPr>
          <w:b/>
          <w:bCs/>
          <w:color w:val="auto"/>
        </w:rPr>
      </w:pPr>
      <w:bookmarkStart w:id="2" w:name="_Toc221045086"/>
      <w:bookmarkStart w:id="3" w:name="_Toc221650479"/>
      <w:r w:rsidRPr="00CC0343">
        <w:rPr>
          <w:b/>
          <w:bCs/>
          <w:color w:val="auto"/>
        </w:rPr>
        <w:t>Referencias</w:t>
      </w:r>
      <w:bookmarkEnd w:id="2"/>
      <w:bookmarkEnd w:id="3"/>
    </w:p>
    <w:sdt>
      <w:sdtPr>
        <w:rPr>
          <w:rFonts w:asciiTheme="minorHAnsi" w:eastAsiaTheme="minorHAnsi" w:hAnsiTheme="minorHAnsi" w:cstheme="minorBidi"/>
          <w:color w:val="auto"/>
          <w:sz w:val="24"/>
          <w:szCs w:val="24"/>
          <w:lang w:val="es-ES"/>
        </w:rPr>
        <w:id w:val="890695425"/>
        <w:docPartObj>
          <w:docPartGallery w:val="Bibliographies"/>
          <w:docPartUnique/>
        </w:docPartObj>
      </w:sdtPr>
      <w:sdtEndPr>
        <w:rPr>
          <w:lang w:val="es-GT"/>
        </w:rPr>
      </w:sdtEndPr>
      <w:sdtContent>
        <w:p w14:paraId="79DE5B5E" w14:textId="62F5EBE9" w:rsidR="009E7653" w:rsidRDefault="009E7653">
          <w:pPr>
            <w:pStyle w:val="Ttulo1"/>
          </w:pPr>
          <w:r>
            <w:rPr>
              <w:lang w:val="es-ES"/>
            </w:rPr>
            <w:t>Referencias</w:t>
          </w:r>
        </w:p>
        <w:sdt>
          <w:sdtPr>
            <w:id w:val="-573587230"/>
            <w:bibliography/>
          </w:sdtPr>
          <w:sdtEndPr/>
          <w:sdtContent>
            <w:p w14:paraId="6264316A" w14:textId="00027A1C" w:rsidR="009E7653" w:rsidRDefault="009E7653">
              <w:r>
                <w:fldChar w:fldCharType="begin"/>
              </w:r>
              <w:r>
                <w:instrText>BIBLIOGRAPHY</w:instrText>
              </w:r>
              <w:r>
                <w:fldChar w:fldCharType="separate"/>
              </w:r>
              <w:r>
                <w:rPr>
                  <w:b/>
                  <w:bCs/>
                  <w:noProof/>
                  <w:lang w:val="es-ES"/>
                </w:rPr>
                <w:t>No hay ninguna fuente en el documento actual.</w:t>
              </w:r>
              <w:r>
                <w:rPr>
                  <w:b/>
                  <w:bCs/>
                </w:rPr>
                <w:fldChar w:fldCharType="end"/>
              </w:r>
            </w:p>
          </w:sdtContent>
        </w:sdt>
      </w:sdtContent>
    </w:sdt>
    <w:p w14:paraId="4CB2DBE8" w14:textId="77777777" w:rsidR="009E7653" w:rsidRPr="009E7653" w:rsidRDefault="009E7653" w:rsidP="009E7653"/>
    <w:sectPr w:rsidR="009E7653" w:rsidRPr="009E7653" w:rsidSect="006E60B1">
      <w:footerReference w:type="default" r:id="rId12"/>
      <w:pgSz w:w="12240" w:h="15840"/>
      <w:pgMar w:top="1440" w:right="1440" w:bottom="1440" w:left="1440" w:header="708" w:footer="708" w:gutter="0"/>
      <w:pgBorders w:offsetFrom="page">
        <w:left w:val="wave" w:sz="6" w:space="24" w:color="215E99" w:themeColor="text2" w:themeTint="BF"/>
        <w:right w:val="wave" w:sz="6" w:space="24" w:color="215E99" w:themeColor="text2" w:themeTint="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70A69" w14:textId="77777777" w:rsidR="006070CB" w:rsidRDefault="006070CB" w:rsidP="005A7178">
      <w:pPr>
        <w:spacing w:after="0" w:line="240" w:lineRule="auto"/>
      </w:pPr>
      <w:r>
        <w:separator/>
      </w:r>
    </w:p>
  </w:endnote>
  <w:endnote w:type="continuationSeparator" w:id="0">
    <w:p w14:paraId="52FEF6DF" w14:textId="77777777" w:rsidR="006070CB" w:rsidRDefault="006070CB" w:rsidP="005A71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2C94" w14:textId="77777777" w:rsidR="006E60B1" w:rsidRDefault="006E60B1">
    <w:pPr>
      <w:pStyle w:val="Piedepgina"/>
      <w:jc w:val="right"/>
    </w:pPr>
    <w:r>
      <w:rPr>
        <w:color w:val="156082" w:themeColor="accent1"/>
        <w:sz w:val="20"/>
        <w:szCs w:val="20"/>
        <w:lang w:val="es-ES"/>
      </w:rPr>
      <w:t xml:space="preserve">pág. </w:t>
    </w:r>
    <w:r>
      <w:rPr>
        <w:color w:val="156082" w:themeColor="accent1"/>
        <w:sz w:val="20"/>
        <w:szCs w:val="20"/>
      </w:rPr>
      <w:fldChar w:fldCharType="begin"/>
    </w:r>
    <w:r>
      <w:rPr>
        <w:color w:val="156082" w:themeColor="accent1"/>
        <w:sz w:val="20"/>
        <w:szCs w:val="20"/>
      </w:rPr>
      <w:instrText>PAGE  \* Arabic</w:instrText>
    </w:r>
    <w:r>
      <w:rPr>
        <w:color w:val="156082" w:themeColor="accent1"/>
        <w:sz w:val="20"/>
        <w:szCs w:val="20"/>
      </w:rPr>
      <w:fldChar w:fldCharType="separate"/>
    </w:r>
    <w:r>
      <w:rPr>
        <w:color w:val="156082" w:themeColor="accent1"/>
        <w:sz w:val="20"/>
        <w:szCs w:val="20"/>
        <w:lang w:val="es-ES"/>
      </w:rPr>
      <w:t>1</w:t>
    </w:r>
    <w:r>
      <w:rPr>
        <w:color w:val="156082" w:themeColor="accent1"/>
        <w:sz w:val="20"/>
        <w:szCs w:val="20"/>
      </w:rPr>
      <w:fldChar w:fldCharType="end"/>
    </w:r>
  </w:p>
  <w:p w14:paraId="32D8C309" w14:textId="77777777" w:rsidR="006E60B1" w:rsidRDefault="006E60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6C764" w14:textId="77777777" w:rsidR="006070CB" w:rsidRDefault="006070CB" w:rsidP="005A7178">
      <w:pPr>
        <w:spacing w:after="0" w:line="240" w:lineRule="auto"/>
      </w:pPr>
      <w:r>
        <w:separator/>
      </w:r>
    </w:p>
  </w:footnote>
  <w:footnote w:type="continuationSeparator" w:id="0">
    <w:p w14:paraId="77792789" w14:textId="77777777" w:rsidR="006070CB" w:rsidRDefault="006070CB" w:rsidP="005A71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5384F0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0AD40BF2"/>
    <w:multiLevelType w:val="multilevel"/>
    <w:tmpl w:val="EBF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095E"/>
    <w:multiLevelType w:val="multilevel"/>
    <w:tmpl w:val="0CAA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00641"/>
    <w:multiLevelType w:val="hybridMultilevel"/>
    <w:tmpl w:val="326010C2"/>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160B46E0"/>
    <w:multiLevelType w:val="multilevel"/>
    <w:tmpl w:val="6E703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B5E77"/>
    <w:multiLevelType w:val="multilevel"/>
    <w:tmpl w:val="683416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5007E"/>
    <w:multiLevelType w:val="multilevel"/>
    <w:tmpl w:val="11983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E2CDE"/>
    <w:multiLevelType w:val="hybridMultilevel"/>
    <w:tmpl w:val="1A44FA7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54285BC4"/>
    <w:multiLevelType w:val="multilevel"/>
    <w:tmpl w:val="6466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47576"/>
    <w:multiLevelType w:val="hybridMultilevel"/>
    <w:tmpl w:val="D542FE8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9" w15:restartNumberingAfterBreak="0">
    <w:nsid w:val="58A617FB"/>
    <w:multiLevelType w:val="hybridMultilevel"/>
    <w:tmpl w:val="5CE2C582"/>
    <w:lvl w:ilvl="0" w:tplc="1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835252"/>
    <w:multiLevelType w:val="hybridMultilevel"/>
    <w:tmpl w:val="936E852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5CE16030"/>
    <w:multiLevelType w:val="hybridMultilevel"/>
    <w:tmpl w:val="97C03232"/>
    <w:lvl w:ilvl="0" w:tplc="100A0007">
      <w:start w:val="1"/>
      <w:numFmt w:val="bullet"/>
      <w:lvlText w:val=""/>
      <w:lvlPicBulletId w:val="0"/>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2"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6F433123"/>
    <w:multiLevelType w:val="multilevel"/>
    <w:tmpl w:val="81DC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8179D"/>
    <w:multiLevelType w:val="multilevel"/>
    <w:tmpl w:val="4CF2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3520577">
    <w:abstractNumId w:val="4"/>
  </w:num>
  <w:num w:numId="2" w16cid:durableId="721825119">
    <w:abstractNumId w:val="11"/>
  </w:num>
  <w:num w:numId="3" w16cid:durableId="97914540">
    <w:abstractNumId w:val="2"/>
  </w:num>
  <w:num w:numId="4" w16cid:durableId="2029481683">
    <w:abstractNumId w:val="8"/>
  </w:num>
  <w:num w:numId="5" w16cid:durableId="1199972939">
    <w:abstractNumId w:val="12"/>
  </w:num>
  <w:num w:numId="6" w16cid:durableId="105080842">
    <w:abstractNumId w:val="5"/>
  </w:num>
  <w:num w:numId="7" w16cid:durableId="841043320">
    <w:abstractNumId w:val="1"/>
  </w:num>
  <w:num w:numId="8" w16cid:durableId="1550385316">
    <w:abstractNumId w:val="7"/>
  </w:num>
  <w:num w:numId="9" w16cid:durableId="562833287">
    <w:abstractNumId w:val="14"/>
  </w:num>
  <w:num w:numId="10" w16cid:durableId="819613996">
    <w:abstractNumId w:val="6"/>
  </w:num>
  <w:num w:numId="11" w16cid:durableId="819418452">
    <w:abstractNumId w:val="9"/>
  </w:num>
  <w:num w:numId="12" w16cid:durableId="435754472">
    <w:abstractNumId w:val="3"/>
  </w:num>
  <w:num w:numId="13" w16cid:durableId="729886648">
    <w:abstractNumId w:val="10"/>
  </w:num>
  <w:num w:numId="14" w16cid:durableId="492646619">
    <w:abstractNumId w:val="0"/>
  </w:num>
  <w:num w:numId="15" w16cid:durableId="3976791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6D4"/>
    <w:rsid w:val="00020596"/>
    <w:rsid w:val="00027211"/>
    <w:rsid w:val="00056642"/>
    <w:rsid w:val="000E23D7"/>
    <w:rsid w:val="00155AA3"/>
    <w:rsid w:val="00164893"/>
    <w:rsid w:val="001C6357"/>
    <w:rsid w:val="001C7410"/>
    <w:rsid w:val="00221D75"/>
    <w:rsid w:val="00232BDD"/>
    <w:rsid w:val="00255A51"/>
    <w:rsid w:val="00264A52"/>
    <w:rsid w:val="002713D2"/>
    <w:rsid w:val="00286620"/>
    <w:rsid w:val="002D5909"/>
    <w:rsid w:val="0032331D"/>
    <w:rsid w:val="00383F86"/>
    <w:rsid w:val="003856EC"/>
    <w:rsid w:val="003D0D10"/>
    <w:rsid w:val="00454B69"/>
    <w:rsid w:val="00455D34"/>
    <w:rsid w:val="004A12E3"/>
    <w:rsid w:val="004A4BB9"/>
    <w:rsid w:val="004E0F2C"/>
    <w:rsid w:val="004F7285"/>
    <w:rsid w:val="00523656"/>
    <w:rsid w:val="005315A0"/>
    <w:rsid w:val="00547548"/>
    <w:rsid w:val="0054765B"/>
    <w:rsid w:val="00547CCA"/>
    <w:rsid w:val="005826A5"/>
    <w:rsid w:val="00584369"/>
    <w:rsid w:val="005A7178"/>
    <w:rsid w:val="005E4988"/>
    <w:rsid w:val="006070CB"/>
    <w:rsid w:val="00671AE3"/>
    <w:rsid w:val="006A12FC"/>
    <w:rsid w:val="006C3758"/>
    <w:rsid w:val="006E60B1"/>
    <w:rsid w:val="00721A61"/>
    <w:rsid w:val="00787AE5"/>
    <w:rsid w:val="007E44C2"/>
    <w:rsid w:val="00817A19"/>
    <w:rsid w:val="00860675"/>
    <w:rsid w:val="00873B19"/>
    <w:rsid w:val="008A54C9"/>
    <w:rsid w:val="009060A2"/>
    <w:rsid w:val="00967122"/>
    <w:rsid w:val="009E7653"/>
    <w:rsid w:val="00A0616C"/>
    <w:rsid w:val="00AD29D0"/>
    <w:rsid w:val="00B10B75"/>
    <w:rsid w:val="00B178B8"/>
    <w:rsid w:val="00B21C5F"/>
    <w:rsid w:val="00B27DF6"/>
    <w:rsid w:val="00B716C0"/>
    <w:rsid w:val="00C052FC"/>
    <w:rsid w:val="00C26BD4"/>
    <w:rsid w:val="00C56705"/>
    <w:rsid w:val="00C7591A"/>
    <w:rsid w:val="00C7658F"/>
    <w:rsid w:val="00CA489A"/>
    <w:rsid w:val="00CC0343"/>
    <w:rsid w:val="00D0189B"/>
    <w:rsid w:val="00D168D5"/>
    <w:rsid w:val="00D23623"/>
    <w:rsid w:val="00D33B5F"/>
    <w:rsid w:val="00D47439"/>
    <w:rsid w:val="00DE39A3"/>
    <w:rsid w:val="00E61CE4"/>
    <w:rsid w:val="00E76D0F"/>
    <w:rsid w:val="00EB3063"/>
    <w:rsid w:val="00EB6016"/>
    <w:rsid w:val="00EE7385"/>
    <w:rsid w:val="00F846D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F6B0C"/>
  <w15:chartTrackingRefBased/>
  <w15:docId w15:val="{6BE66DE7-6C95-4F3D-A4B6-30A791A3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8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46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46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46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46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46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46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46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46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846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46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46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46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46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46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46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46D4"/>
    <w:rPr>
      <w:rFonts w:eastAsiaTheme="majorEastAsia" w:cstheme="majorBidi"/>
      <w:color w:val="272727" w:themeColor="text1" w:themeTint="D8"/>
    </w:rPr>
  </w:style>
  <w:style w:type="paragraph" w:styleId="Ttulo">
    <w:name w:val="Title"/>
    <w:basedOn w:val="Normal"/>
    <w:next w:val="Normal"/>
    <w:link w:val="TtuloCar"/>
    <w:uiPriority w:val="10"/>
    <w:qFormat/>
    <w:rsid w:val="00F8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46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46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46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46D4"/>
    <w:pPr>
      <w:spacing w:before="160"/>
      <w:jc w:val="center"/>
    </w:pPr>
    <w:rPr>
      <w:i/>
      <w:iCs/>
      <w:color w:val="404040" w:themeColor="text1" w:themeTint="BF"/>
    </w:rPr>
  </w:style>
  <w:style w:type="character" w:customStyle="1" w:styleId="CitaCar">
    <w:name w:val="Cita Car"/>
    <w:basedOn w:val="Fuentedeprrafopredeter"/>
    <w:link w:val="Cita"/>
    <w:uiPriority w:val="29"/>
    <w:rsid w:val="00F846D4"/>
    <w:rPr>
      <w:i/>
      <w:iCs/>
      <w:color w:val="404040" w:themeColor="text1" w:themeTint="BF"/>
    </w:rPr>
  </w:style>
  <w:style w:type="paragraph" w:styleId="Prrafodelista">
    <w:name w:val="List Paragraph"/>
    <w:basedOn w:val="Normal"/>
    <w:uiPriority w:val="34"/>
    <w:qFormat/>
    <w:rsid w:val="00F846D4"/>
    <w:pPr>
      <w:ind w:left="720"/>
      <w:contextualSpacing/>
    </w:pPr>
  </w:style>
  <w:style w:type="character" w:styleId="nfasisintenso">
    <w:name w:val="Intense Emphasis"/>
    <w:basedOn w:val="Fuentedeprrafopredeter"/>
    <w:uiPriority w:val="21"/>
    <w:qFormat/>
    <w:rsid w:val="00F846D4"/>
    <w:rPr>
      <w:i/>
      <w:iCs/>
      <w:color w:val="0F4761" w:themeColor="accent1" w:themeShade="BF"/>
    </w:rPr>
  </w:style>
  <w:style w:type="paragraph" w:styleId="Citadestacada">
    <w:name w:val="Intense Quote"/>
    <w:basedOn w:val="Normal"/>
    <w:next w:val="Normal"/>
    <w:link w:val="CitadestacadaCar"/>
    <w:uiPriority w:val="30"/>
    <w:qFormat/>
    <w:rsid w:val="00F8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46D4"/>
    <w:rPr>
      <w:i/>
      <w:iCs/>
      <w:color w:val="0F4761" w:themeColor="accent1" w:themeShade="BF"/>
    </w:rPr>
  </w:style>
  <w:style w:type="character" w:styleId="Referenciaintensa">
    <w:name w:val="Intense Reference"/>
    <w:basedOn w:val="Fuentedeprrafopredeter"/>
    <w:uiPriority w:val="32"/>
    <w:qFormat/>
    <w:rsid w:val="00F846D4"/>
    <w:rPr>
      <w:b/>
      <w:bCs/>
      <w:smallCaps/>
      <w:color w:val="0F4761" w:themeColor="accent1" w:themeShade="BF"/>
      <w:spacing w:val="5"/>
    </w:rPr>
  </w:style>
  <w:style w:type="character" w:styleId="Hipervnculo">
    <w:name w:val="Hyperlink"/>
    <w:basedOn w:val="Fuentedeprrafopredeter"/>
    <w:uiPriority w:val="99"/>
    <w:unhideWhenUsed/>
    <w:rsid w:val="002D5909"/>
    <w:rPr>
      <w:color w:val="467886" w:themeColor="hyperlink"/>
      <w:u w:val="single"/>
    </w:rPr>
  </w:style>
  <w:style w:type="character" w:styleId="Mencinsinresolver">
    <w:name w:val="Unresolved Mention"/>
    <w:basedOn w:val="Fuentedeprrafopredeter"/>
    <w:uiPriority w:val="99"/>
    <w:semiHidden/>
    <w:unhideWhenUsed/>
    <w:rsid w:val="002D5909"/>
    <w:rPr>
      <w:color w:val="605E5C"/>
      <w:shd w:val="clear" w:color="auto" w:fill="E1DFDD"/>
    </w:rPr>
  </w:style>
  <w:style w:type="character" w:styleId="Hipervnculovisitado">
    <w:name w:val="FollowedHyperlink"/>
    <w:basedOn w:val="Fuentedeprrafopredeter"/>
    <w:uiPriority w:val="99"/>
    <w:semiHidden/>
    <w:unhideWhenUsed/>
    <w:rsid w:val="00B716C0"/>
    <w:rPr>
      <w:color w:val="96607D" w:themeColor="followedHyperlink"/>
      <w:u w:val="single"/>
    </w:rPr>
  </w:style>
  <w:style w:type="paragraph" w:styleId="Encabezado">
    <w:name w:val="header"/>
    <w:basedOn w:val="Normal"/>
    <w:link w:val="EncabezadoCar"/>
    <w:uiPriority w:val="99"/>
    <w:unhideWhenUsed/>
    <w:rsid w:val="005A717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A7178"/>
  </w:style>
  <w:style w:type="paragraph" w:styleId="Piedepgina">
    <w:name w:val="footer"/>
    <w:basedOn w:val="Normal"/>
    <w:link w:val="PiedepginaCar"/>
    <w:uiPriority w:val="99"/>
    <w:unhideWhenUsed/>
    <w:rsid w:val="005A717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A7178"/>
  </w:style>
  <w:style w:type="paragraph" w:styleId="Descripcin">
    <w:name w:val="caption"/>
    <w:basedOn w:val="Normal"/>
    <w:next w:val="Normal"/>
    <w:uiPriority w:val="35"/>
    <w:unhideWhenUsed/>
    <w:qFormat/>
    <w:rsid w:val="00C56705"/>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4E0F2C"/>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4E0F2C"/>
    <w:pPr>
      <w:spacing w:after="100"/>
    </w:pPr>
  </w:style>
  <w:style w:type="paragraph" w:styleId="Tabladeilustraciones">
    <w:name w:val="table of figures"/>
    <w:basedOn w:val="Normal"/>
    <w:next w:val="Normal"/>
    <w:uiPriority w:val="99"/>
    <w:unhideWhenUsed/>
    <w:rsid w:val="004E0F2C"/>
    <w:pPr>
      <w:spacing w:after="0"/>
    </w:pPr>
  </w:style>
  <w:style w:type="table" w:styleId="Tablaconcuadrcula">
    <w:name w:val="Table Grid"/>
    <w:basedOn w:val="Tablanormal"/>
    <w:uiPriority w:val="39"/>
    <w:rsid w:val="00787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787A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6">
    <w:name w:val="Grid Table 3 Accent 6"/>
    <w:basedOn w:val="Tablanormal"/>
    <w:uiPriority w:val="48"/>
    <w:rsid w:val="00787AE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Refdecomentario">
    <w:name w:val="annotation reference"/>
    <w:basedOn w:val="Fuentedeprrafopredeter"/>
    <w:uiPriority w:val="99"/>
    <w:semiHidden/>
    <w:unhideWhenUsed/>
    <w:rsid w:val="00CC0343"/>
    <w:rPr>
      <w:sz w:val="16"/>
      <w:szCs w:val="16"/>
    </w:rPr>
  </w:style>
  <w:style w:type="paragraph" w:styleId="Textocomentario">
    <w:name w:val="annotation text"/>
    <w:basedOn w:val="Normal"/>
    <w:link w:val="TextocomentarioCar"/>
    <w:uiPriority w:val="99"/>
    <w:unhideWhenUsed/>
    <w:rsid w:val="00CC0343"/>
    <w:pPr>
      <w:spacing w:line="240" w:lineRule="auto"/>
    </w:pPr>
    <w:rPr>
      <w:sz w:val="20"/>
      <w:szCs w:val="20"/>
    </w:rPr>
  </w:style>
  <w:style w:type="character" w:customStyle="1" w:styleId="TextocomentarioCar">
    <w:name w:val="Texto comentario Car"/>
    <w:basedOn w:val="Fuentedeprrafopredeter"/>
    <w:link w:val="Textocomentario"/>
    <w:uiPriority w:val="99"/>
    <w:rsid w:val="00CC0343"/>
    <w:rPr>
      <w:sz w:val="20"/>
      <w:szCs w:val="20"/>
    </w:rPr>
  </w:style>
  <w:style w:type="paragraph" w:styleId="Asuntodelcomentario">
    <w:name w:val="annotation subject"/>
    <w:basedOn w:val="Textocomentario"/>
    <w:next w:val="Textocomentario"/>
    <w:link w:val="AsuntodelcomentarioCar"/>
    <w:uiPriority w:val="99"/>
    <w:semiHidden/>
    <w:unhideWhenUsed/>
    <w:rsid w:val="00CC0343"/>
    <w:rPr>
      <w:b/>
      <w:bCs/>
    </w:rPr>
  </w:style>
  <w:style w:type="character" w:customStyle="1" w:styleId="AsuntodelcomentarioCar">
    <w:name w:val="Asunto del comentario Car"/>
    <w:basedOn w:val="TextocomentarioCar"/>
    <w:link w:val="Asuntodelcomentario"/>
    <w:uiPriority w:val="99"/>
    <w:semiHidden/>
    <w:rsid w:val="00CC0343"/>
    <w:rPr>
      <w:b/>
      <w:bCs/>
      <w:sz w:val="20"/>
      <w:szCs w:val="20"/>
    </w:rPr>
  </w:style>
  <w:style w:type="paragraph" w:styleId="ndice1">
    <w:name w:val="index 1"/>
    <w:basedOn w:val="Descripcin"/>
    <w:next w:val="Descripcin"/>
    <w:autoRedefine/>
    <w:uiPriority w:val="99"/>
    <w:semiHidden/>
    <w:unhideWhenUsed/>
    <w:rsid w:val="001C7410"/>
    <w:pPr>
      <w:spacing w:after="0"/>
      <w:ind w:left="240" w:hanging="240"/>
    </w:pPr>
  </w:style>
  <w:style w:type="character" w:styleId="Fuerte">
    <w:name w:val="Strong"/>
    <w:basedOn w:val="Fuentedeprrafopredeter"/>
    <w:uiPriority w:val="22"/>
    <w:qFormat/>
    <w:rsid w:val="00D0189B"/>
    <w:rPr>
      <w:b/>
      <w:bCs/>
    </w:rPr>
  </w:style>
  <w:style w:type="table" w:styleId="Tablaconcuadrcula2-nfasis6">
    <w:name w:val="Grid Table 2 Accent 6"/>
    <w:basedOn w:val="Tablanormal"/>
    <w:uiPriority w:val="47"/>
    <w:rsid w:val="00D0189B"/>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Web">
    <w:name w:val="Normal (Web)"/>
    <w:basedOn w:val="Normal"/>
    <w:uiPriority w:val="99"/>
    <w:unhideWhenUsed/>
    <w:rsid w:val="002713D2"/>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paragraph" w:styleId="TDC2">
    <w:name w:val="toc 2"/>
    <w:basedOn w:val="Normal"/>
    <w:next w:val="Normal"/>
    <w:autoRedefine/>
    <w:uiPriority w:val="39"/>
    <w:unhideWhenUsed/>
    <w:rsid w:val="004A12E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549312">
      <w:bodyDiv w:val="1"/>
      <w:marLeft w:val="0"/>
      <w:marRight w:val="0"/>
      <w:marTop w:val="0"/>
      <w:marBottom w:val="0"/>
      <w:divBdr>
        <w:top w:val="none" w:sz="0" w:space="0" w:color="auto"/>
        <w:left w:val="none" w:sz="0" w:space="0" w:color="auto"/>
        <w:bottom w:val="none" w:sz="0" w:space="0" w:color="auto"/>
        <w:right w:val="none" w:sz="0" w:space="0" w:color="auto"/>
      </w:divBdr>
    </w:div>
    <w:div w:id="762729419">
      <w:bodyDiv w:val="1"/>
      <w:marLeft w:val="0"/>
      <w:marRight w:val="0"/>
      <w:marTop w:val="0"/>
      <w:marBottom w:val="0"/>
      <w:divBdr>
        <w:top w:val="none" w:sz="0" w:space="0" w:color="auto"/>
        <w:left w:val="none" w:sz="0" w:space="0" w:color="auto"/>
        <w:bottom w:val="none" w:sz="0" w:space="0" w:color="auto"/>
        <w:right w:val="none" w:sz="0" w:space="0" w:color="auto"/>
      </w:divBdr>
    </w:div>
    <w:div w:id="948241464">
      <w:bodyDiv w:val="1"/>
      <w:marLeft w:val="0"/>
      <w:marRight w:val="0"/>
      <w:marTop w:val="0"/>
      <w:marBottom w:val="0"/>
      <w:divBdr>
        <w:top w:val="none" w:sz="0" w:space="0" w:color="auto"/>
        <w:left w:val="none" w:sz="0" w:space="0" w:color="auto"/>
        <w:bottom w:val="none" w:sz="0" w:space="0" w:color="auto"/>
        <w:right w:val="none" w:sz="0" w:space="0" w:color="auto"/>
      </w:divBdr>
    </w:div>
    <w:div w:id="1279990627">
      <w:bodyDiv w:val="1"/>
      <w:marLeft w:val="0"/>
      <w:marRight w:val="0"/>
      <w:marTop w:val="0"/>
      <w:marBottom w:val="0"/>
      <w:divBdr>
        <w:top w:val="none" w:sz="0" w:space="0" w:color="auto"/>
        <w:left w:val="none" w:sz="0" w:space="0" w:color="auto"/>
        <w:bottom w:val="none" w:sz="0" w:space="0" w:color="auto"/>
        <w:right w:val="none" w:sz="0" w:space="0" w:color="auto"/>
      </w:divBdr>
    </w:div>
    <w:div w:id="1284799676">
      <w:bodyDiv w:val="1"/>
      <w:marLeft w:val="0"/>
      <w:marRight w:val="0"/>
      <w:marTop w:val="0"/>
      <w:marBottom w:val="0"/>
      <w:divBdr>
        <w:top w:val="none" w:sz="0" w:space="0" w:color="auto"/>
        <w:left w:val="none" w:sz="0" w:space="0" w:color="auto"/>
        <w:bottom w:val="none" w:sz="0" w:space="0" w:color="auto"/>
        <w:right w:val="none" w:sz="0" w:space="0" w:color="auto"/>
      </w:divBdr>
    </w:div>
    <w:div w:id="1366099968">
      <w:bodyDiv w:val="1"/>
      <w:marLeft w:val="0"/>
      <w:marRight w:val="0"/>
      <w:marTop w:val="0"/>
      <w:marBottom w:val="0"/>
      <w:divBdr>
        <w:top w:val="none" w:sz="0" w:space="0" w:color="auto"/>
        <w:left w:val="none" w:sz="0" w:space="0" w:color="auto"/>
        <w:bottom w:val="none" w:sz="0" w:space="0" w:color="auto"/>
        <w:right w:val="none" w:sz="0" w:space="0" w:color="auto"/>
      </w:divBdr>
    </w:div>
    <w:div w:id="1379083854">
      <w:bodyDiv w:val="1"/>
      <w:marLeft w:val="0"/>
      <w:marRight w:val="0"/>
      <w:marTop w:val="0"/>
      <w:marBottom w:val="0"/>
      <w:divBdr>
        <w:top w:val="none" w:sz="0" w:space="0" w:color="auto"/>
        <w:left w:val="none" w:sz="0" w:space="0" w:color="auto"/>
        <w:bottom w:val="none" w:sz="0" w:space="0" w:color="auto"/>
        <w:right w:val="none" w:sz="0" w:space="0" w:color="auto"/>
      </w:divBdr>
    </w:div>
    <w:div w:id="1447314369">
      <w:bodyDiv w:val="1"/>
      <w:marLeft w:val="0"/>
      <w:marRight w:val="0"/>
      <w:marTop w:val="0"/>
      <w:marBottom w:val="0"/>
      <w:divBdr>
        <w:top w:val="none" w:sz="0" w:space="0" w:color="auto"/>
        <w:left w:val="none" w:sz="0" w:space="0" w:color="auto"/>
        <w:bottom w:val="none" w:sz="0" w:space="0" w:color="auto"/>
        <w:right w:val="none" w:sz="0" w:space="0" w:color="auto"/>
      </w:divBdr>
    </w:div>
    <w:div w:id="1826388643">
      <w:bodyDiv w:val="1"/>
      <w:marLeft w:val="0"/>
      <w:marRight w:val="0"/>
      <w:marTop w:val="0"/>
      <w:marBottom w:val="0"/>
      <w:divBdr>
        <w:top w:val="none" w:sz="0" w:space="0" w:color="auto"/>
        <w:left w:val="none" w:sz="0" w:space="0" w:color="auto"/>
        <w:bottom w:val="none" w:sz="0" w:space="0" w:color="auto"/>
        <w:right w:val="none" w:sz="0" w:space="0" w:color="auto"/>
      </w:divBdr>
    </w:div>
    <w:div w:id="1946577095">
      <w:bodyDiv w:val="1"/>
      <w:marLeft w:val="0"/>
      <w:marRight w:val="0"/>
      <w:marTop w:val="0"/>
      <w:marBottom w:val="0"/>
      <w:divBdr>
        <w:top w:val="none" w:sz="0" w:space="0" w:color="auto"/>
        <w:left w:val="none" w:sz="0" w:space="0" w:color="auto"/>
        <w:bottom w:val="none" w:sz="0" w:space="0" w:color="auto"/>
        <w:right w:val="none" w:sz="0" w:space="0" w:color="auto"/>
      </w:divBdr>
    </w:div>
    <w:div w:id="2056156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a6ce21-4ee4-4a80-8bb9-dce51cd5ece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6FDF6582D5FF3409116E8FE04AC5AE9" ma:contentTypeVersion="5" ma:contentTypeDescription="Crear nuevo documento." ma:contentTypeScope="" ma:versionID="7b65d6347862607a8c474fe676274ff0">
  <xsd:schema xmlns:xsd="http://www.w3.org/2001/XMLSchema" xmlns:xs="http://www.w3.org/2001/XMLSchema" xmlns:p="http://schemas.microsoft.com/office/2006/metadata/properties" xmlns:ns3="fda6ce21-4ee4-4a80-8bb9-dce51cd5ecea" targetNamespace="http://schemas.microsoft.com/office/2006/metadata/properties" ma:root="true" ma:fieldsID="1e728cb83f20b90bd6f288aaae8c114b" ns3:_="">
    <xsd:import namespace="fda6ce21-4ee4-4a80-8bb9-dce51cd5ece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a6ce21-4ee4-4a80-8bb9-dce51cd5ec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Nel17</b:Tag>
    <b:SourceType>Book</b:SourceType>
    <b:Guid>{36E9150B-B599-4F13-A011-6F6B806074F2}</b:Guid>
    <b:Author>
      <b:Author>
        <b:NameList>
          <b:Person>
            <b:Last>Nelson</b:Last>
            <b:First>D.</b:First>
            <b:Middle>L., &amp; Cox, M. M</b:Middle>
          </b:Person>
        </b:NameList>
      </b:Author>
    </b:Author>
    <b:Title>Lehninger principles of biochemistry (7th ed.)</b:Title>
    <b:Year>2017</b:Year>
    <b:Publisher>W. H. Freeman and Company</b:Publisher>
    <b:RefOrder>1</b:RefOrder>
  </b:Source>
  <b:Source>
    <b:Tag>Ber19</b:Tag>
    <b:SourceType>Book</b:SourceType>
    <b:Guid>{A3E57ED1-C8DD-4B28-A7A1-8293ED32A967}</b:Guid>
    <b:Author>
      <b:Author>
        <b:NameList>
          <b:Person>
            <b:Last>Berg</b:Last>
            <b:First>Jeremy</b:First>
            <b:Middle>M.</b:Middle>
          </b:Person>
          <b:Person>
            <b:Last>Tymoczko</b:Last>
            <b:First>John</b:First>
            <b:Middle>L.</b:Middle>
          </b:Person>
          <b:Person>
            <b:Last>Gatto</b:Last>
            <b:First>Gregory</b:First>
            <b:Middle>J.</b:Middle>
          </b:Person>
          <b:Person>
            <b:Last>Stryer</b:Last>
            <b:First>Lubert</b:First>
          </b:Person>
        </b:NameList>
      </b:Author>
    </b:Author>
    <b:Title>Biochemistry</b:Title>
    <b:Year>2019</b:Year>
    <b:City>New York</b:City>
    <b:Publisher>W. H. Freeman</b:Publisher>
    <b:RefOrder>4</b:RefOrder>
  </b:Source>
  <b:Source>
    <b:Tag>Hal15</b:Tag>
    <b:SourceType>Book</b:SourceType>
    <b:Guid>{FDA7AF24-BC34-4EE8-8BA8-753E1DEB4431}</b:Guid>
    <b:Author>
      <b:Author>
        <b:NameList>
          <b:Person>
            <b:Last>Halliwell</b:Last>
            <b:First>Barry</b:First>
          </b:Person>
          <b:Person>
            <b:Last>Gutteridge</b:Last>
            <b:First>John</b:First>
            <b:Middle>M. C.</b:Middle>
          </b:Person>
        </b:NameList>
      </b:Author>
    </b:Author>
    <b:Title>Free Radicals in Biology and Medicine</b:Title>
    <b:Year>2015</b:Year>
    <b:City>Oxford</b:City>
    <b:Publisher>Oxford University Press</b:Publisher>
    <b:RefOrder>2</b:RefOrder>
  </b:Source>
  <b:Source>
    <b:Tag>Lod21</b:Tag>
    <b:SourceType>Book</b:SourceType>
    <b:Guid>{D2305762-95D4-4DE6-9CB7-F436C0FB2958}</b:Guid>
    <b:Author>
      <b:Author>
        <b:NameList>
          <b:Person>
            <b:Last>Lodish</b:Last>
            <b:First>Harvey</b:First>
          </b:Person>
          <b:Person>
            <b:Last>Berk</b:Last>
            <b:First>Arnold</b:First>
          </b:Person>
          <b:Person>
            <b:Last>Kaiser</b:Last>
            <b:First>Chris</b:First>
            <b:Middle>A.</b:Middle>
          </b:Person>
          <b:Person>
            <b:Last>Krieger</b:Last>
            <b:First>Monty</b:First>
          </b:Person>
          <b:Person>
            <b:Last>Bretscher</b:Last>
            <b:First>Anthony</b:First>
          </b:Person>
          <b:Person>
            <b:Last>Ploegh</b:Last>
            <b:First>Hidde</b:First>
          </b:Person>
          <b:Person>
            <b:Last>Amon</b:Last>
            <b:First>Angelika</b:First>
          </b:Person>
          <b:Person>
            <b:Last>Martin</b:Last>
            <b:First>Kelsey</b:First>
            <b:Middle>C.</b:Middle>
          </b:Person>
        </b:NameList>
      </b:Author>
    </b:Author>
    <b:Title>Molecular Cell Biology</b:Title>
    <b:Year>2021</b:Year>
    <b:City>New York </b:City>
    <b:Publisher>W. H. Freeman</b:Publisher>
    <b:RefOrder>3</b:RefOrder>
  </b:Source>
</b:Sources>
</file>

<file path=customXml/itemProps1.xml><?xml version="1.0" encoding="utf-8"?>
<ds:datastoreItem xmlns:ds="http://schemas.openxmlformats.org/officeDocument/2006/customXml" ds:itemID="{8FA383D0-A38A-4602-BF00-8F09A05FE3B8}">
  <ds:schemaRefs>
    <ds:schemaRef ds:uri="http://schemas.microsoft.com/office/2006/metadata/properties"/>
    <ds:schemaRef ds:uri="http://schemas.microsoft.com/office/infopath/2007/PartnerControls"/>
    <ds:schemaRef ds:uri="fda6ce21-4ee4-4a80-8bb9-dce51cd5ecea"/>
  </ds:schemaRefs>
</ds:datastoreItem>
</file>

<file path=customXml/itemProps2.xml><?xml version="1.0" encoding="utf-8"?>
<ds:datastoreItem xmlns:ds="http://schemas.openxmlformats.org/officeDocument/2006/customXml" ds:itemID="{5B13822E-ED08-4441-A2DF-D64E37B22B9F}">
  <ds:schemaRefs>
    <ds:schemaRef ds:uri="http://schemas.microsoft.com/sharepoint/v3/contenttype/forms"/>
  </ds:schemaRefs>
</ds:datastoreItem>
</file>

<file path=customXml/itemProps3.xml><?xml version="1.0" encoding="utf-8"?>
<ds:datastoreItem xmlns:ds="http://schemas.openxmlformats.org/officeDocument/2006/customXml" ds:itemID="{51FCBC25-E642-4044-A925-20B13FA7C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a6ce21-4ee4-4a80-8bb9-dce51cd5ec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EDFC8A2-9456-48E5-B1B0-78B07B794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836</Words>
  <Characters>4599</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JUAREZ GUERRA, JACOB</dc:creator>
  <cp:keywords/>
  <dc:description/>
  <cp:lastModifiedBy>JUAREZ GUERRA, JACOB</cp:lastModifiedBy>
  <cp:revision>2</cp:revision>
  <cp:lastPrinted>2026-01-17T22:43:00Z</cp:lastPrinted>
  <dcterms:created xsi:type="dcterms:W3CDTF">2026-03-03T00:00:00Z</dcterms:created>
  <dcterms:modified xsi:type="dcterms:W3CDTF">2026-03-03T00:00:00Z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0x01010096FDF6582D5FF3409116E8FE04AC5AE9</vt:lpwstr>
  </property>
</Properties>
</file>