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555E" w:rsidRDefault="00093053">
      <w:bookmarkStart w:id="0" w:name="_GoBack"/>
      <w:bookmarkEnd w:id="0"/>
      <w:r w:rsidRPr="00093053">
        <w:rPr>
          <w:u w:val="single"/>
        </w:rPr>
        <w:t>Question 1:</w:t>
      </w:r>
      <w:r>
        <w:t xml:space="preserve"> </w:t>
      </w:r>
      <w:r w:rsidRPr="00093053">
        <w:t>It is possible</w:t>
      </w:r>
      <w:r>
        <w:t xml:space="preserve"> (USEFUL)</w:t>
      </w:r>
      <w:r w:rsidRPr="00093053">
        <w:t xml:space="preserve"> to incorporate global projections of wild caught fish supply at a local Atlantis level to better understand ecosystem impact</w:t>
      </w:r>
      <w:r>
        <w:t>s of global predictions because.</w:t>
      </w:r>
      <w:r w:rsidRPr="00093053">
        <w:t>…</w:t>
      </w:r>
    </w:p>
    <w:p w:rsidR="00093053" w:rsidRDefault="00093053"/>
    <w:p w:rsidR="00093053" w:rsidRDefault="00093053" w:rsidP="00093053">
      <w:pPr>
        <w:pStyle w:val="ListParagraph"/>
        <w:numPr>
          <w:ilvl w:val="0"/>
          <w:numId w:val="1"/>
        </w:numPr>
      </w:pPr>
      <w:r>
        <w:t>Global projections are all very well, but regional production may not match global expectations, and if this is the case what is the value of being constrained by global projections?</w:t>
      </w:r>
    </w:p>
    <w:p w:rsidR="00093053" w:rsidRDefault="00093053" w:rsidP="00093053">
      <w:pPr>
        <w:pStyle w:val="ListParagraph"/>
        <w:numPr>
          <w:ilvl w:val="0"/>
          <w:numId w:val="1"/>
        </w:numPr>
      </w:pPr>
      <w:r>
        <w:t xml:space="preserve">Following on the above, projections of production and consumption may have some consistency (e.g. Wold Bank Fish to 2030), but at sub-global level this is not mirrored (e.g. import/export patterns dominate). </w:t>
      </w:r>
    </w:p>
    <w:p w:rsidR="00093053" w:rsidRDefault="00093053" w:rsidP="00093053">
      <w:pPr>
        <w:pStyle w:val="ListParagraph"/>
        <w:numPr>
          <w:ilvl w:val="0"/>
          <w:numId w:val="1"/>
        </w:numPr>
      </w:pPr>
      <w:r>
        <w:t xml:space="preserve">The above dialogue led to conversation on whether regional deficits referenced to global projections may be helpful to identify potential new fisheries (e.g. following balance harvest approaches)? After all, production is energy limited, and so ecosystems cannot produce more than is expected from metabolic principles. </w:t>
      </w:r>
    </w:p>
    <w:p w:rsidR="00093053" w:rsidRDefault="00093053" w:rsidP="00093053">
      <w:pPr>
        <w:pStyle w:val="ListParagraph"/>
        <w:numPr>
          <w:ilvl w:val="0"/>
          <w:numId w:val="1"/>
        </w:numPr>
      </w:pPr>
      <w:r>
        <w:t>Would it be possible (and to what extent) can global projections be downscaled so that one can tailor local models to the regional projections consistent with the global projection?</w:t>
      </w:r>
    </w:p>
    <w:p w:rsidR="00093053" w:rsidRDefault="00093053" w:rsidP="00093053">
      <w:pPr>
        <w:pStyle w:val="ListParagraph"/>
        <w:numPr>
          <w:ilvl w:val="0"/>
          <w:numId w:val="1"/>
        </w:numPr>
      </w:pPr>
      <w:r>
        <w:t xml:space="preserve">Are there “clever” ways of doing the global to regional “transfer” in a scenario framework? Yes, for example the Fish to 2030 uses recent global trends and consumption patterns to project a </w:t>
      </w:r>
      <w:r>
        <w:rPr>
          <w:u w:val="single"/>
        </w:rPr>
        <w:t>baseline</w:t>
      </w:r>
      <w:r w:rsidRPr="00093053">
        <w:t xml:space="preserve"> </w:t>
      </w:r>
      <w:r>
        <w:t xml:space="preserve">prediction. Any scenarios are deviations from that baseline. Regionally, the global best prediction could help determine the regional baseline scenario, for example. </w:t>
      </w:r>
    </w:p>
    <w:p w:rsidR="00093053" w:rsidRDefault="00093053" w:rsidP="00093053">
      <w:pPr>
        <w:pStyle w:val="ListParagraph"/>
        <w:numPr>
          <w:ilvl w:val="0"/>
          <w:numId w:val="1"/>
        </w:numPr>
      </w:pPr>
      <w:r>
        <w:t xml:space="preserve">Following on the above, there is some concern that these scenarios fall apart when trying to </w:t>
      </w:r>
      <w:r w:rsidR="00C779DF">
        <w:t xml:space="preserve">fit functional responses in a model to “deliver” expected scenario goals. </w:t>
      </w:r>
    </w:p>
    <w:p w:rsidR="00C779DF" w:rsidRDefault="00C779DF" w:rsidP="00093053">
      <w:pPr>
        <w:pStyle w:val="ListParagraph"/>
        <w:numPr>
          <w:ilvl w:val="0"/>
          <w:numId w:val="1"/>
        </w:numPr>
      </w:pPr>
      <w:r>
        <w:t>Finally, what opportunities one would have to use global predictions at local level if local governance constrains them? This linked well with question number 2:</w:t>
      </w:r>
    </w:p>
    <w:p w:rsidR="00C779DF" w:rsidRDefault="00C779DF" w:rsidP="00C779DF">
      <w:pPr>
        <w:ind w:left="360"/>
      </w:pPr>
    </w:p>
    <w:p w:rsidR="00C779DF" w:rsidRDefault="00C779DF" w:rsidP="00C779DF">
      <w:pPr>
        <w:ind w:left="360"/>
      </w:pPr>
      <w:r>
        <w:rPr>
          <w:u w:val="single"/>
        </w:rPr>
        <w:t>Question 2</w:t>
      </w:r>
      <w:r w:rsidRPr="00C779DF">
        <w:rPr>
          <w:u w:val="single"/>
        </w:rPr>
        <w:t>:</w:t>
      </w:r>
      <w:r w:rsidRPr="00C779DF">
        <w:t xml:space="preserve"> </w:t>
      </w:r>
      <w:r>
        <w:t xml:space="preserve">Fisheries </w:t>
      </w:r>
      <w:r w:rsidRPr="00C779DF">
        <w:t xml:space="preserve">governance projections in the context of worldviews can be determined at a global level and </w:t>
      </w:r>
      <w:r>
        <w:t>(WOULD BE USEFUL TO BE) applied locally.</w:t>
      </w:r>
    </w:p>
    <w:p w:rsidR="00C779DF" w:rsidRDefault="00C779DF" w:rsidP="00C779DF">
      <w:pPr>
        <w:pStyle w:val="ListParagraph"/>
        <w:numPr>
          <w:ilvl w:val="0"/>
          <w:numId w:val="3"/>
        </w:numPr>
        <w:rPr>
          <w:lang w:val="en-GB"/>
        </w:rPr>
      </w:pPr>
      <w:r>
        <w:rPr>
          <w:lang w:val="en-GB"/>
        </w:rPr>
        <w:t>Geographical scale is paramount. If your Atlantis model is within a single EEZ then governance may be more determined by national management regulations than global expectations.</w:t>
      </w:r>
    </w:p>
    <w:p w:rsidR="00C779DF" w:rsidRDefault="00C779DF" w:rsidP="00C779DF">
      <w:pPr>
        <w:pStyle w:val="ListParagraph"/>
        <w:numPr>
          <w:ilvl w:val="0"/>
          <w:numId w:val="3"/>
        </w:numPr>
        <w:rPr>
          <w:lang w:val="en-GB"/>
        </w:rPr>
      </w:pPr>
      <w:r>
        <w:rPr>
          <w:lang w:val="en-GB"/>
        </w:rPr>
        <w:t>Following on that, some of the global governance trends would fit any model structure (e.g. WSSD objective to manage fisheries to achieve MSY). On the comment that some countries signed these commitments but disregard them in national legislation, this actually allows a scenario constrained by global objectives to assess the difference in outcomes compared to national-driven scenarios.</w:t>
      </w:r>
    </w:p>
    <w:p w:rsidR="00C779DF" w:rsidRDefault="00C779DF" w:rsidP="00C779DF">
      <w:pPr>
        <w:pStyle w:val="ListParagraph"/>
        <w:numPr>
          <w:ilvl w:val="0"/>
          <w:numId w:val="3"/>
        </w:numPr>
        <w:rPr>
          <w:lang w:val="en-GB"/>
        </w:rPr>
      </w:pPr>
      <w:r>
        <w:rPr>
          <w:lang w:val="en-GB"/>
        </w:rPr>
        <w:t>Temporal scale also crucial: if your model is focused on the present and near future then national governance is an important constraint. However, for longer-term projections one should have more freedom to deviate from national legislation and be creative following global expectations.</w:t>
      </w:r>
    </w:p>
    <w:p w:rsidR="00C779DF" w:rsidRDefault="00C779DF" w:rsidP="00C779DF">
      <w:pPr>
        <w:pStyle w:val="ListParagraph"/>
        <w:numPr>
          <w:ilvl w:val="0"/>
          <w:numId w:val="3"/>
        </w:numPr>
        <w:rPr>
          <w:lang w:val="en-GB"/>
        </w:rPr>
      </w:pPr>
      <w:r>
        <w:rPr>
          <w:lang w:val="en-GB"/>
        </w:rPr>
        <w:lastRenderedPageBreak/>
        <w:t>Having said that, the group struggled to identify global governance objectives.</w:t>
      </w:r>
    </w:p>
    <w:p w:rsidR="00234DBC" w:rsidRPr="00234DBC" w:rsidRDefault="00C779DF" w:rsidP="00C779DF">
      <w:pPr>
        <w:pStyle w:val="ListParagraph"/>
        <w:numPr>
          <w:ilvl w:val="0"/>
          <w:numId w:val="3"/>
        </w:numPr>
        <w:rPr>
          <w:lang w:val="en-GB"/>
        </w:rPr>
      </w:pPr>
      <w:r>
        <w:rPr>
          <w:lang w:val="en-GB"/>
        </w:rPr>
        <w:t xml:space="preserve">A brief discussion on the role of externalities to the management process opened up whether management should better consider public views in addition to expert views. An example discussed was </w:t>
      </w:r>
      <w:r w:rsidR="00234DBC" w:rsidRPr="00234DBC">
        <w:t>Hugh Fearnley-Whittingstall</w:t>
      </w:r>
      <w:r w:rsidR="00234DBC">
        <w:t xml:space="preserve"> (UK Chef) campaign to stop fish discards, which became a pillar of the new European Common Fishery Policy, despite not being originally supported by science, industry or conservationists. </w:t>
      </w:r>
    </w:p>
    <w:p w:rsidR="00234DBC" w:rsidRDefault="00234DBC" w:rsidP="00234DBC">
      <w:pPr>
        <w:rPr>
          <w:lang w:val="en-GB"/>
        </w:rPr>
      </w:pPr>
    </w:p>
    <w:p w:rsidR="00234DBC" w:rsidRDefault="00234DBC" w:rsidP="00234DBC">
      <w:pPr>
        <w:rPr>
          <w:lang w:val="en-GB"/>
        </w:rPr>
      </w:pPr>
      <w:r>
        <w:rPr>
          <w:lang w:val="en-GB"/>
        </w:rPr>
        <w:t>Going back to question 1, two issues were raised:</w:t>
      </w:r>
    </w:p>
    <w:p w:rsidR="00C779DF" w:rsidRDefault="00234DBC" w:rsidP="00234DBC">
      <w:pPr>
        <w:pStyle w:val="ListParagraph"/>
        <w:numPr>
          <w:ilvl w:val="0"/>
          <w:numId w:val="4"/>
        </w:numPr>
        <w:rPr>
          <w:lang w:val="en-GB"/>
        </w:rPr>
      </w:pPr>
      <w:r>
        <w:rPr>
          <w:lang w:val="en-GB"/>
        </w:rPr>
        <w:t>What about the role of other industries (the conversation had been focused on fisheries so far) in determining scenarios? For example, would global energy requirements put pressure on ecosystems to the point where local scenarios need to take into account external pressures of this nature? The answer is yes, but concern was also raised that these other industries are more volatile and variable than “good old boring fisheries”. Need to avoid tail-waging dog.</w:t>
      </w:r>
    </w:p>
    <w:p w:rsidR="00234DBC" w:rsidRDefault="00234DBC" w:rsidP="00234DBC">
      <w:pPr>
        <w:pStyle w:val="ListParagraph"/>
        <w:numPr>
          <w:ilvl w:val="0"/>
          <w:numId w:val="4"/>
        </w:numPr>
        <w:rPr>
          <w:lang w:val="en-GB"/>
        </w:rPr>
      </w:pPr>
      <w:r w:rsidRPr="00234DBC">
        <w:rPr>
          <w:lang w:val="en-GB"/>
        </w:rPr>
        <w:t xml:space="preserve">Finally, the group was reminded of the SSP (Shared Socio-economic Pathways) narratives developed for IPCC AR5 (see special issue in </w:t>
      </w:r>
      <w:r>
        <w:t xml:space="preserve">Climatic Change (2014) 122). These provide good boundary </w:t>
      </w:r>
      <w:r w:rsidRPr="00234DBC">
        <w:rPr>
          <w:lang w:val="en-GB"/>
        </w:rPr>
        <w:t>conditions for the development of Atlantic scenarios at local level. At minimum level the SSRs have allowed demographic predictions per country which could be used in Atlantis scenarios (</w:t>
      </w:r>
      <w:r>
        <w:rPr>
          <w:lang w:val="en-GB"/>
        </w:rPr>
        <w:t>these are a</w:t>
      </w:r>
      <w:r w:rsidRPr="00234DBC">
        <w:rPr>
          <w:lang w:val="en-GB"/>
        </w:rPr>
        <w:t xml:space="preserve">vailable at: </w:t>
      </w:r>
      <w:hyperlink r:id="rId5" w:history="1">
        <w:r w:rsidRPr="00463283">
          <w:rPr>
            <w:rStyle w:val="Hyperlink"/>
            <w:lang w:val="en-GB"/>
          </w:rPr>
          <w:t>www.wittgensteincentre.org/dataexplorer</w:t>
        </w:r>
      </w:hyperlink>
      <w:r>
        <w:rPr>
          <w:lang w:val="en-GB"/>
        </w:rPr>
        <w:t>).</w:t>
      </w:r>
    </w:p>
    <w:p w:rsidR="00234DBC" w:rsidRPr="00234DBC" w:rsidRDefault="00234DBC" w:rsidP="00234DBC">
      <w:pPr>
        <w:pStyle w:val="ListParagraph"/>
        <w:ind w:left="771"/>
        <w:rPr>
          <w:lang w:val="en-GB"/>
        </w:rPr>
      </w:pPr>
      <w:r w:rsidRPr="00234DBC">
        <w:rPr>
          <w:lang w:val="en-GB"/>
        </w:rPr>
        <w:t xml:space="preserve"> </w:t>
      </w:r>
    </w:p>
    <w:p w:rsidR="00C779DF" w:rsidRPr="00234DBC" w:rsidRDefault="00C779DF" w:rsidP="00C779DF">
      <w:pPr>
        <w:rPr>
          <w:lang w:val="en-GB"/>
        </w:rPr>
      </w:pPr>
    </w:p>
    <w:sectPr w:rsidR="00C779DF" w:rsidRPr="00234DBC" w:rsidSect="00E97D4D">
      <w:pgSz w:w="11900" w:h="16840"/>
      <w:pgMar w:top="1440" w:right="1800" w:bottom="1440" w:left="180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CFA22F5"/>
    <w:multiLevelType w:val="hybridMultilevel"/>
    <w:tmpl w:val="99B8B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AE2D4E"/>
    <w:multiLevelType w:val="hybridMultilevel"/>
    <w:tmpl w:val="9D509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F13D27"/>
    <w:multiLevelType w:val="hybridMultilevel"/>
    <w:tmpl w:val="31C85370"/>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3" w15:restartNumberingAfterBreak="0">
    <w:nsid w:val="7F0C468B"/>
    <w:multiLevelType w:val="hybridMultilevel"/>
    <w:tmpl w:val="27A447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embedSystemFont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3053"/>
    <w:rsid w:val="00093053"/>
    <w:rsid w:val="00234DBC"/>
    <w:rsid w:val="0090555E"/>
    <w:rsid w:val="00C779DF"/>
    <w:rsid w:val="00E97D4D"/>
    <w:rsid w:val="00FC08E9"/>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docId w15:val="{776C8888-9AF3-4392-B5BF-7DB148D9A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3053"/>
    <w:pPr>
      <w:ind w:left="720"/>
      <w:contextualSpacing/>
    </w:pPr>
  </w:style>
  <w:style w:type="character" w:styleId="Hyperlink">
    <w:name w:val="Hyperlink"/>
    <w:basedOn w:val="DefaultParagraphFont"/>
    <w:uiPriority w:val="99"/>
    <w:unhideWhenUsed/>
    <w:rsid w:val="00234DB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1468167">
      <w:bodyDiv w:val="1"/>
      <w:marLeft w:val="0"/>
      <w:marRight w:val="0"/>
      <w:marTop w:val="0"/>
      <w:marBottom w:val="0"/>
      <w:divBdr>
        <w:top w:val="none" w:sz="0" w:space="0" w:color="auto"/>
        <w:left w:val="none" w:sz="0" w:space="0" w:color="auto"/>
        <w:bottom w:val="none" w:sz="0" w:space="0" w:color="auto"/>
        <w:right w:val="none" w:sz="0" w:space="0" w:color="auto"/>
      </w:divBdr>
    </w:div>
    <w:div w:id="139188531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wittgensteincentre.org/dataexplor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643</Words>
  <Characters>3666</Characters>
  <Application>Microsoft Office Word</Application>
  <DocSecurity>0</DocSecurity>
  <Lines>30</Lines>
  <Paragraphs>8</Paragraphs>
  <ScaleCrop>false</ScaleCrop>
  <Company/>
  <LinksUpToDate>false</LinksUpToDate>
  <CharactersWithSpaces>4301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Barange</dc:creator>
  <cp:keywords/>
  <dc:description/>
  <cp:lastModifiedBy>van Putten, Ingrid (O&amp;A, Hobart)</cp:lastModifiedBy>
  <cp:revision>2</cp:revision>
  <dcterms:created xsi:type="dcterms:W3CDTF">2015-12-14T05:28:00Z</dcterms:created>
  <dcterms:modified xsi:type="dcterms:W3CDTF">2015-12-14T05:28:00Z</dcterms:modified>
</cp:coreProperties>
</file>