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الجمهورية اليمنية - وزارة التعليم العالي والبحث العلمي - جامعة إب</w:t>
        <w:br/>
        <w:t>كلية الحاسبات والعلوم التطبيقية - قسم علوم الحاسوب وتقنية المعلومات - مستوى رابع</w:t>
        <w:br/>
      </w:r>
    </w:p>
    <w:p>
      <w:pPr>
        <w:jc w:val="center"/>
      </w:pPr>
      <w:r>
        <w:rPr>
          <w:b/>
          <w:color w:val="1E40AF"/>
          <w:sz w:val="40"/>
        </w:rPr>
        <w:br/>
        <w:br/>
        <w:t>مقترح مشروع مقرر التشفير - Cryptography Course Project Proposal</w:t>
        <w:br/>
        <w:br/>
      </w:r>
    </w:p>
    <w:p>
      <w:pPr>
        <w:jc w:val="left"/>
      </w:pPr>
      <w:r>
        <w:rPr>
          <w:b/>
          <w:color w:val="1E40AF"/>
          <w:sz w:val="44"/>
        </w:rPr>
        <w:t>NeuroCrypt-Guard:</w:t>
        <w:br/>
      </w:r>
      <w:r>
        <w:rPr>
          <w:b/>
          <w:color w:val="1E40AF"/>
          <w:sz w:val="26"/>
        </w:rPr>
        <w:t>An Adversarial Neural Cryptography Framework Resilient to Differential and Fault-Injection Attacks</w:t>
        <w:br/>
        <w:br/>
      </w:r>
    </w:p>
    <w:p>
      <w:pPr>
        <w:jc w:val="center"/>
      </w:pPr>
      <w:r>
        <w:rPr>
          <w:b/>
          <w:color w:val="1E40AF"/>
          <w:sz w:val="28"/>
        </w:rPr>
        <w:t>نيوروكربت-جارد: إطار تشفير عصبي تنافسي ذاتي التكيف مقاوم للهجمات التفاضلية وحقن الأخطاء</w:t>
        <w:br/>
        <w:br/>
        <w:br/>
        <w:br/>
      </w:r>
    </w:p>
    <w:p>
      <w:pPr>
        <w:jc w:val="center"/>
      </w:pPr>
      <w:r>
        <w:rPr>
          <w:b/>
          <w:sz w:val="24"/>
        </w:rPr>
        <w:t>العام الجامعي: 2026/2027</w:t>
      </w:r>
    </w:p>
    <w:p>
      <w:r>
        <w:br w:type="page"/>
      </w:r>
    </w:p>
    <w:p>
      <w:pPr>
        <w:pStyle w:val="Heading1"/>
      </w:pPr>
      <w:r>
        <w:t>1. عنوان المشروع</w:t>
      </w:r>
    </w:p>
    <w:p>
      <w:r>
        <w:rPr>
          <w:b/>
        </w:rPr>
        <w:t>NeuroCrypt-Guard: An Adversarial Neural Cryptography Framework Resilient to Differential and Fault-Injection Attacks</w:t>
        <w:br/>
      </w:r>
      <w:r>
        <w:rPr>
          <w:b/>
        </w:rPr>
        <w:t>نيوروكربت-جارد: إطار تشفير عصبي تنافسي ذاتي التكيف مقاوم للهجمات التفاضلية وحقن الأخطاء</w:t>
      </w:r>
    </w:p>
    <w:p>
      <w:pPr>
        <w:pStyle w:val="Heading1"/>
      </w:pPr>
      <w:r>
        <w:t>2. المشكلة (Problem Statement)</w:t>
      </w:r>
    </w:p>
    <w:p>
      <w:r>
        <w:t>تعتمد أنظمة التشفير المتناظر التقليدية بشكل أساسي على التحويلات الجبرية الصارمة وصناديق الاستبدال الثابتة (S-Boxes) كما في معيار التشفير المتقدم (AES)، مما يمنحها أماناً حسابياً مصمتاً ولكنه يتسم بالجمود التكيفي.</w:t>
      </w:r>
    </w:p>
    <w:p>
      <w:r>
        <w:t>وقد ظهر مفهوم التشفير العصبي التنافسي (ANC) كأحد أهم التطبيقات الواعدة المستوحاة من شبكات GANs حيث تتدرب شبكات (Alice, Bob, Eve) ذاتياً.</w:t>
      </w:r>
    </w:p>
    <w:p>
      <w:pPr>
        <w:pStyle w:val="Heading2"/>
      </w:pPr>
      <w:r>
        <w:t>المشكلة الرئيسية</w:t>
      </w:r>
    </w:p>
    <w:p>
      <w:r>
        <w:t>تواجه أنظمة التشفير العصبي التنافسي تحديات أمنية حرجة في تحقيق مبادئ الارتباك والانتشار، والوقوع في ظاهرة التشفير المعكوس، بالإضافة إلى هشاشتها أمام أعطال واضطرابات العتاد.</w:t>
      </w:r>
    </w:p>
    <w:p>
      <w:pPr>
        <w:pStyle w:val="Heading2"/>
      </w:pPr>
      <w:r>
        <w:t>المشاكل الفرعية</w:t>
      </w:r>
    </w:p>
    <w:p>
      <w:r>
        <w:t>المشكلة الأولى: عجز الشبكات العصبية غير المهيأة عن تحقيق معيار تأثير الانهيار الصارم (SAC).</w:t>
      </w:r>
    </w:p>
    <w:p>
      <w:r>
        <w:t>المشكلة الثانية: عدم استقرار التدريب التنافسي وظاهرة التشفير المعكوس عند انحراف دالة الخسارة.</w:t>
      </w:r>
    </w:p>
    <w:p>
      <w:r>
        <w:t>المشكلة الثالثة: هشاشة النماذج العصبية المشفرة أمام هجمات حقن الأخطاء (Fault Injection).</w:t>
      </w:r>
    </w:p>
    <w:p>
      <w:pPr>
        <w:pStyle w:val="Heading1"/>
      </w:pPr>
      <w:r>
        <w:t>3. أهداف المشروع (Objectives)</w:t>
      </w:r>
    </w:p>
    <w:p>
      <w:r>
        <w:t>الهدف الأول: تصميم وبناء معمارية عصبية هجينة تحقق معيار SAC بنسبة تقارب 50% لمقاومة الكسر التفاضلي.</w:t>
      </w:r>
    </w:p>
    <w:p>
      <w:r>
        <w:t>الهدف الثاني: صياغة دالة تكلفة مقيدة تربيعياً لضمان فك تشفير سليم (&gt; 99.5%) وحصر إيف عند التخمين الأعمى.</w:t>
      </w:r>
    </w:p>
    <w:p>
      <w:r>
        <w:t>الهدف الثالث: تطوير جناح برمجي للتقييم الأمني بمقاييس NIST SP 800-22 وحقن الأخطاء ومقارنة AES-128.</w:t>
      </w:r>
    </w:p>
    <w:p>
      <w:r>
        <w:br w:type="page"/>
      </w:r>
    </w:p>
    <w:p>
      <w:pPr>
        <w:pStyle w:val="Heading1"/>
      </w:pPr>
      <w:r>
        <w:t>4. أهمية المشروع (Project Significance)</w:t>
      </w:r>
    </w:p>
    <w:p>
      <w:r>
        <w:t>تكمن أهمية المشروع في استكشاف الاتجاهات الحديثة لتأمين الاتصالات عبر الذكاء الاصطناعي التنافسي.</w:t>
      </w:r>
    </w:p>
    <w:p>
      <w:pPr>
        <w:pStyle w:val="Heading1"/>
      </w:pPr>
      <w:r>
        <w:t>5. التقنيات والأدوات المقترحة (Technologies and Tools)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المحور</w:t>
            </w:r>
          </w:p>
        </w:tc>
        <w:tc>
          <w:tcPr>
            <w:tcW w:type="dxa" w:w="4968"/>
          </w:tcPr>
          <w:p>
            <w:r>
              <w:t>الوصف / الأدوات المقترحة</w:t>
            </w:r>
          </w:p>
        </w:tc>
      </w:tr>
      <w:tr>
        <w:tc>
          <w:tcPr>
            <w:tcW w:type="dxa" w:w="4968"/>
          </w:tcPr>
          <w:p>
            <w:r>
              <w:t>محرك الذكاء الاصطناعي</w:t>
            </w:r>
          </w:p>
        </w:tc>
        <w:tc>
          <w:tcPr>
            <w:tcW w:type="dxa" w:w="4968"/>
          </w:tcPr>
          <w:p>
            <w:r>
              <w:t>مكتبة PyTorch 2.x لبناء معمارية النماذج العصبية (Alice, Bob, Eve).</w:t>
            </w:r>
          </w:p>
        </w:tc>
      </w:tr>
      <w:tr>
        <w:tc>
          <w:tcPr>
            <w:tcW w:type="dxa" w:w="4968"/>
          </w:tcPr>
          <w:p>
            <w:r>
              <w:t>التسريع العتادي</w:t>
            </w:r>
          </w:p>
        </w:tc>
        <w:tc>
          <w:tcPr>
            <w:tcW w:type="dxa" w:w="4968"/>
          </w:tcPr>
          <w:p>
            <w:r>
              <w:t>منصة NVIDIA CUDA &amp; cuDNN لتسريع التدريب التنافسي.</w:t>
            </w:r>
          </w:p>
        </w:tc>
      </w:tr>
      <w:tr>
        <w:tc>
          <w:tcPr>
            <w:tcW w:type="dxa" w:w="4968"/>
          </w:tcPr>
          <w:p>
            <w:r>
              <w:t>التقييم الأمني والإحصائي</w:t>
            </w:r>
          </w:p>
        </w:tc>
        <w:tc>
          <w:tcPr>
            <w:tcW w:type="dxa" w:w="4968"/>
          </w:tcPr>
          <w:p>
            <w:r>
              <w:t>حزمة اختبارات العشوائية العالمية NIST SP 800-22 ومصفوفة SAC.</w:t>
            </w:r>
          </w:p>
        </w:tc>
      </w:tr>
      <w:tr>
        <w:tc>
          <w:tcPr>
            <w:tcW w:type="dxa" w:w="4968"/>
          </w:tcPr>
          <w:p>
            <w:r>
              <w:t>المرجعية المعيارية</w:t>
            </w:r>
          </w:p>
        </w:tc>
        <w:tc>
          <w:tcPr>
            <w:tcW w:type="dxa" w:w="4968"/>
          </w:tcPr>
          <w:p>
            <w:r>
              <w:t>خوارزمية AES-128 عبر مكتبة PyCryptodome.</w:t>
            </w:r>
          </w:p>
        </w:tc>
      </w:tr>
      <w:tr>
        <w:tc>
          <w:tcPr>
            <w:tcW w:type="dxa" w:w="4968"/>
          </w:tcPr>
          <w:p>
            <w:r>
              <w:t>البيانات</w:t>
            </w:r>
          </w:p>
        </w:tc>
        <w:tc>
          <w:tcPr>
            <w:tcW w:type="dxa" w:w="4968"/>
          </w:tcPr>
          <w:p>
            <w:r>
              <w:t>مولد CSPRNG ديناميكي وداتا سيت نصوص كلاسيكية حقيقية.</w:t>
            </w:r>
          </w:p>
        </w:tc>
      </w:tr>
      <w:tr>
        <w:tc>
          <w:tcPr>
            <w:tcW w:type="dxa" w:w="4968"/>
          </w:tcPr>
          <w:p>
            <w:r>
              <w:t>واجهة التحكم</w:t>
            </w:r>
          </w:p>
        </w:tc>
        <w:tc>
          <w:tcPr>
            <w:tcW w:type="dxa" w:w="4968"/>
          </w:tcPr>
          <w:p>
            <w:r>
              <w:t>لوحة تحكم تفاعلية عبر Streamlit / FastAPI.</w:t>
            </w:r>
          </w:p>
        </w:tc>
      </w:tr>
    </w:tbl>
    <w:p>
      <w:r>
        <w:br w:type="page"/>
      </w:r>
    </w:p>
    <w:p>
      <w:pPr>
        <w:pStyle w:val="Heading1"/>
      </w:pPr>
      <w:r>
        <w:t>7. أسماء أعضاء الفريق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الرقم</w:t>
            </w:r>
          </w:p>
        </w:tc>
        <w:tc>
          <w:tcPr>
            <w:tcW w:type="dxa" w:w="4968"/>
          </w:tcPr>
          <w:p>
            <w:r>
              <w:t>الاسم</w:t>
            </w:r>
          </w:p>
        </w:tc>
      </w:tr>
      <w:tr>
        <w:tc>
          <w:tcPr>
            <w:tcW w:type="dxa" w:w="4968"/>
          </w:tcPr>
          <w:p>
            <w:r>
              <w:t>1</w:t>
            </w:r>
          </w:p>
        </w:tc>
        <w:tc>
          <w:tcPr>
            <w:tcW w:type="dxa" w:w="4968"/>
          </w:tcPr>
          <w:p>
            <w:r>
              <w:t>يعقوب خالد محمد علي المهاجري</w:t>
            </w:r>
          </w:p>
        </w:tc>
      </w:tr>
      <w:tr>
        <w:tc>
          <w:tcPr>
            <w:tcW w:type="dxa" w:w="4968"/>
          </w:tcPr>
          <w:p>
            <w:r>
              <w:t>2</w:t>
            </w:r>
          </w:p>
        </w:tc>
        <w:tc>
          <w:tcPr>
            <w:tcW w:type="dxa" w:w="4968"/>
          </w:tcPr>
          <w:p>
            <w:r>
              <w:t>سليمان صالح صالح العربي</w:t>
            </w:r>
          </w:p>
        </w:tc>
      </w:tr>
      <w:tr>
        <w:tc>
          <w:tcPr>
            <w:tcW w:type="dxa" w:w="4968"/>
          </w:tcPr>
          <w:p>
            <w:r>
              <w:t>3</w:t>
            </w:r>
          </w:p>
        </w:tc>
        <w:tc>
          <w:tcPr>
            <w:tcW w:type="dxa" w:w="4968"/>
          </w:tcPr>
          <w:p>
            <w:r>
              <w:t>مالك عادل عبده جبران</w:t>
            </w:r>
          </w:p>
        </w:tc>
      </w:tr>
    </w:tbl>
    <w:p>
      <w:r>
        <w:br w:type="page"/>
      </w:r>
    </w:p>
    <w:p>
      <w:pPr>
        <w:pStyle w:val="Heading1"/>
      </w:pPr>
      <w:r>
        <w:t>المراجع (References)</w:t>
      </w:r>
    </w:p>
    <w:p>
      <w:pPr>
        <w:pStyle w:val="ListNumber"/>
      </w:pPr>
      <w:r>
        <w:t>Abadi, M., &amp; Andersen, D. G. (2016). Learning to protect communications with adversarial neural cryptography. arXiv:1610.06918.</w:t>
      </w:r>
    </w:p>
    <w:p>
      <w:pPr>
        <w:pStyle w:val="ListNumber"/>
      </w:pPr>
      <w:r>
        <w:t>Biham, E., &amp; Shamir, A. (1991). Differential cryptanalysis of DES-like cryptosystems. Journal of Cryptology, 4(1), 3–72.</w:t>
      </w:r>
    </w:p>
    <w:p>
      <w:pPr>
        <w:pStyle w:val="ListNumber"/>
      </w:pPr>
      <w:r>
        <w:t>Boneh, D., DeMillo, R. A., &amp; Lipton, R. J. (1997). On the importance of checking cryptographic protocols for faults. EUROCRYPT '97, 37–51.</w:t>
      </w:r>
    </w:p>
    <w:p>
      <w:pPr>
        <w:pStyle w:val="ListNumber"/>
      </w:pPr>
      <w:r>
        <w:t>Daemen, J., &amp; Rijmen, V. (2002). The design of Rijndael: AES - The Advanced Encryption Standard. Springer-Verlag.</w:t>
      </w:r>
    </w:p>
    <w:p>
      <w:pPr>
        <w:pStyle w:val="ListNumber"/>
      </w:pPr>
      <w:r>
        <w:t>Gräf, J., &amp; Šíma, J. (2017). Analysis and cracking of adversarial neural cryptography. arXiv:1705.03458.</w:t>
      </w:r>
    </w:p>
    <w:p>
      <w:pPr>
        <w:pStyle w:val="ListNumber"/>
      </w:pPr>
      <w:r>
        <w:t>Rukhin, A., et al. (2010). A statistical test suite for random and pseudorandom number generators for cryptographic applications (NIST SP 800-22, Rev. 1a).</w:t>
      </w:r>
    </w:p>
    <w:p>
      <w:pPr>
        <w:pStyle w:val="ListNumber"/>
      </w:pPr>
      <w:r>
        <w:t>Shannon, C. E. (1949). Communication theory of secrecy systems. Bell System Technical Journal, 28(4), 656–715.</w:t>
      </w:r>
    </w:p>
    <w:p>
      <w:pPr>
        <w:pStyle w:val="ListNumber"/>
      </w:pPr>
      <w:r>
        <w:t>Webster, A. F., &amp; Tavares, S. E. (1985). On the design of S-boxes. CRYPTO '85, 523–534.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