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8"/>
          <w:sz w:val="36"/>
        </w:rPr>
        <w:t>上海排阿婆信息科技 员工手册节选（客诉处理与合规制度）</w:t>
      </w:r>
    </w:p>
    <w:p/>
    <w:p>
      <w:r>
        <w:rPr>
          <w:rFonts w:ascii="微软雅黑" w:hAnsi="微软雅黑" w:eastAsia="微软雅黑"/>
          <w:b/>
          <w:color w:val="2E75B6"/>
          <w:sz w:val="28"/>
        </w:rPr>
        <w:t>一、客诉处理标准流程</w:t>
      </w:r>
    </w:p>
    <w:p/>
    <w:p>
      <w:pPr>
        <w:pStyle w:val="ListBullet"/>
      </w:pPr>
      <w:r>
        <w:rPr>
          <w:rFonts w:ascii="微软雅黑" w:hAnsi="微软雅黑" w:eastAsia="微软雅黑"/>
          <w:sz w:val="22"/>
        </w:rPr>
        <w:t>一级客诉（产品质量问题）：24小时内响应，48小时内给出处理方案，涉及退换货的优先处理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二级客诉（物流/服务问题）：12小时内响应并给出解决方案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三级客诉（咨询类问题）：2小时内响应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所有客诉记录须在系统中留痕，月度汇总分析高频问题类型</w:t>
      </w:r>
    </w:p>
    <w:p>
      <w:r>
        <w:rPr>
          <w:rFonts w:ascii="微软雅黑" w:hAnsi="微软雅黑" w:eastAsia="微软雅黑"/>
          <w:b/>
          <w:color w:val="2E75B6"/>
          <w:sz w:val="28"/>
        </w:rPr>
        <w:t>二、营销文案合规审查制度</w:t>
      </w:r>
    </w:p>
    <w:p/>
    <w:p>
      <w:pPr>
        <w:pStyle w:val="ListBullet"/>
      </w:pPr>
      <w:r>
        <w:rPr>
          <w:rFonts w:ascii="微软雅黑" w:hAnsi="微软雅黑" w:eastAsia="微软雅黑"/>
          <w:sz w:val="22"/>
        </w:rPr>
        <w:t>所有对外发布的种草文案、直播话术脚本须经合规专员审查后方可上线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禁止使用'医美级''堪比XX医美项目''抗菌抑菌'（未取得对应备案的产品）等超出功效备案范围的表述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涉及'美白''祛斑''抗衰'等特殊功效宣称的产品，须核实产品备案类别后方可使用对应宣称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违规文案一经发现须在24小时内下架整改，并追溯责任人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