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23D1B" w14:textId="599491B5" w:rsidR="00540352" w:rsidRPr="003B4205" w:rsidRDefault="00540352" w:rsidP="00CF06AC">
      <w:pPr>
        <w:tabs>
          <w:tab w:val="num" w:pos="360"/>
        </w:tabs>
        <w:jc w:val="both"/>
        <w:rPr>
          <w:color w:val="EE0000"/>
        </w:rPr>
      </w:pPr>
      <w:r w:rsidRPr="003B4205">
        <w:rPr>
          <w:color w:val="EE0000"/>
        </w:rPr>
        <w:t>Look up and briefly </w:t>
      </w:r>
      <w:r w:rsidRPr="003B4205">
        <w:rPr>
          <w:b/>
          <w:bCs/>
          <w:color w:val="EE0000"/>
        </w:rPr>
        <w:t>describe the equation your shock enters</w:t>
      </w:r>
      <w:r w:rsidRPr="003B4205">
        <w:rPr>
          <w:color w:val="EE0000"/>
        </w:rPr>
        <w:t>. Each shock is a one-off increase in the residual of that equation in 2010 Q1. What is the dependent variable, what are the independent variables? What do you anticipate the effect of the shock to be, on your equation’s dependent variable and on the wider economy? [2 marks]</w:t>
      </w:r>
    </w:p>
    <w:p w14:paraId="645BA6E9" w14:textId="632CFDC2" w:rsidR="0028540B" w:rsidRPr="00800A8D" w:rsidRDefault="00E5468C" w:rsidP="00CF06AC">
      <w:pPr>
        <w:jc w:val="both"/>
      </w:pPr>
      <w:r>
        <w:rPr>
          <w:noProof/>
        </w:rPr>
        <w:drawing>
          <wp:anchor distT="0" distB="0" distL="114300" distR="114300" simplePos="0" relativeHeight="251661312" behindDoc="0" locked="0" layoutInCell="1" allowOverlap="1" wp14:anchorId="6EA078AE" wp14:editId="0845BD60">
            <wp:simplePos x="0" y="0"/>
            <wp:positionH relativeFrom="margin">
              <wp:align>center</wp:align>
            </wp:positionH>
            <wp:positionV relativeFrom="paragraph">
              <wp:posOffset>5452386</wp:posOffset>
            </wp:positionV>
            <wp:extent cx="4045789" cy="2219656"/>
            <wp:effectExtent l="0" t="0" r="0" b="9525"/>
            <wp:wrapTopAndBottom/>
            <wp:docPr id="1103691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45789" cy="2219656"/>
                    </a:xfrm>
                    <a:prstGeom prst="rect">
                      <a:avLst/>
                    </a:prstGeom>
                    <a:noFill/>
                  </pic:spPr>
                </pic:pic>
              </a:graphicData>
            </a:graphic>
            <wp14:sizeRelH relativeFrom="margin">
              <wp14:pctWidth>0</wp14:pctWidth>
            </wp14:sizeRelH>
            <wp14:sizeRelV relativeFrom="margin">
              <wp14:pctHeight>0</wp14:pctHeight>
            </wp14:sizeRelV>
          </wp:anchor>
        </w:drawing>
      </w:r>
      <w:r w:rsidR="00CA3E3C">
        <w:t>Ownership transfer</w:t>
      </w:r>
      <w:r w:rsidR="006330CE">
        <w:t xml:space="preserve"> costs </w:t>
      </w:r>
      <w:r w:rsidR="00641D40">
        <w:t xml:space="preserve">(OTC) </w:t>
      </w:r>
      <w:r w:rsidR="00DA53E3">
        <w:t>are</w:t>
      </w:r>
      <w:r w:rsidR="00F0764E">
        <w:t xml:space="preserve"> the stamp dut</w:t>
      </w:r>
      <w:r w:rsidR="00AB5ED6">
        <w:t>ies, agents’ commissions and legal fees</w:t>
      </w:r>
      <w:r w:rsidR="00861399">
        <w:t xml:space="preserve"> paid when properties change hands. They are counted as </w:t>
      </w:r>
      <w:r w:rsidR="001106B8">
        <w:t xml:space="preserve">investments </w:t>
      </w:r>
      <w:r w:rsidR="00C962AA">
        <w:t xml:space="preserve">in the national accounts </w:t>
      </w:r>
      <w:r w:rsidR="002830DD">
        <w:t xml:space="preserve">and part of </w:t>
      </w:r>
      <w:r w:rsidR="00240182">
        <w:t>GDP identity in the MARTIN paper</w:t>
      </w:r>
      <w:r w:rsidR="007800AC">
        <w:t xml:space="preserve"> (4.6 National Account Aggregates)</w:t>
      </w:r>
      <w:r w:rsidR="00115711">
        <w:t>.</w:t>
      </w:r>
      <w:r w:rsidR="000D2195">
        <w:t xml:space="preserve"> </w:t>
      </w:r>
      <w:r w:rsidR="006328FD">
        <w:t xml:space="preserve">The OTC </w:t>
      </w:r>
      <w:r w:rsidR="00703A2B">
        <w:t>equation</w:t>
      </w:r>
      <w:r w:rsidR="00764F6F">
        <w:t xml:space="preserve"> is </w:t>
      </w:r>
      <w:r w:rsidR="009C1BD3">
        <w:t>an error correction model</w:t>
      </w:r>
      <w:r w:rsidR="000F5A8E">
        <w:t xml:space="preserve"> (OLS)</w:t>
      </w:r>
      <w:r w:rsidR="00B348F5">
        <w:t xml:space="preserve"> with</w:t>
      </w:r>
      <w:r w:rsidR="000F5A8E">
        <w:t xml:space="preserve"> Change in log</w:t>
      </w:r>
      <w:r w:rsidR="00641D40">
        <w:t xml:space="preserve"> OTC</w:t>
      </w:r>
      <w:r w:rsidR="009C1BD3">
        <w:t xml:space="preserve"> </w:t>
      </w:r>
      <w:r w:rsidR="00641D40">
        <w:t xml:space="preserve">at time t </w:t>
      </w:r>
      <w:r w:rsidR="00B348F5">
        <w:t>as</w:t>
      </w:r>
      <w:r w:rsidR="00641D40">
        <w:t xml:space="preserve"> the dependent variable.</w:t>
      </w:r>
      <w:r w:rsidR="00B348F5">
        <w:t xml:space="preserve"> </w:t>
      </w:r>
      <w:r w:rsidR="00641D40">
        <w:t>The independent variables are made up of both long run and short run error correction terms.</w:t>
      </w:r>
      <w:r w:rsidR="00D52B62">
        <w:t xml:space="preserve"> </w:t>
      </w:r>
      <w:r w:rsidR="00737577">
        <w:t>Gamma is the speed of adjustment</w:t>
      </w:r>
      <w:r w:rsidR="00720CF9">
        <w:t xml:space="preserve">, </w:t>
      </w:r>
      <w:r w:rsidR="00F844C7">
        <w:t xml:space="preserve">it explains how strongly OTC is pulled back toward </w:t>
      </w:r>
      <w:r w:rsidR="00575B3B">
        <w:t xml:space="preserve">its long run with dwelling investment </w:t>
      </w:r>
      <w:r w:rsidR="00A674D4">
        <w:t xml:space="preserve">(ID) </w:t>
      </w:r>
      <w:r w:rsidR="003E64A3">
        <w:t>each quarter</w:t>
      </w:r>
      <w:r w:rsidR="007963FC">
        <w:t>.</w:t>
      </w:r>
      <w:r w:rsidR="00827C8E">
        <w:t xml:space="preserve"> </w:t>
      </w:r>
      <w:r w:rsidR="00584416">
        <w:t>Beta</w:t>
      </w:r>
      <w:r w:rsidR="00CE0D46">
        <w:rPr>
          <w:vertAlign w:val="subscript"/>
        </w:rPr>
        <w:t>1</w:t>
      </w:r>
      <w:r w:rsidR="00584416">
        <w:t xml:space="preserve"> is </w:t>
      </w:r>
      <w:r w:rsidR="007E1B51">
        <w:t xml:space="preserve">the </w:t>
      </w:r>
      <w:r w:rsidR="00EB2A24">
        <w:t>long run</w:t>
      </w:r>
      <w:r w:rsidR="002853CF">
        <w:t xml:space="preserve"> effect of the relative price</w:t>
      </w:r>
      <w:r w:rsidR="008648A8">
        <w:t xml:space="preserve"> (both POTC and </w:t>
      </w:r>
      <w:r w:rsidR="0064284F">
        <w:t>PID are deflators, hence relative price)</w:t>
      </w:r>
      <w:r w:rsidR="002853CF">
        <w:t xml:space="preserve"> </w:t>
      </w:r>
      <w:r w:rsidR="000E2103">
        <w:t>on OTC.</w:t>
      </w:r>
      <w:r w:rsidR="003E3EC2">
        <w:t xml:space="preserve"> </w:t>
      </w:r>
      <w:r w:rsidR="004823FD">
        <w:t xml:space="preserve">For </w:t>
      </w:r>
      <w:r w:rsidR="00A674D4">
        <w:t>instance,</w:t>
      </w:r>
      <w:r w:rsidR="004823FD">
        <w:t xml:space="preserve"> a 1 percent increase in </w:t>
      </w:r>
      <w:r w:rsidR="00A674D4">
        <w:t xml:space="preserve">the price of OTC relative to ID </w:t>
      </w:r>
      <w:r w:rsidR="00EA41FC">
        <w:t xml:space="preserve">decreases the </w:t>
      </w:r>
      <w:r w:rsidR="00F867A6">
        <w:t>real OTC by around 0.67 percent.</w:t>
      </w:r>
      <w:r w:rsidR="00296400">
        <w:t xml:space="preserve"> The short run erro</w:t>
      </w:r>
      <w:r w:rsidR="000A0090">
        <w:t>r correctio terms follow as</w:t>
      </w:r>
      <w:r w:rsidR="003B5957">
        <w:t xml:space="preserve"> </w:t>
      </w:r>
      <w:r w:rsidR="002E31C4">
        <w:t>Alpha</w:t>
      </w:r>
      <w:r w:rsidR="00CE0D46">
        <w:rPr>
          <w:vertAlign w:val="subscript"/>
        </w:rPr>
        <w:t>1</w:t>
      </w:r>
      <w:r w:rsidR="002E31C4">
        <w:t xml:space="preserve"> is </w:t>
      </w:r>
      <w:r w:rsidR="00BA1139">
        <w:t>the change in house prices</w:t>
      </w:r>
      <w:r w:rsidR="0061539F">
        <w:t xml:space="preserve"> </w:t>
      </w:r>
      <w:r w:rsidR="00666752">
        <w:t xml:space="preserve">minus the quarterly </w:t>
      </w:r>
      <w:r w:rsidR="00B30346">
        <w:t>inflation</w:t>
      </w:r>
      <w:r w:rsidR="00666752">
        <w:t xml:space="preserve"> rate target</w:t>
      </w:r>
      <w:r w:rsidR="009C5D46">
        <w:t xml:space="preserve">. When </w:t>
      </w:r>
      <w:r w:rsidR="00305DCA">
        <w:t>house prices grow faster than inflation</w:t>
      </w:r>
      <w:r w:rsidR="00C91A6C">
        <w:t xml:space="preserve"> in the same quarter</w:t>
      </w:r>
      <w:r w:rsidR="00305DCA">
        <w:t xml:space="preserve"> then OTC rises.</w:t>
      </w:r>
      <w:r w:rsidR="004F74F8">
        <w:t xml:space="preserve"> </w:t>
      </w:r>
      <w:r w:rsidR="00C91A6C">
        <w:t>Alpha</w:t>
      </w:r>
      <w:r w:rsidR="00CE0D46">
        <w:rPr>
          <w:vertAlign w:val="subscript"/>
        </w:rPr>
        <w:t>2</w:t>
      </w:r>
      <w:r w:rsidR="00C91A6C">
        <w:t xml:space="preserve"> </w:t>
      </w:r>
      <w:r w:rsidR="00331A29">
        <w:t xml:space="preserve">is </w:t>
      </w:r>
      <w:r w:rsidR="00EF49DA">
        <w:t xml:space="preserve">last quarters </w:t>
      </w:r>
      <w:r w:rsidR="0091764A">
        <w:t>change in mortgage interest rates</w:t>
      </w:r>
      <w:r w:rsidR="004F74F8">
        <w:t>, which</w:t>
      </w:r>
      <w:r w:rsidR="00D257FC">
        <w:t xml:space="preserve"> </w:t>
      </w:r>
      <w:r w:rsidR="00411840">
        <w:t>effects this quarters OTC growth</w:t>
      </w:r>
      <w:r w:rsidR="00D257FC">
        <w:t>.</w:t>
      </w:r>
      <w:r w:rsidR="002C0C11">
        <w:t xml:space="preserve"> Increasing </w:t>
      </w:r>
      <w:r w:rsidR="00C945E4">
        <w:t>NMR will lower OTC growth.</w:t>
      </w:r>
      <w:r w:rsidR="004F74F8">
        <w:t xml:space="preserve"> </w:t>
      </w:r>
      <w:r w:rsidR="00C945E4">
        <w:t>Alpha</w:t>
      </w:r>
      <w:r w:rsidR="00394BE2">
        <w:rPr>
          <w:vertAlign w:val="subscript"/>
        </w:rPr>
        <w:t>3</w:t>
      </w:r>
      <w:r w:rsidR="00C945E4">
        <w:t xml:space="preserve"> is a dummy variable </w:t>
      </w:r>
      <w:r w:rsidR="00E26CE3">
        <w:t>for the introduction of GST</w:t>
      </w:r>
      <w:r w:rsidR="00D90E9E">
        <w:t xml:space="preserve"> in 2000 Q3.</w:t>
      </w:r>
      <w:r w:rsidR="00CB1FA6">
        <w:t xml:space="preserve"> </w:t>
      </w:r>
      <w:r w:rsidR="00E35A13">
        <w:t xml:space="preserve">Trend labour productivity growth (TDLLA), </w:t>
      </w:r>
      <w:r w:rsidR="00E35A13" w:rsidRPr="00BF143D">
        <w:t>Trend population growth</w:t>
      </w:r>
      <w:r w:rsidR="00E35A13">
        <w:t xml:space="preserve"> (</w:t>
      </w:r>
      <w:r w:rsidR="00E35A13" w:rsidRPr="00BF143D">
        <w:t>TDLLPOP</w:t>
      </w:r>
      <w:r w:rsidR="00E35A13">
        <w:t>), and Trend change in average hours worked per employee (TDLLHPP)</w:t>
      </w:r>
      <w:r w:rsidR="003913E5">
        <w:t xml:space="preserve"> </w:t>
      </w:r>
      <w:r w:rsidR="00DA5AD4">
        <w:t xml:space="preserve">are exogenous variables added </w:t>
      </w:r>
      <w:r w:rsidR="00E45334">
        <w:t>so that OTC grows at the economy’s potential growth rate</w:t>
      </w:r>
      <w:r w:rsidR="00783EE8">
        <w:t xml:space="preserve">. </w:t>
      </w:r>
      <w:r w:rsidR="00FD723E">
        <w:t xml:space="preserve">In the martin txt file c7=1 meaning they are </w:t>
      </w:r>
      <w:r w:rsidR="00804C75">
        <w:t xml:space="preserve">restricted </w:t>
      </w:r>
      <w:r w:rsidR="00FF2A09">
        <w:t>and do not affect the impulse responses.</w:t>
      </w:r>
      <w:r w:rsidR="003B4205">
        <w:t xml:space="preserve"> </w:t>
      </w:r>
      <w:r w:rsidR="00817E30">
        <w:t>The anticipated effect o</w:t>
      </w:r>
      <w:r w:rsidR="007347E0">
        <w:t>f</w:t>
      </w:r>
      <w:r w:rsidR="00817E30">
        <w:t xml:space="preserve"> the shock </w:t>
      </w:r>
      <w:r w:rsidR="009F6A13">
        <w:t xml:space="preserve">on OTC is a 4% rise </w:t>
      </w:r>
      <w:r w:rsidR="004B4320">
        <w:t>it is</w:t>
      </w:r>
      <w:r w:rsidR="00B51009">
        <w:t xml:space="preserve"> residual in 2010 Q1</w:t>
      </w:r>
      <w:r w:rsidR="00C041AB">
        <w:t xml:space="preserve">. I anticipate after the shock OTC will </w:t>
      </w:r>
      <w:r w:rsidR="00B55267">
        <w:t>gradually return to its baseline</w:t>
      </w:r>
      <w:r w:rsidR="00A34D8B">
        <w:t xml:space="preserve">. OTC is a </w:t>
      </w:r>
      <w:r w:rsidR="00287F00">
        <w:t>small part of the GDP identity</w:t>
      </w:r>
      <w:r w:rsidR="00A26143">
        <w:t xml:space="preserve">, so GDP would increase slightly, </w:t>
      </w:r>
      <w:r w:rsidR="005F72CC">
        <w:t>which would lead to slightly less unemp</w:t>
      </w:r>
      <w:r w:rsidR="007861F4">
        <w:t xml:space="preserve">loyment. Inflation </w:t>
      </w:r>
      <w:r w:rsidR="007E2C14">
        <w:t xml:space="preserve">will increase which would lead the central bank to </w:t>
      </w:r>
      <w:r w:rsidR="000C315F">
        <w:t>raise the cash rate slight, leading to higher mortgage rates</w:t>
      </w:r>
      <w:r w:rsidR="001A1EF5">
        <w:t>, this would lead to slightly depressed house prices</w:t>
      </w:r>
      <w:r w:rsidR="00101F27">
        <w:t xml:space="preserve">. OTC being only a tiny fraction of the GDP identity </w:t>
      </w:r>
      <w:r w:rsidR="00EA6192">
        <w:t>suggest small effect and clean impulse response that return to baseline.</w:t>
      </w:r>
    </w:p>
    <w:p w14:paraId="73EF1E9B" w14:textId="451032CF" w:rsidR="00540352" w:rsidRPr="009D66A8" w:rsidRDefault="0094196E" w:rsidP="00CF06AC">
      <w:pPr>
        <w:jc w:val="both"/>
        <w:rPr>
          <w:color w:val="EE0000"/>
        </w:rPr>
      </w:pPr>
      <w:r w:rsidRPr="009D66A8">
        <w:rPr>
          <w:color w:val="EE0000"/>
        </w:rPr>
        <w:br w:type="page"/>
      </w:r>
      <w:r w:rsidR="00540352" w:rsidRPr="009D66A8">
        <w:rPr>
          <w:color w:val="EE0000"/>
        </w:rPr>
        <w:lastRenderedPageBreak/>
        <w:t>Estimate the whole MARTIN model — every equation, as you did for one equation in Assignment 2 — twice: on the original data with the RBA’s sample ending in 2018 Q2, and on the updated data re-estimated to 2026 Q1. With the estimation residuals added back, the model reproduces history; the impulse response is the difference between that baseline and the simulated path after the shock, over 2010 Q1 to 2018 Q2. </w:t>
      </w:r>
      <w:r w:rsidR="00540352" w:rsidRPr="009D66A8">
        <w:rPr>
          <w:b/>
          <w:bCs/>
          <w:color w:val="EE0000"/>
        </w:rPr>
        <w:t>Compute and plot</w:t>
      </w:r>
      <w:r w:rsidR="00540352" w:rsidRPr="009D66A8">
        <w:rPr>
          <w:color w:val="EE0000"/>
        </w:rPr>
        <w:t>, for both versions of the model, the impulse responses of: (i) the dependent variable of your equation, (ii) the unemployment rate (LUR), (iii) underlying (trimmed mean) inflation, i.e. the % change in PTM, and (iv) the nominal cash rate (NCR). Use the shock size given in the spreadsheet. [2 marks]</w:t>
      </w:r>
    </w:p>
    <w:p w14:paraId="40DAD755" w14:textId="24750F9E" w:rsidR="00540352" w:rsidRPr="00800A8D" w:rsidRDefault="00A808A9" w:rsidP="00CF06AC">
      <w:pPr>
        <w:jc w:val="both"/>
      </w:pPr>
      <w:r>
        <w:t>I estimated</w:t>
      </w:r>
      <w:r w:rsidR="006031EA">
        <w:t xml:space="preserve"> the whole </w:t>
      </w:r>
      <w:r w:rsidR="00B9047F">
        <w:t>MARTIN model</w:t>
      </w:r>
      <w:r w:rsidR="006031EA">
        <w:t xml:space="preserve"> </w:t>
      </w:r>
      <w:r w:rsidR="009F78B1">
        <w:t>twice</w:t>
      </w:r>
      <w:r w:rsidR="00B9047F">
        <w:t>, o</w:t>
      </w:r>
      <w:r w:rsidR="009F78B1">
        <w:t xml:space="preserve">nce up until 2018 Q2 and a second estimation </w:t>
      </w:r>
      <w:r w:rsidR="00CE2D9C">
        <w:t>ending in 2026 Q1</w:t>
      </w:r>
      <w:r w:rsidR="001960B9">
        <w:t xml:space="preserve">, the estimation residuals </w:t>
      </w:r>
      <w:r w:rsidR="002E4B5F">
        <w:t>were added back to reproduce</w:t>
      </w:r>
      <w:r w:rsidR="0026486F">
        <w:t xml:space="preserve"> the historical data</w:t>
      </w:r>
      <w:r w:rsidR="002E4B5F">
        <w:t xml:space="preserve">. </w:t>
      </w:r>
      <w:r w:rsidR="0092295E">
        <w:t xml:space="preserve">Conducting </w:t>
      </w:r>
      <w:r w:rsidR="004A7011">
        <w:t>an</w:t>
      </w:r>
      <w:r w:rsidR="0092295E">
        <w:t xml:space="preserve"> impulse response over 2010</w:t>
      </w:r>
      <w:r w:rsidR="009F0D12">
        <w:t xml:space="preserve"> </w:t>
      </w:r>
      <w:r w:rsidR="0092295E">
        <w:t>Q1 to 2018</w:t>
      </w:r>
      <w:r w:rsidR="009F0D12">
        <w:t xml:space="preserve"> </w:t>
      </w:r>
      <w:r w:rsidR="0092295E">
        <w:t>Q2</w:t>
      </w:r>
      <w:r w:rsidR="005F77DC">
        <w:t xml:space="preserve"> </w:t>
      </w:r>
      <w:r w:rsidR="00C811F5">
        <w:t xml:space="preserve">to illustrate the difference between the baseline and </w:t>
      </w:r>
      <w:r w:rsidR="005D6359">
        <w:t>the simulated path of the shock</w:t>
      </w:r>
      <w:r w:rsidR="004A7011">
        <w:t>. Bellow is the figure of the four plots wit</w:t>
      </w:r>
      <w:r>
        <w:t xml:space="preserve">h both </w:t>
      </w:r>
      <w:r w:rsidR="006F7BC0">
        <w:t>vintages of historical data</w:t>
      </w:r>
      <w:r>
        <w:t>.</w:t>
      </w:r>
      <w:r w:rsidR="00BC30B8">
        <w:t xml:space="preserve"> I was given OTC with a shock size of 0.04 (4% </w:t>
      </w:r>
      <w:r w:rsidR="00684DDA">
        <w:t>rise in OTC)</w:t>
      </w:r>
      <w:r w:rsidR="009F0D12">
        <w:t>. The shock only entered once in 2010 Q1</w:t>
      </w:r>
      <w:r w:rsidR="00056F2C">
        <w:t xml:space="preserve">. The difference between the two vintages </w:t>
      </w:r>
      <w:r w:rsidR="00EB20EC">
        <w:t xml:space="preserve">impulse responses </w:t>
      </w:r>
      <w:r w:rsidR="00F42022">
        <w:t xml:space="preserve">will be due to different </w:t>
      </w:r>
      <w:r w:rsidR="008C6CB8">
        <w:t>re-estimated coefficient estimates</w:t>
      </w:r>
      <w:r w:rsidR="00B11FE1">
        <w:t>.</w:t>
      </w:r>
      <w:r w:rsidR="008C6CB8">
        <w:t xml:space="preserve"> </w:t>
      </w:r>
    </w:p>
    <w:p w14:paraId="6EE62721" w14:textId="55F09144" w:rsidR="00540352" w:rsidRPr="00800A8D" w:rsidRDefault="00D3717A" w:rsidP="00CF06AC">
      <w:pPr>
        <w:jc w:val="both"/>
      </w:pPr>
      <w:r>
        <w:rPr>
          <w:noProof/>
        </w:rPr>
        <w:drawing>
          <wp:anchor distT="0" distB="0" distL="114300" distR="114300" simplePos="0" relativeHeight="251662336" behindDoc="0" locked="0" layoutInCell="1" allowOverlap="1" wp14:anchorId="560EF392" wp14:editId="14CE0E34">
            <wp:simplePos x="0" y="0"/>
            <wp:positionH relativeFrom="margin">
              <wp:align>right</wp:align>
            </wp:positionH>
            <wp:positionV relativeFrom="paragraph">
              <wp:posOffset>340588</wp:posOffset>
            </wp:positionV>
            <wp:extent cx="5727065" cy="3861435"/>
            <wp:effectExtent l="0" t="0" r="6985" b="5715"/>
            <wp:wrapTopAndBottom/>
            <wp:docPr id="1835917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17694" name="Picture 1835917694"/>
                    <pic:cNvPicPr/>
                  </pic:nvPicPr>
                  <pic:blipFill>
                    <a:blip r:embed="rId8">
                      <a:extLst>
                        <a:ext uri="{28A0092B-C50C-407E-A947-70E740481C1C}">
                          <a14:useLocalDpi xmlns:a14="http://schemas.microsoft.com/office/drawing/2010/main" val="0"/>
                        </a:ext>
                      </a:extLst>
                    </a:blip>
                    <a:stretch>
                      <a:fillRect/>
                    </a:stretch>
                  </pic:blipFill>
                  <pic:spPr>
                    <a:xfrm>
                      <a:off x="0" y="0"/>
                      <a:ext cx="5727065" cy="3861435"/>
                    </a:xfrm>
                    <a:prstGeom prst="rect">
                      <a:avLst/>
                    </a:prstGeom>
                  </pic:spPr>
                </pic:pic>
              </a:graphicData>
            </a:graphic>
            <wp14:sizeRelH relativeFrom="margin">
              <wp14:pctWidth>0</wp14:pctWidth>
            </wp14:sizeRelH>
            <wp14:sizeRelV relativeFrom="margin">
              <wp14:pctHeight>0</wp14:pctHeight>
            </wp14:sizeRelV>
          </wp:anchor>
        </w:drawing>
      </w:r>
    </w:p>
    <w:p w14:paraId="69D8D2D3" w14:textId="11E4BE98" w:rsidR="0094196E" w:rsidRPr="00800A8D" w:rsidRDefault="0094196E" w:rsidP="00CF06AC">
      <w:pPr>
        <w:jc w:val="both"/>
      </w:pPr>
    </w:p>
    <w:p w14:paraId="20581389" w14:textId="3F319F59" w:rsidR="0094196E" w:rsidRPr="00800A8D" w:rsidRDefault="004B6430" w:rsidP="00CF06AC">
      <w:pPr>
        <w:jc w:val="both"/>
      </w:pPr>
      <w:r w:rsidRPr="00800A8D">
        <w:br w:type="page"/>
      </w:r>
    </w:p>
    <w:p w14:paraId="37760C6E" w14:textId="61D04CC0" w:rsidR="00540352" w:rsidRPr="003B4205" w:rsidRDefault="00540352" w:rsidP="00CF06AC">
      <w:pPr>
        <w:tabs>
          <w:tab w:val="num" w:pos="360"/>
        </w:tabs>
        <w:jc w:val="both"/>
        <w:rPr>
          <w:color w:val="EE0000"/>
        </w:rPr>
      </w:pPr>
      <w:r w:rsidRPr="003B4205">
        <w:rPr>
          <w:b/>
          <w:bCs/>
          <w:color w:val="EE0000"/>
        </w:rPr>
        <w:lastRenderedPageBreak/>
        <w:t>Interpret your results</w:t>
      </w:r>
      <w:r w:rsidRPr="003B4205">
        <w:rPr>
          <w:color w:val="EE0000"/>
        </w:rPr>
        <w:t> for variables (i) to (iv). Are they in line with your intuition? Are any of them counterintuitive — and if so, what limitations of the MARTIN model might explain that? Do the responses change between the original and the updated data, and why might they? [2 marks]</w:t>
      </w:r>
    </w:p>
    <w:p w14:paraId="59665BB9" w14:textId="78091627" w:rsidR="00540352" w:rsidRPr="00800A8D" w:rsidRDefault="003E0487" w:rsidP="00CF06AC">
      <w:pPr>
        <w:tabs>
          <w:tab w:val="num" w:pos="360"/>
        </w:tabs>
        <w:jc w:val="both"/>
      </w:pPr>
      <w:r>
        <w:t xml:space="preserve">OTC </w:t>
      </w:r>
      <w:r w:rsidR="00463D8B">
        <w:t>rises to</w:t>
      </w:r>
      <w:r w:rsidR="00E274B5">
        <w:t xml:space="preserve"> a peak of 4.08% from the shock</w:t>
      </w:r>
      <w:r w:rsidR="005B20DA">
        <w:t>,</w:t>
      </w:r>
      <w:r w:rsidR="00E274B5">
        <w:t xml:space="preserve"> </w:t>
      </w:r>
      <w:r w:rsidR="00AD7B5A">
        <w:t>it falls</w:t>
      </w:r>
      <w:r w:rsidR="0092401D">
        <w:t xml:space="preserve"> under </w:t>
      </w:r>
      <w:r w:rsidR="005B20DA">
        <w:t>1.00% after 8 quarters</w:t>
      </w:r>
      <w:r w:rsidR="00AD7B5A">
        <w:t xml:space="preserve"> and</w:t>
      </w:r>
      <w:r w:rsidR="005B20DA">
        <w:t xml:space="preserve"> </w:t>
      </w:r>
      <w:r w:rsidR="000272CC">
        <w:t xml:space="preserve">declines </w:t>
      </w:r>
      <w:r w:rsidR="006A6943">
        <w:t>slowly over the</w:t>
      </w:r>
      <w:r w:rsidR="00A211B6">
        <w:t xml:space="preserve"> remaining quarters measured,</w:t>
      </w:r>
      <w:r w:rsidR="008D62B2">
        <w:t xml:space="preserve"> with the updated estimation </w:t>
      </w:r>
      <w:r w:rsidR="00A66162">
        <w:t>coming back to baseline quicker than the original</w:t>
      </w:r>
      <w:r w:rsidR="00E21D7F">
        <w:t>.</w:t>
      </w:r>
      <w:r w:rsidR="00A66162">
        <w:t xml:space="preserve"> </w:t>
      </w:r>
      <w:r w:rsidR="00E23C95">
        <w:t>Gamma is estimated to be</w:t>
      </w:r>
      <w:r w:rsidR="001D3D01">
        <w:t xml:space="preserve"> about </w:t>
      </w:r>
      <w:r w:rsidR="00E23C95">
        <w:t xml:space="preserve">-0.17 which is the speed of adjustment back to baseline </w:t>
      </w:r>
      <w:r w:rsidR="004C0391">
        <w:t>each quarter</w:t>
      </w:r>
      <w:r w:rsidR="001E16C0">
        <w:t xml:space="preserve">. </w:t>
      </w:r>
      <w:r w:rsidR="006E12E4">
        <w:t xml:space="preserve">The model </w:t>
      </w:r>
      <w:r w:rsidR="008C0DD8">
        <w:t>estimates a return to baseline which is inline with intuition</w:t>
      </w:r>
      <w:r w:rsidR="00782FAA">
        <w:t xml:space="preserve">, additionally the original data is </w:t>
      </w:r>
      <w:r w:rsidR="009A5774">
        <w:t>slow to adjust compared with the more up to date</w:t>
      </w:r>
      <w:r w:rsidR="001D3D01">
        <w:t xml:space="preserve"> vintage</w:t>
      </w:r>
      <w:r w:rsidR="00820347">
        <w:t xml:space="preserve">, data which can </w:t>
      </w:r>
      <w:r w:rsidR="004A5D90">
        <w:t>affect</w:t>
      </w:r>
      <w:r w:rsidR="00820347">
        <w:t xml:space="preserve"> policy decisions.</w:t>
      </w:r>
      <w:r w:rsidR="00F610D4">
        <w:t xml:space="preserve"> </w:t>
      </w:r>
      <w:r w:rsidR="00083EB0">
        <w:t>The fall in the u</w:t>
      </w:r>
      <w:r w:rsidR="006B4EBA">
        <w:t>nemployment rate (</w:t>
      </w:r>
      <w:r w:rsidR="00A14F1B">
        <w:t>LUR</w:t>
      </w:r>
      <w:r w:rsidR="006B4EBA">
        <w:t>)</w:t>
      </w:r>
      <w:r w:rsidR="00A87E30">
        <w:t xml:space="preserve"> </w:t>
      </w:r>
      <w:r w:rsidR="00083EB0">
        <w:t xml:space="preserve">is intuitive as </w:t>
      </w:r>
      <w:r w:rsidR="00350260">
        <w:t xml:space="preserve">OTC is part of GDP and raising </w:t>
      </w:r>
      <w:r w:rsidR="00442D3A">
        <w:t>output lower</w:t>
      </w:r>
      <w:r w:rsidR="00A562C7">
        <w:t>s</w:t>
      </w:r>
      <w:r w:rsidR="00442D3A">
        <w:t xml:space="preserve"> the unemployment rate</w:t>
      </w:r>
      <w:r w:rsidR="006E0D42">
        <w:t xml:space="preserve"> which is Okun’s law</w:t>
      </w:r>
      <w:r w:rsidR="00D44C2C">
        <w:t xml:space="preserve"> suggests</w:t>
      </w:r>
      <w:r w:rsidR="008A0542">
        <w:t xml:space="preserve"> a</w:t>
      </w:r>
      <w:r w:rsidR="00D44C2C">
        <w:t xml:space="preserve"> </w:t>
      </w:r>
      <w:r w:rsidR="00FD5DC5">
        <w:t>one</w:t>
      </w:r>
      <w:r w:rsidR="00D44C2C">
        <w:t xml:space="preserve"> percent change </w:t>
      </w:r>
      <w:r w:rsidR="00FD5DC5">
        <w:t xml:space="preserve">in LUR </w:t>
      </w:r>
      <w:r w:rsidR="00BE214F">
        <w:t>is associated with a 2-3 percent</w:t>
      </w:r>
      <w:r w:rsidR="006A17EC">
        <w:t xml:space="preserve"> decrease in real GDP</w:t>
      </w:r>
      <w:r w:rsidR="006E0D42">
        <w:t>.</w:t>
      </w:r>
      <w:r w:rsidR="00F267CE">
        <w:t xml:space="preserve"> The original and updated </w:t>
      </w:r>
      <w:r w:rsidR="003F5290">
        <w:t>vintages</w:t>
      </w:r>
      <w:r w:rsidR="00F267CE">
        <w:t xml:space="preserve"> both reach a low point of </w:t>
      </w:r>
      <w:r w:rsidR="001E006D">
        <w:t xml:space="preserve">-0.0239 in percentage points below the baseline. </w:t>
      </w:r>
      <w:r w:rsidR="004A63DD">
        <w:t>After the third quarter the LUR begins to rise back to the baseline</w:t>
      </w:r>
      <w:r w:rsidR="00B70567">
        <w:t xml:space="preserve"> due to </w:t>
      </w:r>
      <w:r w:rsidR="009578E0">
        <w:t>the central bank (CB) following its rule and increasing the cash rate. This</w:t>
      </w:r>
      <w:r w:rsidR="0010114C">
        <w:t xml:space="preserve"> lifts both LUR curves above the baseline increasing unemployment </w:t>
      </w:r>
      <w:r w:rsidR="0009665A">
        <w:t xml:space="preserve">for about </w:t>
      </w:r>
      <w:r w:rsidR="004B4320">
        <w:t>five</w:t>
      </w:r>
      <w:r w:rsidR="0009665A">
        <w:t xml:space="preserve"> quarters</w:t>
      </w:r>
      <w:r w:rsidR="003D42E9">
        <w:t xml:space="preserve">, as GDP </w:t>
      </w:r>
      <w:r w:rsidR="004F7E71">
        <w:t xml:space="preserve">growth falls below trend and </w:t>
      </w:r>
      <w:r w:rsidR="002975F7">
        <w:t>leads to a rise in LUR</w:t>
      </w:r>
      <w:r w:rsidR="00D6124B">
        <w:t xml:space="preserve">, </w:t>
      </w:r>
      <w:r w:rsidR="00C56C89">
        <w:t>which is not intuitive. Following LUR</w:t>
      </w:r>
      <w:r w:rsidR="0009665A">
        <w:t xml:space="preserve"> return</w:t>
      </w:r>
      <w:r w:rsidR="00C56C89">
        <w:t>s</w:t>
      </w:r>
      <w:r w:rsidR="0031376B">
        <w:t xml:space="preserve"> </w:t>
      </w:r>
      <w:r w:rsidR="0009665A">
        <w:t>back to</w:t>
      </w:r>
      <w:r w:rsidR="0031376B">
        <w:t>ward</w:t>
      </w:r>
      <w:r w:rsidR="0009665A">
        <w:t xml:space="preserve"> the baseline for the </w:t>
      </w:r>
      <w:r w:rsidR="00AE5492">
        <w:t>ongoing quarters.</w:t>
      </w:r>
      <w:r w:rsidR="00F610D4">
        <w:t xml:space="preserve"> </w:t>
      </w:r>
      <w:r w:rsidR="00930A1C">
        <w:t>Inflation</w:t>
      </w:r>
      <w:r w:rsidR="005E3520">
        <w:t xml:space="preserve"> rises on impact of the shock</w:t>
      </w:r>
      <w:r w:rsidR="00226C9E">
        <w:t xml:space="preserve"> and peaked</w:t>
      </w:r>
      <w:r w:rsidR="006E6533">
        <w:t xml:space="preserve"> after 4 quarters at </w:t>
      </w:r>
      <w:r w:rsidR="009A2441">
        <w:t>0.0015 percentage points whereas the updated dat</w:t>
      </w:r>
      <w:r w:rsidR="005B6864">
        <w:t>a has inflation peak</w:t>
      </w:r>
      <w:r w:rsidR="00226C9E">
        <w:t>ed</w:t>
      </w:r>
      <w:r w:rsidR="005B6864">
        <w:t xml:space="preserve"> at 0.012 percentage points in </w:t>
      </w:r>
      <w:r w:rsidR="00716933">
        <w:t xml:space="preserve">the </w:t>
      </w:r>
      <w:r w:rsidR="004B4320">
        <w:t>fourth</w:t>
      </w:r>
      <w:r w:rsidR="00716933">
        <w:t xml:space="preserve"> quarter</w:t>
      </w:r>
      <w:r w:rsidR="00A866A1">
        <w:t xml:space="preserve">. </w:t>
      </w:r>
      <w:r w:rsidR="006E7813">
        <w:t xml:space="preserve">The </w:t>
      </w:r>
      <w:r w:rsidR="00DB13B4">
        <w:t>brief fall in inflation</w:t>
      </w:r>
      <w:r w:rsidR="007A5773">
        <w:t xml:space="preserve"> in quarter </w:t>
      </w:r>
      <w:r w:rsidR="00C83A6B">
        <w:t>one</w:t>
      </w:r>
      <w:r w:rsidR="007A5773">
        <w:t xml:space="preserve"> is </w:t>
      </w:r>
      <w:r w:rsidR="008D22E5">
        <w:t>counterintuitive</w:t>
      </w:r>
      <w:r w:rsidR="00063E33">
        <w:t xml:space="preserve">, as higher output </w:t>
      </w:r>
      <w:r w:rsidR="00B1421B">
        <w:t>typically leads to prices increasing</w:t>
      </w:r>
      <w:r w:rsidR="008D22E5">
        <w:t>.</w:t>
      </w:r>
      <w:r w:rsidR="00B1421B">
        <w:t xml:space="preserve"> </w:t>
      </w:r>
      <w:r w:rsidR="000935D4">
        <w:t xml:space="preserve">Another counterintuitive </w:t>
      </w:r>
      <w:r w:rsidR="00891325">
        <w:t xml:space="preserve">point is that inflation dipped below the baseline </w:t>
      </w:r>
      <w:r w:rsidR="00C96987">
        <w:t xml:space="preserve">at the same time as unemployment </w:t>
      </w:r>
      <w:r w:rsidR="00095C3E">
        <w:t xml:space="preserve">rose above its baseline. </w:t>
      </w:r>
      <w:r w:rsidR="000D4564">
        <w:t>C</w:t>
      </w:r>
      <w:r w:rsidR="00FF5AC0">
        <w:t xml:space="preserve">omparing the </w:t>
      </w:r>
      <w:r w:rsidR="00E571FF">
        <w:t>two</w:t>
      </w:r>
      <w:r w:rsidR="00FF5AC0">
        <w:t xml:space="preserve"> data</w:t>
      </w:r>
      <w:r w:rsidR="00595FAA">
        <w:t xml:space="preserve"> vintages as the updated data inflation percentage points is </w:t>
      </w:r>
      <w:r w:rsidR="00A047FE">
        <w:t xml:space="preserve">brought back to baseline around three quarters earlier. </w:t>
      </w:r>
      <w:r w:rsidR="0011294C">
        <w:t xml:space="preserve">Both </w:t>
      </w:r>
      <w:r w:rsidR="005440C2">
        <w:t>vintages</w:t>
      </w:r>
      <w:r w:rsidR="0011294C">
        <w:t xml:space="preserve"> then show a rise above the baseline </w:t>
      </w:r>
      <w:r w:rsidR="0094195A">
        <w:t xml:space="preserve">then they slowly return toward the </w:t>
      </w:r>
      <w:r w:rsidR="005E7DCA">
        <w:t>baseline</w:t>
      </w:r>
      <w:r w:rsidR="0094195A">
        <w:t xml:space="preserve"> but </w:t>
      </w:r>
      <w:r w:rsidR="005E7DCA">
        <w:t>remain above after 2018 Q2.</w:t>
      </w:r>
      <w:r w:rsidR="00716933">
        <w:t xml:space="preserve"> </w:t>
      </w:r>
      <w:r w:rsidR="005440C2">
        <w:t>The n</w:t>
      </w:r>
      <w:r w:rsidR="00A14F1B">
        <w:t>ominal cash rate (NCR)</w:t>
      </w:r>
      <w:r w:rsidR="006B4EBA">
        <w:t xml:space="preserve"> </w:t>
      </w:r>
      <w:r w:rsidR="00686BB8">
        <w:t xml:space="preserve">is raise immediately </w:t>
      </w:r>
      <w:r w:rsidR="000225F8">
        <w:t>peaking at 0.</w:t>
      </w:r>
      <w:r w:rsidR="00875EE7">
        <w:t>0</w:t>
      </w:r>
      <w:r w:rsidR="000225F8">
        <w:t>617</w:t>
      </w:r>
      <w:r w:rsidR="00072A91">
        <w:t xml:space="preserve"> percentage point</w:t>
      </w:r>
      <w:r w:rsidR="008F67C1">
        <w:t xml:space="preserve">s in the third quarter. </w:t>
      </w:r>
      <w:r w:rsidR="006E3F8A">
        <w:t xml:space="preserve">As OTC is only a small part of GDP the NCR is brought back to </w:t>
      </w:r>
      <w:r w:rsidR="00902A33">
        <w:t>baseline</w:t>
      </w:r>
      <w:r w:rsidR="006E3F8A">
        <w:t xml:space="preserve"> in the </w:t>
      </w:r>
      <w:r w:rsidR="002F12D2">
        <w:t xml:space="preserve">sixth </w:t>
      </w:r>
      <w:r w:rsidR="000C5BD2">
        <w:t>quarter,</w:t>
      </w:r>
      <w:r w:rsidR="002F12D2">
        <w:t xml:space="preserve"> but the NCR </w:t>
      </w:r>
      <w:r w:rsidR="00EE24B8">
        <w:t xml:space="preserve">undershoots and </w:t>
      </w:r>
      <w:r w:rsidR="00902A33">
        <w:t xml:space="preserve">by roughly 0.01 </w:t>
      </w:r>
      <w:r w:rsidR="00D558AE">
        <w:t>and then</w:t>
      </w:r>
      <w:r w:rsidR="00902A33">
        <w:t xml:space="preserve"> raise</w:t>
      </w:r>
      <w:r w:rsidR="005D1185">
        <w:t>s</w:t>
      </w:r>
      <w:r w:rsidR="00902A33">
        <w:t xml:space="preserve"> </w:t>
      </w:r>
      <w:r w:rsidR="005D1185">
        <w:t xml:space="preserve">back </w:t>
      </w:r>
      <w:r w:rsidR="00902A33">
        <w:t>at the baseline</w:t>
      </w:r>
      <w:r w:rsidR="003C3074">
        <w:t>.</w:t>
      </w:r>
      <w:r w:rsidR="009E4CF5">
        <w:t xml:space="preserve"> The NCR plot is intuitive </w:t>
      </w:r>
      <w:r w:rsidR="00E571FF">
        <w:t xml:space="preserve">and as the </w:t>
      </w:r>
      <w:r w:rsidR="00F41BCD">
        <w:t xml:space="preserve">LUR increase and Inflation hits below the </w:t>
      </w:r>
      <w:r w:rsidR="00923607">
        <w:t xml:space="preserve">baseline the NCR is </w:t>
      </w:r>
      <w:r w:rsidR="009468CA">
        <w:t xml:space="preserve">reduced </w:t>
      </w:r>
      <w:r w:rsidR="00F610D4">
        <w:t>to,</w:t>
      </w:r>
      <w:r w:rsidR="009468CA">
        <w:t xml:space="preserve"> and all three variables slowly return toward their baselines.</w:t>
      </w:r>
      <w:r w:rsidR="00F610D4">
        <w:t xml:space="preserve"> </w:t>
      </w:r>
      <w:r w:rsidR="00F75E6B">
        <w:t>L</w:t>
      </w:r>
      <w:r w:rsidR="003B1895">
        <w:t>imitations include that inflation expectation</w:t>
      </w:r>
      <w:r w:rsidR="00F264B2">
        <w:t>s</w:t>
      </w:r>
      <w:r w:rsidR="003B1895">
        <w:t xml:space="preserve"> are </w:t>
      </w:r>
      <w:r w:rsidR="000438AA">
        <w:t xml:space="preserve">exogenous </w:t>
      </w:r>
      <w:r w:rsidR="00F264B2">
        <w:t xml:space="preserve">the RBA must wait for prices to respond to the labour market. </w:t>
      </w:r>
      <w:r w:rsidR="00D64D99">
        <w:t xml:space="preserve">OTC </w:t>
      </w:r>
      <w:r w:rsidR="00DC2FAF">
        <w:t>is part of the GDP identity, when it is a transfer cost</w:t>
      </w:r>
      <w:r w:rsidR="00F75E6B">
        <w:t xml:space="preserve"> </w:t>
      </w:r>
      <w:r w:rsidR="001147CA">
        <w:t xml:space="preserve">and adjusts depending on the housing market and the Lucas </w:t>
      </w:r>
      <w:r w:rsidR="00FA0367">
        <w:t>critique</w:t>
      </w:r>
      <w:r w:rsidR="001147CA">
        <w:t xml:space="preserve"> that </w:t>
      </w:r>
      <w:r w:rsidR="00FA0367">
        <w:t>relationships found in historical data are problematic</w:t>
      </w:r>
      <w:r w:rsidR="006C2DF6">
        <w:t>.</w:t>
      </w:r>
    </w:p>
    <w:p w14:paraId="0CFAB7BE" w14:textId="77777777" w:rsidR="0028540B" w:rsidRDefault="0028540B" w:rsidP="00CF06AC">
      <w:pPr>
        <w:jc w:val="both"/>
      </w:pPr>
    </w:p>
    <w:p w14:paraId="7CE66601" w14:textId="77777777" w:rsidR="00F610D4" w:rsidRPr="00800A8D" w:rsidRDefault="00F610D4" w:rsidP="00CF06AC">
      <w:pPr>
        <w:jc w:val="both"/>
      </w:pPr>
    </w:p>
    <w:p w14:paraId="5437B125" w14:textId="77777777" w:rsidR="000D2A90" w:rsidRPr="00800A8D" w:rsidRDefault="000D2A90" w:rsidP="00CF06AC">
      <w:pPr>
        <w:jc w:val="both"/>
      </w:pPr>
    </w:p>
    <w:p w14:paraId="46C7B5FF" w14:textId="77777777" w:rsidR="00540352" w:rsidRPr="003B4205" w:rsidRDefault="00540352" w:rsidP="00CF06AC">
      <w:pPr>
        <w:tabs>
          <w:tab w:val="num" w:pos="360"/>
        </w:tabs>
        <w:jc w:val="both"/>
        <w:rPr>
          <w:color w:val="EE0000"/>
        </w:rPr>
      </w:pPr>
      <w:r w:rsidRPr="003B4205">
        <w:rPr>
          <w:color w:val="EE0000"/>
        </w:rPr>
        <w:lastRenderedPageBreak/>
        <w:t>Next, think about how your shock might influence other endogenous variables. </w:t>
      </w:r>
      <w:r w:rsidRPr="003B4205">
        <w:rPr>
          <w:b/>
          <w:bCs/>
          <w:color w:val="EE0000"/>
        </w:rPr>
        <w:t>Choose two additional variables </w:t>
      </w:r>
      <w:r w:rsidRPr="003B4205">
        <w:rPr>
          <w:color w:val="EE0000"/>
        </w:rPr>
        <w:t>that are likely to be affected, plot their impulse responses and analyse the results. Are they in line with your intuition? [2 marks]</w:t>
      </w:r>
    </w:p>
    <w:p w14:paraId="5FCB25FE" w14:textId="08915368" w:rsidR="000E2CD9" w:rsidRPr="00800A8D" w:rsidRDefault="00D82327" w:rsidP="00CF06AC">
      <w:pPr>
        <w:jc w:val="both"/>
      </w:pPr>
      <w:r>
        <w:t>I chose d</w:t>
      </w:r>
      <w:r w:rsidR="00E41CD4">
        <w:t>welling investment (ID)</w:t>
      </w:r>
      <w:r w:rsidR="00A302D3">
        <w:t xml:space="preserve"> </w:t>
      </w:r>
      <w:r>
        <w:t>and h</w:t>
      </w:r>
      <w:r w:rsidR="00E41CD4">
        <w:t>ousing prices (PH)</w:t>
      </w:r>
      <w:r>
        <w:t xml:space="preserve"> which are both </w:t>
      </w:r>
      <w:r w:rsidR="00A324D5">
        <w:t>endogenous variables</w:t>
      </w:r>
      <w:r w:rsidR="00C80373">
        <w:t xml:space="preserve"> and part of the </w:t>
      </w:r>
      <w:r w:rsidR="005E697C">
        <w:t>housing sector</w:t>
      </w:r>
      <w:r w:rsidR="00A324D5">
        <w:t xml:space="preserve">. Below I have plotted their impulse response for both the original and </w:t>
      </w:r>
      <w:r w:rsidR="000E2CD9">
        <w:t xml:space="preserve">updated data. Analysing ID </w:t>
      </w:r>
      <w:r w:rsidR="0093491C">
        <w:t xml:space="preserve">there is </w:t>
      </w:r>
      <w:r w:rsidR="0067072D">
        <w:t>a</w:t>
      </w:r>
      <w:r w:rsidR="0093491C">
        <w:t xml:space="preserve"> sharp drop</w:t>
      </w:r>
      <w:r w:rsidR="00E6017C">
        <w:t xml:space="preserve"> of around 0.25%</w:t>
      </w:r>
      <w:r w:rsidR="008C1E83">
        <w:t xml:space="preserve">, this is </w:t>
      </w:r>
      <w:r w:rsidR="008855C8">
        <w:t>un</w:t>
      </w:r>
      <w:r w:rsidR="008C1E83">
        <w:t>expected as if OTC increase</w:t>
      </w:r>
      <w:r w:rsidR="00893B9F">
        <w:t>s than that means that more spending on stamp duty, commissions, and other legal fees</w:t>
      </w:r>
      <w:r w:rsidR="004B0743">
        <w:t xml:space="preserve">. This occurs in a </w:t>
      </w:r>
      <w:r w:rsidR="003725BE">
        <w:t xml:space="preserve">bullish housing market as OTC is relative to </w:t>
      </w:r>
      <w:r w:rsidR="00BC081A">
        <w:t xml:space="preserve">the </w:t>
      </w:r>
      <w:r w:rsidR="003725BE">
        <w:t>price</w:t>
      </w:r>
      <w:r w:rsidR="00BC081A">
        <w:t>.</w:t>
      </w:r>
      <w:r w:rsidR="00C20633">
        <w:t xml:space="preserve"> </w:t>
      </w:r>
      <w:r w:rsidR="0092761A">
        <w:t xml:space="preserve">OTC does not show up in the ID or PH </w:t>
      </w:r>
      <w:r w:rsidR="00834AC5">
        <w:t>equation</w:t>
      </w:r>
      <w:r w:rsidR="00117DC5">
        <w:t>s</w:t>
      </w:r>
      <w:r w:rsidR="00834AC5">
        <w:t xml:space="preserve">, </w:t>
      </w:r>
      <w:r w:rsidR="00753CB7">
        <w:t xml:space="preserve">therefore there in no direct link apart from higher GDP, </w:t>
      </w:r>
      <w:r w:rsidR="0043328A">
        <w:t>inf</w:t>
      </w:r>
      <w:r w:rsidR="00F46A63">
        <w:t xml:space="preserve">lation, lower unemployment, CB raises cash rate, </w:t>
      </w:r>
      <w:r w:rsidR="009A07DA">
        <w:t xml:space="preserve">bumping up mortgage rates which will lower demand </w:t>
      </w:r>
      <w:r w:rsidR="001A7076">
        <w:t xml:space="preserve">for investing in housing. </w:t>
      </w:r>
      <w:r w:rsidR="0067072D">
        <w:t xml:space="preserve">After </w:t>
      </w:r>
      <w:r w:rsidR="008B6858">
        <w:t>six quarter</w:t>
      </w:r>
      <w:r w:rsidR="00F7269B">
        <w:t>s</w:t>
      </w:r>
      <w:r w:rsidR="008B6858">
        <w:t xml:space="preserve"> ID rebounds</w:t>
      </w:r>
      <w:r w:rsidR="00F7269B">
        <w:t xml:space="preserve"> and is</w:t>
      </w:r>
      <w:r w:rsidR="008B6858">
        <w:t xml:space="preserve"> back up to the baseline </w:t>
      </w:r>
      <w:r w:rsidR="00F7269B">
        <w:t xml:space="preserve">after 14 quarters post shock. </w:t>
      </w:r>
      <w:r w:rsidR="0036460E">
        <w:t xml:space="preserve">The original data over predicts the </w:t>
      </w:r>
      <w:r w:rsidR="00C318E1">
        <w:t>bottom by just under 10%</w:t>
      </w:r>
      <w:r w:rsidR="00F30BD8">
        <w:t xml:space="preserve"> which is quite large and is corrected by the updated data, </w:t>
      </w:r>
      <w:r w:rsidR="00BA3750">
        <w:t xml:space="preserve">the original data also </w:t>
      </w:r>
      <w:r w:rsidR="00250223">
        <w:t>overestimates</w:t>
      </w:r>
      <w:r w:rsidR="00BA3750">
        <w:t xml:space="preserve"> the rebound </w:t>
      </w:r>
      <w:r w:rsidR="00250223">
        <w:t>which exceeds the baseline.</w:t>
      </w:r>
      <w:r w:rsidR="005E697C">
        <w:t xml:space="preserve"> </w:t>
      </w:r>
      <w:r w:rsidR="000E2CD9">
        <w:t>Analysing PH</w:t>
      </w:r>
      <w:r w:rsidR="00AC074A">
        <w:t xml:space="preserve"> there is a steep drop in prices </w:t>
      </w:r>
      <w:r w:rsidR="00A83CFD">
        <w:t>(-0.</w:t>
      </w:r>
      <w:r w:rsidR="002A4C81">
        <w:t xml:space="preserve">25%) </w:t>
      </w:r>
      <w:r w:rsidR="001856B7">
        <w:t xml:space="preserve">followed by a more gradual rebound back toward the </w:t>
      </w:r>
      <w:r w:rsidR="00714426">
        <w:t>baseline but</w:t>
      </w:r>
      <w:r w:rsidR="001856B7">
        <w:t xml:space="preserve"> never reaching the </w:t>
      </w:r>
      <w:r w:rsidR="00836328">
        <w:t>bas</w:t>
      </w:r>
      <w:r w:rsidR="00405C2D">
        <w:t>e</w:t>
      </w:r>
      <w:r w:rsidR="00836328">
        <w:t>line by 2018 Q2</w:t>
      </w:r>
      <w:r w:rsidR="00AA08C9">
        <w:t xml:space="preserve"> </w:t>
      </w:r>
      <w:r w:rsidR="00E64897">
        <w:t>due there being a very slow error correction</w:t>
      </w:r>
      <w:r w:rsidR="003B6113">
        <w:t xml:space="preserve"> and </w:t>
      </w:r>
      <w:r w:rsidR="00D5005A">
        <w:t xml:space="preserve">strong momentum that take a longer run to </w:t>
      </w:r>
      <w:r w:rsidR="0018706E">
        <w:t>gain momentum after price decrease for consecutive quarter</w:t>
      </w:r>
      <w:r w:rsidR="00836328">
        <w:t>.</w:t>
      </w:r>
      <w:r w:rsidR="0026695A">
        <w:t xml:space="preserve"> </w:t>
      </w:r>
      <w:r w:rsidR="00714426">
        <w:t>Again, the original data overestimates the drop from the shock and the rebound</w:t>
      </w:r>
      <w:r w:rsidR="0018523C">
        <w:t>.</w:t>
      </w:r>
      <w:r w:rsidR="007A23CE">
        <w:t xml:space="preserve"> The updated vintage shows smaller impulses and </w:t>
      </w:r>
      <w:r w:rsidR="00BB50C4">
        <w:t>rebound</w:t>
      </w:r>
      <w:r w:rsidR="000913C1">
        <w:t xml:space="preserve"> begin much earlier in the time after the </w:t>
      </w:r>
      <w:r w:rsidR="00173DC5">
        <w:t>shock,</w:t>
      </w:r>
      <w:r w:rsidR="000913C1">
        <w:t xml:space="preserve"> but </w:t>
      </w:r>
      <w:r w:rsidR="000C4324">
        <w:t>the rebounds are more gradual to get back toward the baseline.</w:t>
      </w:r>
    </w:p>
    <w:p w14:paraId="53C71464" w14:textId="27CB737E" w:rsidR="00540352" w:rsidRPr="00800A8D" w:rsidRDefault="000C4324" w:rsidP="00CF06AC">
      <w:pPr>
        <w:jc w:val="both"/>
      </w:pPr>
      <w:r w:rsidRPr="00800A8D">
        <w:rPr>
          <w:noProof/>
        </w:rPr>
        <w:drawing>
          <wp:anchor distT="0" distB="0" distL="114300" distR="114300" simplePos="0" relativeHeight="251658240" behindDoc="0" locked="0" layoutInCell="1" allowOverlap="1" wp14:anchorId="778B9A0E" wp14:editId="1E4B8DF8">
            <wp:simplePos x="0" y="0"/>
            <wp:positionH relativeFrom="margin">
              <wp:align>center</wp:align>
            </wp:positionH>
            <wp:positionV relativeFrom="paragraph">
              <wp:posOffset>369354</wp:posOffset>
            </wp:positionV>
            <wp:extent cx="5123815" cy="3455670"/>
            <wp:effectExtent l="0" t="0" r="635" b="0"/>
            <wp:wrapTopAndBottom/>
            <wp:docPr id="152919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92856" name="Picture 1529192856"/>
                    <pic:cNvPicPr/>
                  </pic:nvPicPr>
                  <pic:blipFill>
                    <a:blip r:embed="rId9">
                      <a:extLst>
                        <a:ext uri="{28A0092B-C50C-407E-A947-70E740481C1C}">
                          <a14:useLocalDpi xmlns:a14="http://schemas.microsoft.com/office/drawing/2010/main" val="0"/>
                        </a:ext>
                      </a:extLst>
                    </a:blip>
                    <a:stretch>
                      <a:fillRect/>
                    </a:stretch>
                  </pic:blipFill>
                  <pic:spPr>
                    <a:xfrm>
                      <a:off x="0" y="0"/>
                      <a:ext cx="5123815" cy="3455670"/>
                    </a:xfrm>
                    <a:prstGeom prst="rect">
                      <a:avLst/>
                    </a:prstGeom>
                  </pic:spPr>
                </pic:pic>
              </a:graphicData>
            </a:graphic>
            <wp14:sizeRelH relativeFrom="margin">
              <wp14:pctWidth>0</wp14:pctWidth>
            </wp14:sizeRelH>
            <wp14:sizeRelV relativeFrom="margin">
              <wp14:pctHeight>0</wp14:pctHeight>
            </wp14:sizeRelV>
          </wp:anchor>
        </w:drawing>
      </w:r>
    </w:p>
    <w:p w14:paraId="769DCFE6" w14:textId="338144EA" w:rsidR="00540352" w:rsidRPr="000C4324" w:rsidRDefault="009D676B" w:rsidP="00CF06AC">
      <w:pPr>
        <w:jc w:val="both"/>
      </w:pPr>
      <w:r w:rsidRPr="00800A8D">
        <w:br w:type="page"/>
      </w:r>
      <w:r w:rsidR="00540352" w:rsidRPr="003B4205">
        <w:rPr>
          <w:color w:val="EE0000"/>
        </w:rPr>
        <w:lastRenderedPageBreak/>
        <w:t>Finally, imagine you are a central banker aiming to stabilise underlying inflation and the unemployment rate. </w:t>
      </w:r>
      <w:r w:rsidR="00540352" w:rsidRPr="003B4205">
        <w:rPr>
          <w:b/>
          <w:bCs/>
          <w:color w:val="EE0000"/>
        </w:rPr>
        <w:t>Discuss how a central bank should respond</w:t>
      </w:r>
      <w:r w:rsidR="00540352" w:rsidRPr="003B4205">
        <w:rPr>
          <w:color w:val="EE0000"/>
        </w:rPr>
        <w:t> to your type of shock. (Optional, not required for full marks: the sample code also reruns your shock with the cash rate held fixed. Comparing the two shows what MARTIN's own policy rule does, which you can use as evidence for your answer.) [2 marks]</w:t>
      </w:r>
    </w:p>
    <w:p w14:paraId="457A9F40" w14:textId="47850F00" w:rsidR="0013699F" w:rsidRDefault="00C44206" w:rsidP="00CF06AC">
      <w:pPr>
        <w:jc w:val="both"/>
      </w:pPr>
      <w:r>
        <w:t>For a positive demand OTC shock of 4 percent</w:t>
      </w:r>
      <w:r w:rsidR="00D82E6B">
        <w:t>,</w:t>
      </w:r>
      <w:r>
        <w:t xml:space="preserve"> t</w:t>
      </w:r>
      <w:r w:rsidR="00E41E08">
        <w:t>he central bank</w:t>
      </w:r>
      <w:r w:rsidR="00B05880">
        <w:t xml:space="preserve"> shou</w:t>
      </w:r>
      <w:r w:rsidR="0086218A">
        <w:t>ld</w:t>
      </w:r>
      <w:r w:rsidR="00B05880">
        <w:t xml:space="preserve"> </w:t>
      </w:r>
      <w:r w:rsidR="0086218A">
        <w:t>react by raising the cash rate</w:t>
      </w:r>
      <w:r w:rsidR="00E87308">
        <w:t xml:space="preserve"> and then gradually lowering</w:t>
      </w:r>
      <w:r>
        <w:t xml:space="preserve"> as the shock dissipates</w:t>
      </w:r>
      <w:r w:rsidR="00D82E6B">
        <w:t xml:space="preserve">. </w:t>
      </w:r>
      <w:r w:rsidR="00E22B6F">
        <w:t>B</w:t>
      </w:r>
      <w:r w:rsidR="00545A60">
        <w:t xml:space="preserve">ecause it raises </w:t>
      </w:r>
      <w:r w:rsidR="00166D94">
        <w:t xml:space="preserve">GDP, lowers </w:t>
      </w:r>
      <w:r w:rsidR="00AF4831">
        <w:t>unemployment,</w:t>
      </w:r>
      <w:r w:rsidR="002858A0">
        <w:t xml:space="preserve"> and raises inflation</w:t>
      </w:r>
      <w:r w:rsidR="003A2D90">
        <w:t>.</w:t>
      </w:r>
      <w:r w:rsidR="00A3494D">
        <w:t xml:space="preserve"> A </w:t>
      </w:r>
      <w:r w:rsidR="00314FCF">
        <w:t xml:space="preserve">temporary </w:t>
      </w:r>
      <w:r w:rsidR="00A3494D">
        <w:t xml:space="preserve">positive </w:t>
      </w:r>
      <w:r w:rsidR="009708D9">
        <w:t xml:space="preserve">demand shock </w:t>
      </w:r>
      <w:r w:rsidR="00314FCF">
        <w:t xml:space="preserve">shifts the IS curve out to IS’ </w:t>
      </w:r>
      <w:r w:rsidR="006559D4">
        <w:t>(staying at IS’ for one period)</w:t>
      </w:r>
      <w:r w:rsidR="009A4B8D">
        <w:t>, the economy is producing more than medium-run equilibrium in period 0</w:t>
      </w:r>
      <w:r w:rsidR="006559D4">
        <w:t xml:space="preserve">. </w:t>
      </w:r>
      <w:r w:rsidR="00AD7665">
        <w:t xml:space="preserve">The central bank forecasts the PC </w:t>
      </w:r>
      <w:r w:rsidR="0095086D">
        <w:t>for period one (</w:t>
      </w:r>
      <w:r w:rsidR="00E95785">
        <w:t xml:space="preserve">over </w:t>
      </w:r>
      <w:r w:rsidR="0037605E">
        <w:t>four</w:t>
      </w:r>
      <w:r w:rsidR="00E95785">
        <w:t xml:space="preserve"> quarters)</w:t>
      </w:r>
      <w:r w:rsidR="00367611">
        <w:t xml:space="preserve"> shift up </w:t>
      </w:r>
      <w:r w:rsidR="00882405">
        <w:t xml:space="preserve">and to the left of the </w:t>
      </w:r>
      <w:r w:rsidR="007F4388">
        <w:t>initial PC before the shock</w:t>
      </w:r>
      <w:r w:rsidR="00AE2706">
        <w:t xml:space="preserve">. The central bank sets a higher </w:t>
      </w:r>
      <w:r w:rsidR="00556536">
        <w:t xml:space="preserve">interest rate to bring output </w:t>
      </w:r>
      <w:r w:rsidR="00367611">
        <w:t>bellow</w:t>
      </w:r>
      <w:r w:rsidR="00482A5C">
        <w:t xml:space="preserve"> equilibrium output</w:t>
      </w:r>
      <w:r w:rsidR="00556536">
        <w:t xml:space="preserve"> to Y</w:t>
      </w:r>
      <w:r w:rsidR="006605CF">
        <w:rPr>
          <w:b/>
          <w:bCs/>
          <w:vertAlign w:val="subscript"/>
        </w:rPr>
        <w:t>1</w:t>
      </w:r>
      <w:r w:rsidR="001D498D" w:rsidRPr="001D498D">
        <w:t>,</w:t>
      </w:r>
      <w:r w:rsidR="001D498D">
        <w:t xml:space="preserve"> now </w:t>
      </w:r>
      <w:r w:rsidR="00A05307">
        <w:t xml:space="preserve"> The IS curve shifts </w:t>
      </w:r>
      <w:r w:rsidR="001D498D">
        <w:t xml:space="preserve">back </w:t>
      </w:r>
      <w:r w:rsidR="0037605E">
        <w:t xml:space="preserve">gradually to </w:t>
      </w:r>
      <w:r w:rsidR="001D498D">
        <w:t>the original IS curve</w:t>
      </w:r>
      <w:r w:rsidR="00A57EE2">
        <w:t xml:space="preserve"> the economy is at the higher inflation </w:t>
      </w:r>
      <w:r w:rsidR="002E3BF8">
        <w:t xml:space="preserve">lower output where the PC and MR curves are </w:t>
      </w:r>
      <w:r w:rsidR="00F57732">
        <w:t xml:space="preserve">now at equilibrium. The central bank </w:t>
      </w:r>
      <w:r w:rsidR="009337D1">
        <w:t>forecast</w:t>
      </w:r>
      <w:r w:rsidR="006B023C">
        <w:t>s the</w:t>
      </w:r>
      <w:r w:rsidR="009337D1">
        <w:t xml:space="preserve"> PC for period 2</w:t>
      </w:r>
      <w:r w:rsidR="003E2509">
        <w:t xml:space="preserve">, which shifts down as inflation </w:t>
      </w:r>
      <w:r w:rsidR="003948BB">
        <w:t>expectation fall</w:t>
      </w:r>
      <w:r w:rsidR="003E2509">
        <w:t xml:space="preserve"> and output increase and </w:t>
      </w:r>
      <w:r w:rsidR="005077DA">
        <w:t xml:space="preserve">we see a shift down along the MR curve to the new PC and MR </w:t>
      </w:r>
      <w:r w:rsidR="00355D64">
        <w:t xml:space="preserve">at the CB’s best </w:t>
      </w:r>
      <w:r w:rsidR="0026662F">
        <w:t xml:space="preserve">response </w:t>
      </w:r>
      <w:r w:rsidR="005077DA">
        <w:t xml:space="preserve">in </w:t>
      </w:r>
      <w:r w:rsidR="002232B2">
        <w:t xml:space="preserve">period 2. Period 2 onwards we see that </w:t>
      </w:r>
      <w:r w:rsidR="00FE048A">
        <w:t xml:space="preserve">output, </w:t>
      </w:r>
      <w:r w:rsidR="0050471D">
        <w:t>inflation,</w:t>
      </w:r>
      <w:r w:rsidR="00FE048A">
        <w:t xml:space="preserve"> and rates all </w:t>
      </w:r>
      <w:r w:rsidR="00963E62">
        <w:t>gradual</w:t>
      </w:r>
      <w:r w:rsidR="006B023C">
        <w:t>ly</w:t>
      </w:r>
      <w:r w:rsidR="00963E62">
        <w:t xml:space="preserve"> move back toward the medium-run equilibrium.</w:t>
      </w:r>
    </w:p>
    <w:p w14:paraId="108638A5" w14:textId="68B985E1" w:rsidR="009D676B" w:rsidRPr="00800A8D" w:rsidRDefault="00996959" w:rsidP="00CF06AC">
      <w:pPr>
        <w:jc w:val="both"/>
      </w:pPr>
      <w:r>
        <w:rPr>
          <w:noProof/>
        </w:rPr>
        <w:drawing>
          <wp:anchor distT="0" distB="0" distL="114300" distR="114300" simplePos="0" relativeHeight="251664384" behindDoc="0" locked="0" layoutInCell="1" allowOverlap="1" wp14:anchorId="40B83BE1" wp14:editId="597B3122">
            <wp:simplePos x="0" y="0"/>
            <wp:positionH relativeFrom="margin">
              <wp:align>center</wp:align>
            </wp:positionH>
            <wp:positionV relativeFrom="paragraph">
              <wp:posOffset>1140149</wp:posOffset>
            </wp:positionV>
            <wp:extent cx="5384800" cy="3631565"/>
            <wp:effectExtent l="0" t="0" r="6350" b="6985"/>
            <wp:wrapTopAndBottom/>
            <wp:docPr id="633375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75957" name="Picture 633375957"/>
                    <pic:cNvPicPr/>
                  </pic:nvPicPr>
                  <pic:blipFill>
                    <a:blip r:embed="rId10">
                      <a:extLst>
                        <a:ext uri="{28A0092B-C50C-407E-A947-70E740481C1C}">
                          <a14:useLocalDpi xmlns:a14="http://schemas.microsoft.com/office/drawing/2010/main" val="0"/>
                        </a:ext>
                      </a:extLst>
                    </a:blip>
                    <a:stretch>
                      <a:fillRect/>
                    </a:stretch>
                  </pic:blipFill>
                  <pic:spPr>
                    <a:xfrm>
                      <a:off x="0" y="0"/>
                      <a:ext cx="5384800" cy="3631565"/>
                    </a:xfrm>
                    <a:prstGeom prst="rect">
                      <a:avLst/>
                    </a:prstGeom>
                  </pic:spPr>
                </pic:pic>
              </a:graphicData>
            </a:graphic>
            <wp14:sizeRelH relativeFrom="margin">
              <wp14:pctWidth>0</wp14:pctWidth>
            </wp14:sizeRelH>
            <wp14:sizeRelV relativeFrom="margin">
              <wp14:pctHeight>0</wp14:pctHeight>
            </wp14:sizeRelV>
          </wp:anchor>
        </w:drawing>
      </w:r>
      <w:r w:rsidR="00801A45">
        <w:t xml:space="preserve">The figure below shows </w:t>
      </w:r>
      <w:r w:rsidR="00ED5031">
        <w:t xml:space="preserve">what happens when the cash rate is held fixed </w:t>
      </w:r>
      <w:r w:rsidR="004879F8">
        <w:t>which demonstrate</w:t>
      </w:r>
      <w:r w:rsidR="00030FA2">
        <w:t>s</w:t>
      </w:r>
      <w:r w:rsidR="004879F8">
        <w:t xml:space="preserve"> why the </w:t>
      </w:r>
      <w:r w:rsidR="007C238A">
        <w:t xml:space="preserve">Taylor </w:t>
      </w:r>
      <w:r w:rsidR="00D2423A">
        <w:t>principle</w:t>
      </w:r>
      <w:r w:rsidR="001D25C7">
        <w:t xml:space="preserve"> </w:t>
      </w:r>
      <w:r w:rsidR="004879F8">
        <w:t>is important and tha</w:t>
      </w:r>
      <w:r w:rsidR="00714484">
        <w:t>t the nominal rate must move more than one for one with inflation to move the real interest rate</w:t>
      </w:r>
      <w:r w:rsidR="00B817F1">
        <w:t>.</w:t>
      </w:r>
      <w:r w:rsidR="00516FB1">
        <w:t xml:space="preserve"> The Cash held fixed show what happens when there is no MR curve</w:t>
      </w:r>
      <w:r w:rsidR="0088075B">
        <w:t xml:space="preserve">, the </w:t>
      </w:r>
      <w:r w:rsidR="00CA17A9">
        <w:t xml:space="preserve">inflation and LUR will continue to spiral upward as there is no mechanism to </w:t>
      </w:r>
      <w:r w:rsidR="001A04FF">
        <w:t>break the cycle, as shown by the orange line.</w:t>
      </w:r>
    </w:p>
    <w:sectPr w:rsidR="009D676B" w:rsidRPr="00800A8D">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E41EA" w14:textId="77777777" w:rsidR="00A44409" w:rsidRDefault="00A44409" w:rsidP="007013CE">
      <w:pPr>
        <w:spacing w:after="0" w:line="240" w:lineRule="auto"/>
      </w:pPr>
      <w:r>
        <w:separator/>
      </w:r>
    </w:p>
  </w:endnote>
  <w:endnote w:type="continuationSeparator" w:id="0">
    <w:p w14:paraId="1EBC773C" w14:textId="77777777" w:rsidR="00A44409" w:rsidRDefault="00A44409" w:rsidP="00701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6DC8" w14:textId="77777777" w:rsidR="007013CE" w:rsidRDefault="007013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AF80" w14:textId="77777777" w:rsidR="007013CE" w:rsidRDefault="007013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48ED8" w14:textId="77777777" w:rsidR="007013CE" w:rsidRDefault="007013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AEE2E" w14:textId="77777777" w:rsidR="00A44409" w:rsidRDefault="00A44409" w:rsidP="007013CE">
      <w:pPr>
        <w:spacing w:after="0" w:line="240" w:lineRule="auto"/>
      </w:pPr>
      <w:r>
        <w:separator/>
      </w:r>
    </w:p>
  </w:footnote>
  <w:footnote w:type="continuationSeparator" w:id="0">
    <w:p w14:paraId="76B41C53" w14:textId="77777777" w:rsidR="00A44409" w:rsidRDefault="00A44409" w:rsidP="007013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C34CF" w14:textId="77777777" w:rsidR="007013CE" w:rsidRDefault="007013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9D7F" w14:textId="02B13CBC" w:rsidR="007013CE" w:rsidRDefault="00AB5ED6">
    <w:pPr>
      <w:pStyle w:val="Header"/>
    </w:pPr>
    <w:r>
      <w:t>Jacob Bell</w:t>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1BAE" w14:textId="77777777" w:rsidR="007013CE" w:rsidRDefault="007013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60AB1"/>
    <w:multiLevelType w:val="multilevel"/>
    <w:tmpl w:val="B57A90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610FB5"/>
    <w:multiLevelType w:val="multilevel"/>
    <w:tmpl w:val="ABEE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7713846">
    <w:abstractNumId w:val="1"/>
  </w:num>
  <w:num w:numId="2" w16cid:durableId="989291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28E"/>
    <w:rsid w:val="000147E7"/>
    <w:rsid w:val="000225F8"/>
    <w:rsid w:val="000272CC"/>
    <w:rsid w:val="000301BC"/>
    <w:rsid w:val="00030FA2"/>
    <w:rsid w:val="00034DA2"/>
    <w:rsid w:val="000438AA"/>
    <w:rsid w:val="0005581C"/>
    <w:rsid w:val="00056F2C"/>
    <w:rsid w:val="00063E33"/>
    <w:rsid w:val="00072A91"/>
    <w:rsid w:val="00083EB0"/>
    <w:rsid w:val="000913C1"/>
    <w:rsid w:val="000935D4"/>
    <w:rsid w:val="00095C3E"/>
    <w:rsid w:val="0009665A"/>
    <w:rsid w:val="000A0090"/>
    <w:rsid w:val="000A21B0"/>
    <w:rsid w:val="000C1824"/>
    <w:rsid w:val="000C315F"/>
    <w:rsid w:val="000C4324"/>
    <w:rsid w:val="000C5BD2"/>
    <w:rsid w:val="000D2195"/>
    <w:rsid w:val="000D2A90"/>
    <w:rsid w:val="000D4564"/>
    <w:rsid w:val="000E2103"/>
    <w:rsid w:val="000E2CD9"/>
    <w:rsid w:val="000E566B"/>
    <w:rsid w:val="000F5A8E"/>
    <w:rsid w:val="0010114C"/>
    <w:rsid w:val="00101F27"/>
    <w:rsid w:val="001106B8"/>
    <w:rsid w:val="0011294C"/>
    <w:rsid w:val="001147CA"/>
    <w:rsid w:val="00115711"/>
    <w:rsid w:val="00117DC5"/>
    <w:rsid w:val="0013699F"/>
    <w:rsid w:val="00141F7A"/>
    <w:rsid w:val="00150D99"/>
    <w:rsid w:val="00166D94"/>
    <w:rsid w:val="001700FD"/>
    <w:rsid w:val="00172D8E"/>
    <w:rsid w:val="00173DC5"/>
    <w:rsid w:val="001821DA"/>
    <w:rsid w:val="0018523C"/>
    <w:rsid w:val="001856B7"/>
    <w:rsid w:val="0018706E"/>
    <w:rsid w:val="00187923"/>
    <w:rsid w:val="001960B9"/>
    <w:rsid w:val="001A04FF"/>
    <w:rsid w:val="001A1EF5"/>
    <w:rsid w:val="001A7076"/>
    <w:rsid w:val="001C47D8"/>
    <w:rsid w:val="001D25C7"/>
    <w:rsid w:val="001D3D01"/>
    <w:rsid w:val="001D498D"/>
    <w:rsid w:val="001E006D"/>
    <w:rsid w:val="001E10FD"/>
    <w:rsid w:val="001E16C0"/>
    <w:rsid w:val="002232B2"/>
    <w:rsid w:val="00226C9E"/>
    <w:rsid w:val="00240182"/>
    <w:rsid w:val="00250223"/>
    <w:rsid w:val="0026486F"/>
    <w:rsid w:val="0026662F"/>
    <w:rsid w:val="0026695A"/>
    <w:rsid w:val="00272423"/>
    <w:rsid w:val="002830DD"/>
    <w:rsid w:val="002853CF"/>
    <w:rsid w:val="0028540B"/>
    <w:rsid w:val="002858A0"/>
    <w:rsid w:val="00287F00"/>
    <w:rsid w:val="00296400"/>
    <w:rsid w:val="002975F7"/>
    <w:rsid w:val="002A4C81"/>
    <w:rsid w:val="002C0C11"/>
    <w:rsid w:val="002C48FC"/>
    <w:rsid w:val="002D2F2A"/>
    <w:rsid w:val="002D6FCC"/>
    <w:rsid w:val="002E31C4"/>
    <w:rsid w:val="002E3BF8"/>
    <w:rsid w:val="002E4B5F"/>
    <w:rsid w:val="002F12D2"/>
    <w:rsid w:val="00305DCA"/>
    <w:rsid w:val="00310972"/>
    <w:rsid w:val="0031376B"/>
    <w:rsid w:val="00314FCF"/>
    <w:rsid w:val="00331A29"/>
    <w:rsid w:val="0033295E"/>
    <w:rsid w:val="00350260"/>
    <w:rsid w:val="00355D64"/>
    <w:rsid w:val="0036460E"/>
    <w:rsid w:val="00367611"/>
    <w:rsid w:val="00367706"/>
    <w:rsid w:val="0037244D"/>
    <w:rsid w:val="003725BE"/>
    <w:rsid w:val="00374D0C"/>
    <w:rsid w:val="0037605E"/>
    <w:rsid w:val="003913E5"/>
    <w:rsid w:val="003948BB"/>
    <w:rsid w:val="00394BE2"/>
    <w:rsid w:val="003960D9"/>
    <w:rsid w:val="003A04CD"/>
    <w:rsid w:val="003A2D90"/>
    <w:rsid w:val="003A2E8B"/>
    <w:rsid w:val="003B1895"/>
    <w:rsid w:val="003B4205"/>
    <w:rsid w:val="003B5957"/>
    <w:rsid w:val="003B6113"/>
    <w:rsid w:val="003C3074"/>
    <w:rsid w:val="003D1080"/>
    <w:rsid w:val="003D2C2C"/>
    <w:rsid w:val="003D42E9"/>
    <w:rsid w:val="003E0487"/>
    <w:rsid w:val="003E2509"/>
    <w:rsid w:val="003E3E67"/>
    <w:rsid w:val="003E3EC2"/>
    <w:rsid w:val="003E64A3"/>
    <w:rsid w:val="003F5290"/>
    <w:rsid w:val="00405C2D"/>
    <w:rsid w:val="00411840"/>
    <w:rsid w:val="0043328A"/>
    <w:rsid w:val="00442643"/>
    <w:rsid w:val="00442D3A"/>
    <w:rsid w:val="004461EF"/>
    <w:rsid w:val="00451E55"/>
    <w:rsid w:val="00463D8B"/>
    <w:rsid w:val="004823FD"/>
    <w:rsid w:val="00482A5C"/>
    <w:rsid w:val="004879F8"/>
    <w:rsid w:val="00493443"/>
    <w:rsid w:val="004A5D90"/>
    <w:rsid w:val="004A63DD"/>
    <w:rsid w:val="004A7011"/>
    <w:rsid w:val="004B0743"/>
    <w:rsid w:val="004B4320"/>
    <w:rsid w:val="004B6430"/>
    <w:rsid w:val="004C0024"/>
    <w:rsid w:val="004C0391"/>
    <w:rsid w:val="004F6EF9"/>
    <w:rsid w:val="004F74F8"/>
    <w:rsid w:val="004F7E71"/>
    <w:rsid w:val="0050471D"/>
    <w:rsid w:val="005077DA"/>
    <w:rsid w:val="005130A3"/>
    <w:rsid w:val="00516FB1"/>
    <w:rsid w:val="00540352"/>
    <w:rsid w:val="005440C2"/>
    <w:rsid w:val="00545A60"/>
    <w:rsid w:val="00545B03"/>
    <w:rsid w:val="00554019"/>
    <w:rsid w:val="00556536"/>
    <w:rsid w:val="005576B9"/>
    <w:rsid w:val="0057155B"/>
    <w:rsid w:val="00575B3B"/>
    <w:rsid w:val="0057651B"/>
    <w:rsid w:val="00584416"/>
    <w:rsid w:val="00595FAA"/>
    <w:rsid w:val="005A341D"/>
    <w:rsid w:val="005B20DA"/>
    <w:rsid w:val="005B6864"/>
    <w:rsid w:val="005D1185"/>
    <w:rsid w:val="005D2869"/>
    <w:rsid w:val="005D6359"/>
    <w:rsid w:val="005E3520"/>
    <w:rsid w:val="005E697C"/>
    <w:rsid w:val="005E7DCA"/>
    <w:rsid w:val="005F6195"/>
    <w:rsid w:val="005F72CC"/>
    <w:rsid w:val="005F77DC"/>
    <w:rsid w:val="006031EA"/>
    <w:rsid w:val="006148B0"/>
    <w:rsid w:val="0061539F"/>
    <w:rsid w:val="00617D06"/>
    <w:rsid w:val="006328FD"/>
    <w:rsid w:val="006330CE"/>
    <w:rsid w:val="00641D40"/>
    <w:rsid w:val="0064284F"/>
    <w:rsid w:val="00651BE2"/>
    <w:rsid w:val="006559D4"/>
    <w:rsid w:val="00656F17"/>
    <w:rsid w:val="006605CF"/>
    <w:rsid w:val="00666752"/>
    <w:rsid w:val="0067072D"/>
    <w:rsid w:val="00670DEC"/>
    <w:rsid w:val="00684DDA"/>
    <w:rsid w:val="00686BB8"/>
    <w:rsid w:val="0069071C"/>
    <w:rsid w:val="006A17EC"/>
    <w:rsid w:val="006A6943"/>
    <w:rsid w:val="006B023C"/>
    <w:rsid w:val="006B4EBA"/>
    <w:rsid w:val="006C2DF6"/>
    <w:rsid w:val="006D4927"/>
    <w:rsid w:val="006E0D42"/>
    <w:rsid w:val="006E12E4"/>
    <w:rsid w:val="006E3F8A"/>
    <w:rsid w:val="006E4AAC"/>
    <w:rsid w:val="006E6533"/>
    <w:rsid w:val="006E7813"/>
    <w:rsid w:val="006F7BC0"/>
    <w:rsid w:val="007013CE"/>
    <w:rsid w:val="00703A2B"/>
    <w:rsid w:val="00714426"/>
    <w:rsid w:val="00714484"/>
    <w:rsid w:val="0071501B"/>
    <w:rsid w:val="00716933"/>
    <w:rsid w:val="00720CF9"/>
    <w:rsid w:val="0072228E"/>
    <w:rsid w:val="007347E0"/>
    <w:rsid w:val="00737577"/>
    <w:rsid w:val="00753CB7"/>
    <w:rsid w:val="00763EE6"/>
    <w:rsid w:val="00764F6F"/>
    <w:rsid w:val="00767A25"/>
    <w:rsid w:val="0077408D"/>
    <w:rsid w:val="007800AC"/>
    <w:rsid w:val="00780BBF"/>
    <w:rsid w:val="00782FAA"/>
    <w:rsid w:val="00783EE8"/>
    <w:rsid w:val="007861F4"/>
    <w:rsid w:val="007963FC"/>
    <w:rsid w:val="007A1C6A"/>
    <w:rsid w:val="007A23CE"/>
    <w:rsid w:val="007A51DB"/>
    <w:rsid w:val="007A5773"/>
    <w:rsid w:val="007C238A"/>
    <w:rsid w:val="007E1B51"/>
    <w:rsid w:val="007E2C14"/>
    <w:rsid w:val="007F4388"/>
    <w:rsid w:val="00800A8D"/>
    <w:rsid w:val="00801A45"/>
    <w:rsid w:val="00804C75"/>
    <w:rsid w:val="00816F97"/>
    <w:rsid w:val="00817E30"/>
    <w:rsid w:val="00820347"/>
    <w:rsid w:val="00827C8E"/>
    <w:rsid w:val="00834AC5"/>
    <w:rsid w:val="00836328"/>
    <w:rsid w:val="00844201"/>
    <w:rsid w:val="00850BA2"/>
    <w:rsid w:val="00861399"/>
    <w:rsid w:val="0086218A"/>
    <w:rsid w:val="008648A8"/>
    <w:rsid w:val="008661C2"/>
    <w:rsid w:val="00875EE7"/>
    <w:rsid w:val="0088075B"/>
    <w:rsid w:val="00882405"/>
    <w:rsid w:val="008855C8"/>
    <w:rsid w:val="00891325"/>
    <w:rsid w:val="00893B9F"/>
    <w:rsid w:val="008A0542"/>
    <w:rsid w:val="008B3526"/>
    <w:rsid w:val="008B6858"/>
    <w:rsid w:val="008C0DD8"/>
    <w:rsid w:val="008C1E83"/>
    <w:rsid w:val="008C6CB8"/>
    <w:rsid w:val="008D22E5"/>
    <w:rsid w:val="008D62B2"/>
    <w:rsid w:val="008F67C1"/>
    <w:rsid w:val="00902A33"/>
    <w:rsid w:val="009060C6"/>
    <w:rsid w:val="0091764A"/>
    <w:rsid w:val="0092295E"/>
    <w:rsid w:val="00923607"/>
    <w:rsid w:val="009238F3"/>
    <w:rsid w:val="0092401D"/>
    <w:rsid w:val="0092761A"/>
    <w:rsid w:val="00930A1C"/>
    <w:rsid w:val="009337D1"/>
    <w:rsid w:val="0093491C"/>
    <w:rsid w:val="0094195A"/>
    <w:rsid w:val="0094196E"/>
    <w:rsid w:val="009468CA"/>
    <w:rsid w:val="0095086D"/>
    <w:rsid w:val="00956277"/>
    <w:rsid w:val="009578E0"/>
    <w:rsid w:val="00963869"/>
    <w:rsid w:val="00963E62"/>
    <w:rsid w:val="009708D9"/>
    <w:rsid w:val="00983582"/>
    <w:rsid w:val="00996959"/>
    <w:rsid w:val="009A07DA"/>
    <w:rsid w:val="009A2441"/>
    <w:rsid w:val="009A2C01"/>
    <w:rsid w:val="009A3CB4"/>
    <w:rsid w:val="009A4B8D"/>
    <w:rsid w:val="009A5774"/>
    <w:rsid w:val="009C1BD3"/>
    <w:rsid w:val="009C5D46"/>
    <w:rsid w:val="009D6128"/>
    <w:rsid w:val="009D66A8"/>
    <w:rsid w:val="009D676B"/>
    <w:rsid w:val="009E4CF5"/>
    <w:rsid w:val="009F0D12"/>
    <w:rsid w:val="009F1B49"/>
    <w:rsid w:val="009F61A4"/>
    <w:rsid w:val="009F6A13"/>
    <w:rsid w:val="009F78B1"/>
    <w:rsid w:val="00A047FE"/>
    <w:rsid w:val="00A05307"/>
    <w:rsid w:val="00A10CE0"/>
    <w:rsid w:val="00A14F1B"/>
    <w:rsid w:val="00A1508C"/>
    <w:rsid w:val="00A1749F"/>
    <w:rsid w:val="00A211B6"/>
    <w:rsid w:val="00A26143"/>
    <w:rsid w:val="00A302D3"/>
    <w:rsid w:val="00A31824"/>
    <w:rsid w:val="00A324D5"/>
    <w:rsid w:val="00A328B1"/>
    <w:rsid w:val="00A3494D"/>
    <w:rsid w:val="00A34D8B"/>
    <w:rsid w:val="00A40470"/>
    <w:rsid w:val="00A44409"/>
    <w:rsid w:val="00A47442"/>
    <w:rsid w:val="00A52267"/>
    <w:rsid w:val="00A562C7"/>
    <w:rsid w:val="00A57EE2"/>
    <w:rsid w:val="00A66162"/>
    <w:rsid w:val="00A674D4"/>
    <w:rsid w:val="00A768FF"/>
    <w:rsid w:val="00A808A9"/>
    <w:rsid w:val="00A83CFD"/>
    <w:rsid w:val="00A84A62"/>
    <w:rsid w:val="00A866A1"/>
    <w:rsid w:val="00A87E30"/>
    <w:rsid w:val="00A91B41"/>
    <w:rsid w:val="00AA08C9"/>
    <w:rsid w:val="00AA3467"/>
    <w:rsid w:val="00AB4BDD"/>
    <w:rsid w:val="00AB5ED6"/>
    <w:rsid w:val="00AC074A"/>
    <w:rsid w:val="00AC15A5"/>
    <w:rsid w:val="00AC6EDA"/>
    <w:rsid w:val="00AD33CA"/>
    <w:rsid w:val="00AD7665"/>
    <w:rsid w:val="00AD7B5A"/>
    <w:rsid w:val="00AE2706"/>
    <w:rsid w:val="00AE5492"/>
    <w:rsid w:val="00AF4831"/>
    <w:rsid w:val="00B05427"/>
    <w:rsid w:val="00B05880"/>
    <w:rsid w:val="00B11FE1"/>
    <w:rsid w:val="00B1421B"/>
    <w:rsid w:val="00B30346"/>
    <w:rsid w:val="00B348F5"/>
    <w:rsid w:val="00B468AD"/>
    <w:rsid w:val="00B51009"/>
    <w:rsid w:val="00B55267"/>
    <w:rsid w:val="00B70567"/>
    <w:rsid w:val="00B817F1"/>
    <w:rsid w:val="00B9047F"/>
    <w:rsid w:val="00BA1139"/>
    <w:rsid w:val="00BA3750"/>
    <w:rsid w:val="00BB50C4"/>
    <w:rsid w:val="00BC081A"/>
    <w:rsid w:val="00BC30B8"/>
    <w:rsid w:val="00BE214F"/>
    <w:rsid w:val="00C041AB"/>
    <w:rsid w:val="00C07B54"/>
    <w:rsid w:val="00C20633"/>
    <w:rsid w:val="00C25441"/>
    <w:rsid w:val="00C318E1"/>
    <w:rsid w:val="00C43380"/>
    <w:rsid w:val="00C44206"/>
    <w:rsid w:val="00C56C89"/>
    <w:rsid w:val="00C6694F"/>
    <w:rsid w:val="00C80373"/>
    <w:rsid w:val="00C811F5"/>
    <w:rsid w:val="00C83A6B"/>
    <w:rsid w:val="00C91A6C"/>
    <w:rsid w:val="00C945E4"/>
    <w:rsid w:val="00C95613"/>
    <w:rsid w:val="00C962AA"/>
    <w:rsid w:val="00C96987"/>
    <w:rsid w:val="00CA17A9"/>
    <w:rsid w:val="00CA3E3C"/>
    <w:rsid w:val="00CB1FA6"/>
    <w:rsid w:val="00CC6FAF"/>
    <w:rsid w:val="00CE0D46"/>
    <w:rsid w:val="00CE1361"/>
    <w:rsid w:val="00CE2D9C"/>
    <w:rsid w:val="00CF06AC"/>
    <w:rsid w:val="00CF7771"/>
    <w:rsid w:val="00D2423A"/>
    <w:rsid w:val="00D257FC"/>
    <w:rsid w:val="00D260D9"/>
    <w:rsid w:val="00D3717A"/>
    <w:rsid w:val="00D44C2C"/>
    <w:rsid w:val="00D5005A"/>
    <w:rsid w:val="00D52B62"/>
    <w:rsid w:val="00D558AE"/>
    <w:rsid w:val="00D571C2"/>
    <w:rsid w:val="00D6124B"/>
    <w:rsid w:val="00D64D99"/>
    <w:rsid w:val="00D77F9A"/>
    <w:rsid w:val="00D82327"/>
    <w:rsid w:val="00D82E6B"/>
    <w:rsid w:val="00D900C8"/>
    <w:rsid w:val="00D90E9E"/>
    <w:rsid w:val="00D917AB"/>
    <w:rsid w:val="00D9500B"/>
    <w:rsid w:val="00DA53E3"/>
    <w:rsid w:val="00DA5AD4"/>
    <w:rsid w:val="00DB13B4"/>
    <w:rsid w:val="00DC2FAF"/>
    <w:rsid w:val="00DE4387"/>
    <w:rsid w:val="00E00239"/>
    <w:rsid w:val="00E0029A"/>
    <w:rsid w:val="00E21D7F"/>
    <w:rsid w:val="00E22B6F"/>
    <w:rsid w:val="00E23C95"/>
    <w:rsid w:val="00E26CE3"/>
    <w:rsid w:val="00E274B5"/>
    <w:rsid w:val="00E35A13"/>
    <w:rsid w:val="00E41CD4"/>
    <w:rsid w:val="00E41E08"/>
    <w:rsid w:val="00E45334"/>
    <w:rsid w:val="00E5468C"/>
    <w:rsid w:val="00E571FF"/>
    <w:rsid w:val="00E6017C"/>
    <w:rsid w:val="00E62234"/>
    <w:rsid w:val="00E64897"/>
    <w:rsid w:val="00E81595"/>
    <w:rsid w:val="00E85B4B"/>
    <w:rsid w:val="00E87308"/>
    <w:rsid w:val="00E95785"/>
    <w:rsid w:val="00EA41FC"/>
    <w:rsid w:val="00EA6192"/>
    <w:rsid w:val="00EB20EC"/>
    <w:rsid w:val="00EB2A24"/>
    <w:rsid w:val="00ED5031"/>
    <w:rsid w:val="00ED6B46"/>
    <w:rsid w:val="00ED7131"/>
    <w:rsid w:val="00EE24B8"/>
    <w:rsid w:val="00EF49DA"/>
    <w:rsid w:val="00F0764E"/>
    <w:rsid w:val="00F20DA5"/>
    <w:rsid w:val="00F264B2"/>
    <w:rsid w:val="00F267CE"/>
    <w:rsid w:val="00F30BD8"/>
    <w:rsid w:val="00F32BEB"/>
    <w:rsid w:val="00F41BCD"/>
    <w:rsid w:val="00F42022"/>
    <w:rsid w:val="00F46A63"/>
    <w:rsid w:val="00F4723E"/>
    <w:rsid w:val="00F476A8"/>
    <w:rsid w:val="00F57732"/>
    <w:rsid w:val="00F610D4"/>
    <w:rsid w:val="00F7269B"/>
    <w:rsid w:val="00F75E6B"/>
    <w:rsid w:val="00F844C7"/>
    <w:rsid w:val="00F867A6"/>
    <w:rsid w:val="00FA0367"/>
    <w:rsid w:val="00FD5DC5"/>
    <w:rsid w:val="00FD723E"/>
    <w:rsid w:val="00FE048A"/>
    <w:rsid w:val="00FE1DD3"/>
    <w:rsid w:val="00FE2CFC"/>
    <w:rsid w:val="00FE4E30"/>
    <w:rsid w:val="00FE58CB"/>
    <w:rsid w:val="00FF2A09"/>
    <w:rsid w:val="00FF5AC0"/>
    <w:rsid w:val="00FF6A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E950F"/>
  <w15:chartTrackingRefBased/>
  <w15:docId w15:val="{8E327590-16E2-426A-8E06-9FAE6AEF7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2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2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2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28E"/>
    <w:rPr>
      <w:rFonts w:eastAsiaTheme="majorEastAsia" w:cstheme="majorBidi"/>
      <w:color w:val="272727" w:themeColor="text1" w:themeTint="D8"/>
    </w:rPr>
  </w:style>
  <w:style w:type="paragraph" w:styleId="Title">
    <w:name w:val="Title"/>
    <w:basedOn w:val="Normal"/>
    <w:next w:val="Normal"/>
    <w:link w:val="TitleChar"/>
    <w:uiPriority w:val="10"/>
    <w:qFormat/>
    <w:rsid w:val="00722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28E"/>
    <w:pPr>
      <w:spacing w:before="160"/>
      <w:jc w:val="center"/>
    </w:pPr>
    <w:rPr>
      <w:i/>
      <w:iCs/>
      <w:color w:val="404040" w:themeColor="text1" w:themeTint="BF"/>
    </w:rPr>
  </w:style>
  <w:style w:type="character" w:customStyle="1" w:styleId="QuoteChar">
    <w:name w:val="Quote Char"/>
    <w:basedOn w:val="DefaultParagraphFont"/>
    <w:link w:val="Quote"/>
    <w:uiPriority w:val="29"/>
    <w:rsid w:val="0072228E"/>
    <w:rPr>
      <w:i/>
      <w:iCs/>
      <w:color w:val="404040" w:themeColor="text1" w:themeTint="BF"/>
    </w:rPr>
  </w:style>
  <w:style w:type="paragraph" w:styleId="ListParagraph">
    <w:name w:val="List Paragraph"/>
    <w:basedOn w:val="Normal"/>
    <w:uiPriority w:val="34"/>
    <w:qFormat/>
    <w:rsid w:val="0072228E"/>
    <w:pPr>
      <w:ind w:left="720"/>
      <w:contextualSpacing/>
    </w:pPr>
  </w:style>
  <w:style w:type="character" w:styleId="IntenseEmphasis">
    <w:name w:val="Intense Emphasis"/>
    <w:basedOn w:val="DefaultParagraphFont"/>
    <w:uiPriority w:val="21"/>
    <w:qFormat/>
    <w:rsid w:val="0072228E"/>
    <w:rPr>
      <w:i/>
      <w:iCs/>
      <w:color w:val="0F4761" w:themeColor="accent1" w:themeShade="BF"/>
    </w:rPr>
  </w:style>
  <w:style w:type="paragraph" w:styleId="IntenseQuote">
    <w:name w:val="Intense Quote"/>
    <w:basedOn w:val="Normal"/>
    <w:next w:val="Normal"/>
    <w:link w:val="IntenseQuoteChar"/>
    <w:uiPriority w:val="30"/>
    <w:qFormat/>
    <w:rsid w:val="00722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28E"/>
    <w:rPr>
      <w:i/>
      <w:iCs/>
      <w:color w:val="0F4761" w:themeColor="accent1" w:themeShade="BF"/>
    </w:rPr>
  </w:style>
  <w:style w:type="character" w:styleId="IntenseReference">
    <w:name w:val="Intense Reference"/>
    <w:basedOn w:val="DefaultParagraphFont"/>
    <w:uiPriority w:val="32"/>
    <w:qFormat/>
    <w:rsid w:val="0072228E"/>
    <w:rPr>
      <w:b/>
      <w:bCs/>
      <w:smallCaps/>
      <w:color w:val="0F4761" w:themeColor="accent1" w:themeShade="BF"/>
      <w:spacing w:val="5"/>
    </w:rPr>
  </w:style>
  <w:style w:type="paragraph" w:styleId="Header">
    <w:name w:val="header"/>
    <w:basedOn w:val="Normal"/>
    <w:link w:val="HeaderChar"/>
    <w:uiPriority w:val="99"/>
    <w:unhideWhenUsed/>
    <w:rsid w:val="007013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13CE"/>
  </w:style>
  <w:style w:type="paragraph" w:styleId="Footer">
    <w:name w:val="footer"/>
    <w:basedOn w:val="Normal"/>
    <w:link w:val="FooterChar"/>
    <w:uiPriority w:val="99"/>
    <w:unhideWhenUsed/>
    <w:rsid w:val="007013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13CE"/>
  </w:style>
  <w:style w:type="table" w:styleId="TableGrid">
    <w:name w:val="Table Grid"/>
    <w:basedOn w:val="TableNormal"/>
    <w:uiPriority w:val="39"/>
    <w:rsid w:val="00E81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5664</TotalTime>
  <Pages>5</Pages>
  <Words>1583</Words>
  <Characters>9024</Characters>
  <Application>Microsoft Office Word</Application>
  <DocSecurity>0</DocSecurity>
  <Lines>75</Lines>
  <Paragraphs>21</Paragraphs>
  <ScaleCrop>false</ScaleCrop>
  <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Bell</dc:creator>
  <cp:keywords/>
  <dc:description/>
  <cp:lastModifiedBy>Jacob Bell</cp:lastModifiedBy>
  <cp:revision>473</cp:revision>
  <dcterms:created xsi:type="dcterms:W3CDTF">2026-10-05T22:24:00Z</dcterms:created>
  <dcterms:modified xsi:type="dcterms:W3CDTF">2026-10-18T21:23:00Z</dcterms:modified>
</cp:coreProperties>
</file>