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C930" w14:textId="4FD8DBB3" w:rsidR="00906C0A" w:rsidRPr="00906C0A" w:rsidRDefault="00906C0A" w:rsidP="00906C0A">
      <w:pPr>
        <w:jc w:val="center"/>
        <w:rPr>
          <w:b/>
          <w:bCs/>
        </w:rPr>
      </w:pPr>
      <w:r>
        <w:rPr>
          <w:b/>
          <w:bCs/>
        </w:rPr>
        <w:t>Pensamiento Computacional</w:t>
      </w:r>
    </w:p>
    <w:p w14:paraId="090A3499" w14:textId="54277F7D" w:rsidR="00906C0A" w:rsidRDefault="00906C0A" w:rsidP="00906C0A">
      <w:r>
        <w:t xml:space="preserve">El desarrollo de la plataforma de logística urbana se </w:t>
      </w:r>
      <w:r>
        <w:t>guio</w:t>
      </w:r>
      <w:r>
        <w:t xml:space="preserve"> por las cuatro dimensiones fundamentales del pensamiento computacional. En primer lugar, se aplicó la descomposición al dividir el problema global </w:t>
      </w:r>
      <w:r>
        <w:t xml:space="preserve">que era </w:t>
      </w:r>
      <w:r>
        <w:t>gestionar un sistema integral de envíos urbanos en subproblemas manejables: registro y autenticación de usuarios, gestión de perfiles y direcciones frecuentes, cotización y creación de envíos, asignación de repartidores, cálculo dinámico de tarifas, seguimiento de estados, procesamiento de pagos, generación de reportes y visualización de métricas. Cada uno de estos módulos se implementó de forma independiente, lo que facilitó el diseño, la prueba y el mantenimiento del sistema.</w:t>
      </w:r>
    </w:p>
    <w:p w14:paraId="67907E16" w14:textId="77777777" w:rsidR="00906C0A" w:rsidRDefault="00906C0A" w:rsidP="00906C0A"/>
    <w:p w14:paraId="2D420E26" w14:textId="5ECCA890" w:rsidR="00906C0A" w:rsidRDefault="00906C0A" w:rsidP="00906C0A">
      <w:r>
        <w:t xml:space="preserve">En segundo lugar, se practicó el reconocimiento de patrones al identificar comportamientos repetitivos y estructuras comunes en los requisitos. Por ejemplo, el flujo de estados de un envío (Solicitado → Asignado → En Ruta → Entregado) reveló la necesidad de un mecanismo controlado de transición, lo que </w:t>
      </w:r>
      <w:r>
        <w:t xml:space="preserve">llevo </w:t>
      </w:r>
      <w:r>
        <w:t xml:space="preserve">a la aplicación del patrón </w:t>
      </w:r>
      <w:proofErr w:type="spellStart"/>
      <w:r>
        <w:t>State</w:t>
      </w:r>
      <w:proofErr w:type="spellEnd"/>
      <w:r>
        <w:t xml:space="preserve"> mediante 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EstadoEnvio</w:t>
      </w:r>
      <w:proofErr w:type="spellEnd"/>
      <w:r>
        <w:t>. Asimismo, la variabilidad en el cálculo de tarifas que depende de peso, volumen, prioridad y servicios adicionales</w:t>
      </w:r>
      <w:r>
        <w:t xml:space="preserve"> mostro</w:t>
      </w:r>
      <w:r>
        <w:t xml:space="preserve"> la necesidad de una lógica intercambiable, resuelta con el patrón </w:t>
      </w:r>
      <w:proofErr w:type="spellStart"/>
      <w:r>
        <w:t>Strategy</w:t>
      </w:r>
      <w:proofErr w:type="spellEnd"/>
      <w:r>
        <w:t xml:space="preserve">. La posibilidad de agregar funcionalidades como seguro o fragilidad sin modificar la clase principal sugirió el uso del patrón </w:t>
      </w:r>
      <w:proofErr w:type="spellStart"/>
      <w:r>
        <w:t>Decorator</w:t>
      </w:r>
      <w:proofErr w:type="spellEnd"/>
      <w:r>
        <w:t xml:space="preserve">, mientras que la necesidad de notificar automáticamente al cliente sobre cambios en el estado del envío llevó a la implementación del patrón </w:t>
      </w:r>
      <w:proofErr w:type="spellStart"/>
      <w:r>
        <w:t>Observer</w:t>
      </w:r>
      <w:proofErr w:type="spellEnd"/>
      <w:r>
        <w:t>.</w:t>
      </w:r>
    </w:p>
    <w:p w14:paraId="5A25A0D1" w14:textId="77777777" w:rsidR="00906C0A" w:rsidRDefault="00906C0A" w:rsidP="00906C0A"/>
    <w:p w14:paraId="70976A08" w14:textId="77777777" w:rsidR="00906C0A" w:rsidRDefault="00906C0A" w:rsidP="00906C0A">
      <w:r>
        <w:t xml:space="preserve">La tercera dimensión, la abstracción, se manifestó en la modelación de entidades del dominio eliminando detalles irrelevantes y resaltando lo esencial. Se definió una clase base Usuario que agrupa atributos comunes a clientes, administradores y repartidores, reduciendo la duplicación de código. Las tarifas se calcularon a través de la interfaz </w:t>
      </w:r>
      <w:proofErr w:type="spellStart"/>
      <w:r>
        <w:t>ITarifa</w:t>
      </w:r>
      <w:proofErr w:type="spellEnd"/>
      <w:r>
        <w:t xml:space="preserve">, permitiendo múltiples estrategias sin acoplar la lógica de negocio. Los estados del sistema se representaron mediante </w:t>
      </w:r>
      <w:proofErr w:type="spellStart"/>
      <w:r>
        <w:t>enums</w:t>
      </w:r>
      <w:proofErr w:type="spellEnd"/>
      <w:r>
        <w:t xml:space="preserve"> (</w:t>
      </w:r>
      <w:proofErr w:type="spellStart"/>
      <w:r>
        <w:t>EstadoEnvio</w:t>
      </w:r>
      <w:proofErr w:type="spellEnd"/>
      <w:r>
        <w:t xml:space="preserve">, Prioridad, </w:t>
      </w:r>
      <w:proofErr w:type="spellStart"/>
      <w:r>
        <w:t>ServicioAdicional</w:t>
      </w:r>
      <w:proofErr w:type="spellEnd"/>
      <w:r>
        <w:t xml:space="preserve">), garantizando consistencia y evitando valores inválidos. Además, se introdujeron </w:t>
      </w:r>
      <w:proofErr w:type="spellStart"/>
      <w:r>
        <w:t>DTOs</w:t>
      </w:r>
      <w:proofErr w:type="spellEnd"/>
      <w:r>
        <w:t xml:space="preserve"> (</w:t>
      </w:r>
      <w:proofErr w:type="spellStart"/>
      <w:r>
        <w:t>EnvioDTO</w:t>
      </w:r>
      <w:proofErr w:type="spellEnd"/>
      <w:r>
        <w:t xml:space="preserve">, </w:t>
      </w:r>
      <w:proofErr w:type="spellStart"/>
      <w:r>
        <w:t>ClienteDTO</w:t>
      </w:r>
      <w:proofErr w:type="spellEnd"/>
      <w:r>
        <w:t>, etc.) para aislar la capa de presentación del modelo de dominio, cumpliendo con el requisito RF-040 y reforzando la separación de responsabilidades.</w:t>
      </w:r>
    </w:p>
    <w:p w14:paraId="7BCBBBA0" w14:textId="77777777" w:rsidR="00906C0A" w:rsidRDefault="00906C0A" w:rsidP="00906C0A"/>
    <w:p w14:paraId="711F2DA8" w14:textId="77777777" w:rsidR="00906C0A" w:rsidRDefault="00906C0A" w:rsidP="00906C0A"/>
    <w:p w14:paraId="7A18533C" w14:textId="6C6B72C7" w:rsidR="001C0035" w:rsidRPr="00906C0A" w:rsidRDefault="00906C0A" w:rsidP="00906C0A">
      <w:r>
        <w:lastRenderedPageBreak/>
        <w:t xml:space="preserve">Finalmente, el diseño algorítmico permitió implementar soluciones precisas y eficientes. Se diseñaron algoritmos para el cálculo de tarifas, el avance controlado de estados, la generación de reportes en PDF (usando </w:t>
      </w:r>
      <w:proofErr w:type="spellStart"/>
      <w:r>
        <w:t>iText</w:t>
      </w:r>
      <w:proofErr w:type="spellEnd"/>
      <w:r>
        <w:t xml:space="preserve">), la consulta de envíos con filtros (mediante </w:t>
      </w:r>
      <w:proofErr w:type="spellStart"/>
      <w:r>
        <w:t>streams</w:t>
      </w:r>
      <w:proofErr w:type="spellEnd"/>
      <w:r>
        <w:t xml:space="preserve"> de Java) y el cálculo de métricas de negocio como tiempos promedio de entrega por mes o frecuencia de servicios adicionales. Todo este enfoque se complementó con la aplicación rigurosa de los principios SOLID: el Principio de Responsabilidad Única (SRP) en clases como </w:t>
      </w:r>
      <w:proofErr w:type="spellStart"/>
      <w:r>
        <w:t>Envio</w:t>
      </w:r>
      <w:proofErr w:type="spellEnd"/>
      <w:r>
        <w:t xml:space="preserve"> o Pago; el Principio de Abierto/Cerrado (OCP) mediante decoradores y estrategias; y el Principio de Inversión de Dependencias (DIP) al depender de interfaces como </w:t>
      </w:r>
      <w:proofErr w:type="spellStart"/>
      <w:r>
        <w:t>IEnvioComponente</w:t>
      </w:r>
      <w:proofErr w:type="spellEnd"/>
      <w:r>
        <w:t xml:space="preserve"> o </w:t>
      </w:r>
      <w:proofErr w:type="spellStart"/>
      <w:r>
        <w:t>IProcesable</w:t>
      </w:r>
      <w:proofErr w:type="spellEnd"/>
      <w:r>
        <w:t>. Este enfoque integral no solo satisfizo todos los requisitos funcionales (RF-001 a RF-039), sino que también produjo un sistema flexible, mantenible y listo para evolucionar.</w:t>
      </w:r>
    </w:p>
    <w:sectPr w:rsidR="001C0035" w:rsidRPr="00906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CB"/>
    <w:rsid w:val="000D05CB"/>
    <w:rsid w:val="00197A70"/>
    <w:rsid w:val="001C0035"/>
    <w:rsid w:val="00906C0A"/>
    <w:rsid w:val="00AE0038"/>
    <w:rsid w:val="00E533D1"/>
    <w:rsid w:val="00FF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0BA9"/>
  <w15:chartTrackingRefBased/>
  <w15:docId w15:val="{72D9A8B2-A4ED-4A6F-84C5-5FA820DF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5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5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5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5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505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Yeikob Yk</dc:creator>
  <cp:keywords/>
  <dc:description/>
  <cp:lastModifiedBy>Yeikob Yk</cp:lastModifiedBy>
  <cp:revision>1</cp:revision>
  <dcterms:created xsi:type="dcterms:W3CDTF">2025-11-18T13:38:00Z</dcterms:created>
  <dcterms:modified xsi:type="dcterms:W3CDTF">2025-11-18T15:03:00Z</dcterms:modified>
</cp:coreProperties>
</file>