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424680"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lang w:val="en-US"/>
        </w:rPr>
      </w:pPr>
      <w:r>
        <w:rPr>
          <w:spacing w:val="-4"/>
          <w:sz w:val="44"/>
          <w:lang w:val="en-US"/>
        </w:rPr>
        <w:t>{{ corp_name }}</w:t>
      </w:r>
    </w:p>
    <w:p>
      <w:pPr>
        <w:pStyle w:val="Normal"/>
        <w:spacing w:before="217" w:after="160"/>
        <w:ind w:left="2018" w:right="2002" w:hanging="0"/>
        <w:jc w:val="center"/>
        <w:rPr>
          <w:spacing w:val="-4"/>
          <w:sz w:val="44"/>
          <w:lang w:val="en-US"/>
        </w:rPr>
      </w:pPr>
      <w:r>
        <w:rPr>
          <w:spacing w:val="-4"/>
          <w:sz w:val="44"/>
          <w:lang w:val="en-US"/>
        </w:rPr>
      </w:r>
    </w:p>
    <w:p>
      <w:pPr>
        <w:pStyle w:val="Normal"/>
        <w:spacing w:before="1" w:after="160"/>
        <w:ind w:left="2018" w:right="2010" w:hanging="0"/>
        <w:jc w:val="center"/>
        <w:rPr>
          <w:lang w:val="en-US"/>
        </w:rPr>
      </w:pPr>
      <w:r>
        <w:rPr>
          <w:spacing w:val="-10"/>
          <w:sz w:val="44"/>
          <w:lang w:val="en-US"/>
        </w:rPr>
        <w:t>Security</w:t>
      </w:r>
      <w:r>
        <w:rPr>
          <w:spacing w:val="-19"/>
          <w:sz w:val="44"/>
          <w:lang w:val="en-US"/>
        </w:rPr>
        <w:t xml:space="preserve"> </w:t>
      </w:r>
      <w:r>
        <w:rPr>
          <w:spacing w:val="-10"/>
          <w:sz w:val="44"/>
          <w:lang w:val="en-US"/>
        </w:rPr>
        <w:t>Assessment</w:t>
      </w:r>
      <w:r>
        <w:rPr>
          <w:spacing w:val="-13"/>
          <w:sz w:val="44"/>
          <w:lang w:val="en-US"/>
        </w:rPr>
        <w:t xml:space="preserve"> </w:t>
      </w:r>
    </w:p>
    <w:p>
      <w:pPr>
        <w:pStyle w:val="Normal"/>
        <w:spacing w:before="1" w:after="160"/>
        <w:ind w:left="2018" w:right="2010" w:hanging="0"/>
        <w:jc w:val="center"/>
        <w:rPr>
          <w:spacing w:val="-10"/>
          <w:sz w:val="44"/>
          <w:lang w:val="en-US"/>
        </w:rPr>
      </w:pPr>
      <w:r>
        <w:rPr>
          <w:spacing w:val="-10"/>
          <w:sz w:val="44"/>
          <w:lang w:val="en-US"/>
        </w:rPr>
        <w:t>Findings Report</w:t>
      </w:r>
    </w:p>
    <w:p>
      <w:pPr>
        <w:pStyle w:val="Normal"/>
        <w:spacing w:lineRule="auto" w:line="259"/>
        <w:rPr>
          <w:lang w:val="en-US"/>
        </w:rPr>
      </w:pPr>
      <w:r>
        <w:rPr>
          <w:lang w:val="en-US"/>
        </w:rPr>
      </w:r>
      <w:r>
        <w:br w:type="page"/>
      </w:r>
    </w:p>
    <w:p>
      <w:pPr>
        <w:pStyle w:val="Normal"/>
        <w:spacing w:lineRule="auto" w:line="259"/>
        <w:rPr>
          <w:rStyle w:val="IntenseEmphasis"/>
          <w:lang w:val="en-US"/>
        </w:rPr>
      </w:pPr>
      <w:r>
        <w:rPr>
          <w:lang w:val="en-US"/>
        </w:rPr>
      </w:r>
    </w:p>
    <w:p>
      <w:pPr>
        <w:pStyle w:val="Normal"/>
        <w:spacing w:lineRule="auto" w:line="259"/>
        <w:rPr>
          <w:rStyle w:val="IntenseEmphasis"/>
        </w:rPr>
      </w:pPr>
      <w:r>
        <w:rPr>
          <w:rStyle w:val="IntenseEmphasis"/>
        </w:rPr>
        <w:t>Business Confidential</w:t>
      </w:r>
    </w:p>
    <w:p>
      <w:pPr>
        <w:pStyle w:val="Normal"/>
        <w:spacing w:lineRule="auto" w:line="259"/>
        <w:rPr/>
      </w:pPr>
      <w:r>
        <w:rPr/>
      </w:r>
    </w:p>
    <w:p>
      <w:pPr>
        <w:pStyle w:val="ListParagraph"/>
        <w:numPr>
          <w:ilvl w:val="0"/>
          <w:numId w:val="4"/>
        </w:numPr>
        <w:spacing w:lineRule="auto" w:line="480"/>
        <w:rPr>
          <w:lang w:val="en-US"/>
        </w:rPr>
      </w:pPr>
      <w:r>
        <w:rPr>
          <w:lang w:val="en-US"/>
        </w:rPr>
        <w:t>Date of the project: {{ project_date }}</w:t>
      </w:r>
    </w:p>
    <w:p>
      <w:pPr>
        <w:pStyle w:val="ListParagraph"/>
        <w:numPr>
          <w:ilvl w:val="0"/>
          <w:numId w:val="4"/>
        </w:numPr>
        <w:spacing w:lineRule="auto" w:line="480"/>
        <w:rPr>
          <w:lang w:val="en-US"/>
        </w:rPr>
      </w:pPr>
      <w:r>
        <w:rPr>
          <w:lang w:val="en-US"/>
        </w:rPr>
        <w:t>Version of the project: {{ project_version }}</w:t>
      </w:r>
    </w:p>
    <w:p>
      <w:pPr>
        <w:pStyle w:val="ListParagraph"/>
        <w:numPr>
          <w:ilvl w:val="0"/>
          <w:numId w:val="4"/>
        </w:numPr>
        <w:spacing w:lineRule="auto" w:line="480"/>
        <w:rPr>
          <w:lang w:val="en-US"/>
        </w:rPr>
      </w:pPr>
      <w:r>
        <w:rPr>
          <w:lang w:val="en-US"/>
        </w:rPr>
        <w:t>Project name: {{ project_name  }}</w:t>
      </w:r>
      <w:r>
        <w:br w:type="page"/>
      </w:r>
    </w:p>
    <w:p>
      <w:pPr>
        <w:pStyle w:val="Heading1"/>
        <w:rPr>
          <w:lang w:val="en-US"/>
        </w:rPr>
      </w:pPr>
      <w:bookmarkStart w:id="0" w:name="_Toc138088042"/>
      <w:r>
        <w:rPr>
          <w:lang w:val="en-US"/>
        </w:rPr>
        <w:t>Table of Contents</w:t>
      </w:r>
      <w:bookmarkEnd w:id="0"/>
    </w:p>
    <w:sdt>
      <w:sdtPr>
        <w:docPartObj>
          <w:docPartGallery w:val="Table of Contents"/>
          <w:docPartUnique w:val="true"/>
        </w:docPartObj>
        <w:id w:val="1861669607"/>
      </w:sdtPr>
      <w:sdtContent>
        <w:p>
          <w:pPr>
            <w:pStyle w:val="ContentsHeading"/>
            <w:rPr/>
          </w:pPr>
          <w:r>
            <w:rPr/>
          </w:r>
        </w:p>
        <w:p>
          <w:pPr>
            <w:pStyle w:val="Contents1"/>
            <w:tabs>
              <w:tab w:val="clear" w:pos="708"/>
              <w:tab w:val="right" w:pos="1021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38088042">
            <w:r>
              <w:rPr>
                <w:webHidden/>
              </w:rPr>
              <w:fldChar w:fldCharType="begin"/>
            </w:r>
            <w:r>
              <w:rPr>
                <w:webHidden/>
              </w:rPr>
              <w:instrText xml:space="preserve">PAGEREF _Toc138088042 \h</w:instrText>
            </w:r>
            <w:r>
              <w:rPr>
                <w:webHidden/>
              </w:rPr>
              <w:fldChar w:fldCharType="separate"/>
            </w:r>
            <w:r>
              <w:rPr>
                <w:webHidden/>
                <w:rStyle w:val="IndexLink"/>
                <w:vanish w:val="false"/>
              </w:rPr>
              <w:t>Table of Contents</w:t>
              <w:tab/>
              <w:t>4</w:t>
            </w:r>
            <w:r>
              <w:rPr>
                <w:webHidden/>
              </w:rPr>
              <w:fldChar w:fldCharType="end"/>
            </w:r>
          </w:hyperlink>
        </w:p>
        <w:p>
          <w:pPr>
            <w:pStyle w:val="Contents1"/>
            <w:tabs>
              <w:tab w:val="clear" w:pos="708"/>
              <w:tab w:val="right" w:pos="10218" w:leader="dot"/>
            </w:tabs>
            <w:rPr/>
          </w:pPr>
          <w:hyperlink w:anchor="_Toc138088043">
            <w:r>
              <w:rPr>
                <w:webHidden/>
              </w:rPr>
              <w:fldChar w:fldCharType="begin"/>
            </w:r>
            <w:r>
              <w:rPr>
                <w:webHidden/>
              </w:rPr>
              <w:instrText xml:space="preserve">PAGEREF _Toc138088043 \h</w:instrText>
            </w:r>
            <w:r>
              <w:rPr>
                <w:webHidden/>
              </w:rPr>
              <w:fldChar w:fldCharType="separate"/>
            </w:r>
            <w:r>
              <w:rPr>
                <w:webHidden/>
                <w:rStyle w:val="IndexLink"/>
                <w:vanish w:val="false"/>
              </w:rPr>
              <w:t>Confidentiality Statement</w:t>
              <w:tab/>
              <w:t>5</w:t>
            </w:r>
            <w:r>
              <w:rPr>
                <w:webHidden/>
              </w:rPr>
              <w:fldChar w:fldCharType="end"/>
            </w:r>
          </w:hyperlink>
        </w:p>
        <w:p>
          <w:pPr>
            <w:pStyle w:val="Contents1"/>
            <w:tabs>
              <w:tab w:val="clear" w:pos="708"/>
              <w:tab w:val="right" w:pos="10218" w:leader="dot"/>
            </w:tabs>
            <w:rPr/>
          </w:pPr>
          <w:hyperlink w:anchor="_Toc138088044">
            <w:r>
              <w:rPr>
                <w:webHidden/>
              </w:rPr>
              <w:fldChar w:fldCharType="begin"/>
            </w:r>
            <w:r>
              <w:rPr>
                <w:webHidden/>
              </w:rPr>
              <w:instrText xml:space="preserve">PAGEREF _Toc138088044 \h</w:instrText>
            </w:r>
            <w:r>
              <w:rPr>
                <w:webHidden/>
              </w:rPr>
              <w:fldChar w:fldCharType="separate"/>
            </w:r>
            <w:r>
              <w:rPr>
                <w:webHidden/>
                <w:rStyle w:val="IndexLink"/>
                <w:vanish w:val="false"/>
              </w:rPr>
              <w:t>Disclaimer</w:t>
              <w:tab/>
              <w:t>5</w:t>
            </w:r>
            <w:r>
              <w:rPr>
                <w:webHidden/>
              </w:rPr>
              <w:fldChar w:fldCharType="end"/>
            </w:r>
          </w:hyperlink>
        </w:p>
        <w:p>
          <w:pPr>
            <w:pStyle w:val="Contents1"/>
            <w:tabs>
              <w:tab w:val="clear" w:pos="708"/>
              <w:tab w:val="right" w:pos="10218" w:leader="dot"/>
            </w:tabs>
            <w:rPr/>
          </w:pPr>
          <w:hyperlink w:anchor="_Toc138088045">
            <w:r>
              <w:rPr>
                <w:webHidden/>
              </w:rPr>
              <w:fldChar w:fldCharType="begin"/>
            </w:r>
            <w:r>
              <w:rPr>
                <w:webHidden/>
              </w:rPr>
              <w:instrText xml:space="preserve">PAGEREF _Toc138088045 \h</w:instrText>
            </w:r>
            <w:r>
              <w:rPr>
                <w:webHidden/>
              </w:rPr>
              <w:fldChar w:fldCharType="separate"/>
            </w:r>
            <w:r>
              <w:rPr>
                <w:webHidden/>
                <w:rStyle w:val="IndexLink"/>
                <w:vanish w:val="false"/>
              </w:rPr>
              <w:t>Contact Information</w:t>
              <w:tab/>
              <w:t>5</w:t>
            </w:r>
            <w:r>
              <w:rPr>
                <w:webHidden/>
              </w:rPr>
              <w:fldChar w:fldCharType="end"/>
            </w:r>
          </w:hyperlink>
        </w:p>
        <w:p>
          <w:pPr>
            <w:pStyle w:val="Contents1"/>
            <w:tabs>
              <w:tab w:val="clear" w:pos="708"/>
              <w:tab w:val="right" w:pos="10218" w:leader="dot"/>
            </w:tabs>
            <w:rPr/>
          </w:pPr>
          <w:hyperlink w:anchor="_Toc138088046">
            <w:r>
              <w:rPr>
                <w:webHidden/>
              </w:rPr>
              <w:fldChar w:fldCharType="begin"/>
            </w:r>
            <w:r>
              <w:rPr>
                <w:webHidden/>
              </w:rPr>
              <w:instrText xml:space="preserve">PAGEREF _Toc138088046 \h</w:instrText>
            </w:r>
            <w:r>
              <w:rPr>
                <w:webHidden/>
              </w:rPr>
              <w:fldChar w:fldCharType="separate"/>
            </w:r>
            <w:r>
              <w:rPr>
                <w:webHidden/>
                <w:rStyle w:val="IndexLink"/>
                <w:vanish w:val="false"/>
              </w:rPr>
              <w:t>Assesment overview</w:t>
              <w:tab/>
              <w:t>6</w:t>
            </w:r>
            <w:r>
              <w:rPr>
                <w:webHidden/>
              </w:rPr>
              <w:fldChar w:fldCharType="end"/>
            </w:r>
          </w:hyperlink>
        </w:p>
        <w:p>
          <w:pPr>
            <w:pStyle w:val="Contents1"/>
            <w:tabs>
              <w:tab w:val="clear" w:pos="708"/>
              <w:tab w:val="right" w:pos="10218" w:leader="dot"/>
            </w:tabs>
            <w:rPr/>
          </w:pPr>
          <w:hyperlink w:anchor="_Toc138088047">
            <w:r>
              <w:rPr>
                <w:webHidden/>
                <w:rStyle w:val="IndexLink"/>
                <w:vanish w:val="false"/>
                <w:lang w:val="en-US"/>
              </w:rPr>
              <w:t>Assessment Components</w:t>
            </w:r>
            <w:r>
              <w:rPr>
                <w:webHidden/>
              </w:rPr>
              <w:fldChar w:fldCharType="begin"/>
            </w:r>
            <w:r>
              <w:rPr>
                <w:webHidden/>
              </w:rPr>
              <w:instrText xml:space="preserve">PAGEREF _Toc138088047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10218" w:leader="dot"/>
            </w:tabs>
            <w:rPr/>
          </w:pPr>
          <w:hyperlink w:anchor="_Toc138088048">
            <w:r>
              <w:rPr>
                <w:webHidden/>
                <w:rStyle w:val="IndexLink"/>
                <w:vanish w:val="false"/>
                <w:lang w:val="en-US"/>
              </w:rPr>
              <w:t>Internal Penetration Test</w:t>
            </w:r>
            <w:r>
              <w:rPr>
                <w:webHidden/>
              </w:rPr>
              <w:fldChar w:fldCharType="begin"/>
            </w:r>
            <w:r>
              <w:rPr>
                <w:webHidden/>
              </w:rPr>
              <w:instrText xml:space="preserve">PAGEREF _Toc138088048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10218" w:leader="dot"/>
            </w:tabs>
            <w:rPr/>
          </w:pPr>
          <w:hyperlink w:anchor="_Toc138088049">
            <w:r>
              <w:rPr>
                <w:webHidden/>
                <w:rStyle w:val="IndexLink"/>
                <w:vanish w:val="false"/>
                <w:lang w:val="en-US"/>
              </w:rPr>
              <w:t>Finding severity ratings</w:t>
            </w:r>
            <w:r>
              <w:rPr>
                <w:webHidden/>
              </w:rPr>
              <w:fldChar w:fldCharType="begin"/>
            </w:r>
            <w:r>
              <w:rPr>
                <w:webHidden/>
              </w:rPr>
              <w:instrText xml:space="preserve">PAGEREF _Toc138088049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0">
            <w:r>
              <w:rPr>
                <w:webHidden/>
                <w:rStyle w:val="IndexLink"/>
                <w:vanish w:val="false"/>
                <w:lang w:val="en-US"/>
              </w:rPr>
              <w:t>Risk factors</w:t>
            </w:r>
            <w:r>
              <w:rPr>
                <w:webHidden/>
              </w:rPr>
              <w:fldChar w:fldCharType="begin"/>
            </w:r>
            <w:r>
              <w:rPr>
                <w:webHidden/>
              </w:rPr>
              <w:instrText xml:space="preserve">PAGEREF _Toc138088050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1">
            <w:r>
              <w:rPr>
                <w:webHidden/>
                <w:rStyle w:val="IndexLink"/>
                <w:vanish w:val="false"/>
                <w:lang w:val="en-US"/>
              </w:rPr>
              <w:t>Likelihood</w:t>
            </w:r>
            <w:r>
              <w:rPr>
                <w:webHidden/>
              </w:rPr>
              <w:fldChar w:fldCharType="begin"/>
            </w:r>
            <w:r>
              <w:rPr>
                <w:webHidden/>
              </w:rPr>
              <w:instrText xml:space="preserve">PAGEREF _Toc138088051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10218" w:leader="dot"/>
            </w:tabs>
            <w:rPr/>
          </w:pPr>
          <w:hyperlink w:anchor="_Toc138088052">
            <w:r>
              <w:rPr>
                <w:webHidden/>
                <w:rStyle w:val="IndexLink"/>
                <w:vanish w:val="false"/>
                <w:lang w:val="en-US"/>
              </w:rPr>
              <w:t>Impact</w:t>
            </w:r>
            <w:r>
              <w:rPr>
                <w:webHidden/>
              </w:rPr>
              <w:fldChar w:fldCharType="begin"/>
            </w:r>
            <w:r>
              <w:rPr>
                <w:webHidden/>
              </w:rPr>
              <w:instrText xml:space="preserve">PAGEREF _Toc138088052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10218" w:leader="dot"/>
            </w:tabs>
            <w:rPr/>
          </w:pPr>
          <w:hyperlink w:anchor="_Toc138088053">
            <w:r>
              <w:rPr>
                <w:webHidden/>
                <w:rStyle w:val="IndexLink"/>
                <w:vanish w:val="false"/>
                <w:lang w:val="en-US"/>
              </w:rPr>
              <w:t>Scope</w:t>
            </w:r>
            <w:r>
              <w:rPr>
                <w:webHidden/>
              </w:rPr>
              <w:fldChar w:fldCharType="begin"/>
            </w:r>
            <w:r>
              <w:rPr>
                <w:webHidden/>
              </w:rPr>
              <w:instrText xml:space="preserve">PAGEREF _Toc138088053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4">
            <w:r>
              <w:rPr>
                <w:webHidden/>
                <w:rStyle w:val="IndexLink"/>
                <w:vanish w:val="false"/>
                <w:lang w:val="en-US"/>
              </w:rPr>
              <w:t>Hosts analyzed</w:t>
            </w:r>
            <w:r>
              <w:rPr>
                <w:webHidden/>
              </w:rPr>
              <w:fldChar w:fldCharType="begin"/>
            </w:r>
            <w:r>
              <w:rPr>
                <w:webHidden/>
              </w:rPr>
              <w:instrText xml:space="preserve">PAGEREF _Toc138088054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5">
            <w:r>
              <w:rPr>
                <w:webHidden/>
                <w:rStyle w:val="IndexLink"/>
                <w:vanish w:val="false"/>
                <w:lang w:val="en-US"/>
              </w:rPr>
              <w:t>Scope Exclusions</w:t>
            </w:r>
            <w:r>
              <w:rPr>
                <w:webHidden/>
              </w:rPr>
              <w:fldChar w:fldCharType="begin"/>
            </w:r>
            <w:r>
              <w:rPr>
                <w:webHidden/>
              </w:rPr>
              <w:instrText xml:space="preserve">PAGEREF _Toc138088055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10218" w:leader="dot"/>
            </w:tabs>
            <w:rPr/>
          </w:pPr>
          <w:hyperlink w:anchor="_Toc138088056">
            <w:r>
              <w:rPr>
                <w:webHidden/>
                <w:rStyle w:val="IndexLink"/>
                <w:vanish w:val="false"/>
                <w:lang w:val="en-US"/>
              </w:rPr>
              <w:t>Client Allowances</w:t>
            </w:r>
            <w:r>
              <w:rPr>
                <w:webHidden/>
              </w:rPr>
              <w:fldChar w:fldCharType="begin"/>
            </w:r>
            <w:r>
              <w:rPr>
                <w:webHidden/>
              </w:rPr>
              <w:instrText xml:space="preserve">PAGEREF _Toc138088056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10218" w:leader="dot"/>
            </w:tabs>
            <w:rPr/>
          </w:pPr>
          <w:hyperlink w:anchor="_Toc138088057">
            <w:r>
              <w:rPr>
                <w:webHidden/>
                <w:rStyle w:val="IndexLink"/>
                <w:vanish w:val="false"/>
                <w:lang w:val="en-US"/>
              </w:rPr>
              <w:t>Executive summary</w:t>
            </w:r>
            <w:r>
              <w:rPr>
                <w:webHidden/>
              </w:rPr>
              <w:fldChar w:fldCharType="begin"/>
            </w:r>
            <w:r>
              <w:rPr>
                <w:webHidden/>
              </w:rPr>
              <w:instrText xml:space="preserve">PAGEREF _Toc138088057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8">
            <w:r>
              <w:rPr>
                <w:webHidden/>
                <w:rStyle w:val="IndexLink"/>
                <w:vanish w:val="false"/>
                <w:lang w:val="en-US"/>
              </w:rPr>
              <w:t>Scoping and time limitations</w:t>
            </w:r>
            <w:r>
              <w:rPr>
                <w:webHidden/>
              </w:rPr>
              <w:fldChar w:fldCharType="begin"/>
            </w:r>
            <w:r>
              <w:rPr>
                <w:webHidden/>
              </w:rPr>
              <w:instrText xml:space="preserve">PAGEREF _Toc138088058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59">
            <w:r>
              <w:rPr>
                <w:webHidden/>
                <w:rStyle w:val="IndexLink"/>
                <w:vanish w:val="false"/>
                <w:lang w:val="en-US"/>
              </w:rPr>
              <w:t>Testing summary</w:t>
            </w:r>
            <w:r>
              <w:rPr>
                <w:webHidden/>
              </w:rPr>
              <w:fldChar w:fldCharType="begin"/>
            </w:r>
            <w:r>
              <w:rPr>
                <w:webHidden/>
              </w:rPr>
              <w:instrText xml:space="preserve">PAGEREF _Toc138088059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10218" w:leader="dot"/>
            </w:tabs>
            <w:rPr/>
          </w:pPr>
          <w:hyperlink w:anchor="_Toc138088060">
            <w:r>
              <w:rPr>
                <w:webHidden/>
                <w:rStyle w:val="IndexLink"/>
                <w:vanish w:val="false"/>
                <w:lang w:val="en-US"/>
              </w:rPr>
              <w:t>Tester Notes and Recommendations</w:t>
            </w:r>
            <w:r>
              <w:rPr>
                <w:webHidden/>
              </w:rPr>
              <w:fldChar w:fldCharType="begin"/>
            </w:r>
            <w:r>
              <w:rPr>
                <w:webHidden/>
              </w:rPr>
              <w:instrText xml:space="preserve">PAGEREF _Toc138088060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10218" w:leader="dot"/>
            </w:tabs>
            <w:rPr/>
          </w:pPr>
          <w:hyperlink w:anchor="_Toc138088061">
            <w:r>
              <w:rPr>
                <w:webHidden/>
                <w:rStyle w:val="IndexLink"/>
                <w:vanish w:val="false"/>
                <w:lang w:val="en-US"/>
              </w:rPr>
              <w:t>Vulnerability summary &amp; report card</w:t>
            </w:r>
            <w:r>
              <w:rPr>
                <w:webHidden/>
              </w:rPr>
              <w:fldChar w:fldCharType="begin"/>
            </w:r>
            <w:r>
              <w:rPr>
                <w:webHidden/>
              </w:rPr>
              <w:instrText xml:space="preserve">PAGEREF _Toc138088061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10218" w:leader="dot"/>
            </w:tabs>
            <w:rPr/>
          </w:pPr>
          <w:hyperlink w:anchor="_Toc138088062">
            <w:r>
              <w:rPr>
                <w:webHidden/>
                <w:rStyle w:val="IndexLink"/>
                <w:vanish w:val="false"/>
                <w:lang w:val="en-US"/>
              </w:rPr>
              <w:t>Internal Penetration Test Findings</w:t>
            </w:r>
            <w:r>
              <w:rPr>
                <w:webHidden/>
              </w:rPr>
              <w:fldChar w:fldCharType="begin"/>
            </w:r>
            <w:r>
              <w:rPr>
                <w:webHidden/>
              </w:rPr>
              <w:instrText xml:space="preserve">PAGEREF _Toc138088062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2" w:before="0" w:after="160"/>
        <w:jc w:val="both"/>
        <w:rPr/>
      </w:pPr>
      <w:r>
        <w:rPr/>
      </w:r>
    </w:p>
    <w:p>
      <w:pPr>
        <w:pStyle w:val="Normal"/>
        <w:spacing w:lineRule="auto" w:line="259"/>
        <w:rPr/>
      </w:pPr>
      <w:r>
        <w:rPr/>
      </w:r>
      <w:r>
        <w:br w:type="page"/>
      </w:r>
    </w:p>
    <w:p>
      <w:pPr>
        <w:pStyle w:val="Heading1"/>
        <w:rPr>
          <w:lang w:val="en-US"/>
        </w:rPr>
      </w:pPr>
      <w:bookmarkStart w:id="1" w:name="_Toc138088043"/>
      <w:r>
        <w:rPr>
          <w:lang w:val="en-US"/>
        </w:rPr>
        <w:t>Confidentiality Statement</w:t>
      </w:r>
      <w:bookmarkEnd w:id="1"/>
    </w:p>
    <w:p>
      <w:pPr>
        <w:pStyle w:val="Normal"/>
        <w:rPr>
          <w:lang w:val="en-US"/>
        </w:rPr>
      </w:pPr>
      <w:r>
        <w:rPr>
          <w:lang w:val="en-US"/>
        </w:rPr>
      </w:r>
    </w:p>
    <w:p>
      <w:pPr>
        <w:pStyle w:val="Normal"/>
        <w:rPr>
          <w:lang w:val="en-US"/>
        </w:rPr>
      </w:pPr>
      <w:r>
        <w:rPr>
          <w:lang w:val="en-US"/>
        </w:rPr>
        <w:t xml:space="preserve">This document is the exclusive property of {{ corp_name }} and {{ team_name }} ({{ team_abbreviature }}). </w:t>
      </w:r>
    </w:p>
    <w:p>
      <w:pPr>
        <w:pStyle w:val="Normal"/>
        <w:rPr>
          <w:lang w:val="en-US"/>
        </w:rPr>
      </w:pPr>
      <w:r>
        <w:rPr>
          <w:lang w:val="en-US"/>
        </w:rPr>
        <w:t>This document contains proprietary and confidential information. Duplication, redistribution, or use, in whole or in part, in any form, requires consent of both {{ corp_name }} and {{ team_abbreviature }}).</w:t>
      </w:r>
    </w:p>
    <w:p>
      <w:pPr>
        <w:pStyle w:val="Normal"/>
        <w:rPr>
          <w:lang w:val="en-US"/>
        </w:rPr>
      </w:pPr>
      <w:r>
        <w:rPr>
          <w:lang w:val="en-US"/>
        </w:rPr>
        <w:t>{{ corp_name }}  may share this document with auditors under non-disclosure agreements to demonstrate penetration test requirement compliance.</w:t>
      </w:r>
    </w:p>
    <w:p>
      <w:pPr>
        <w:pStyle w:val="Normal"/>
        <w:rPr>
          <w:lang w:val="en-US"/>
        </w:rPr>
      </w:pPr>
      <w:r>
        <w:rPr>
          <w:lang w:val="en-US"/>
        </w:rPr>
      </w:r>
    </w:p>
    <w:p>
      <w:pPr>
        <w:pStyle w:val="Heading1"/>
        <w:rPr/>
      </w:pPr>
      <w:bookmarkStart w:id="2" w:name="_Toc138088044"/>
      <w:r>
        <w:rPr/>
        <w:t>Disclaimer</w:t>
      </w:r>
      <w:bookmarkEnd w:id="2"/>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40"/>
        <w:gridCol w:w="4506"/>
        <w:gridCol w:w="3182"/>
      </w:tblGrid>
      <w:tr>
        <w:trPr>
          <w:trHeight w:val="340" w:hRule="atLeast"/>
        </w:trPr>
        <w:tc>
          <w:tcPr>
            <w:tcW w:w="2540"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Name</w:t>
            </w:r>
          </w:p>
        </w:tc>
        <w:tc>
          <w:tcPr>
            <w:tcW w:w="4506"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lang w:val="en-US"/>
        </w:rPr>
      </w:pPr>
      <w:r>
        <w:rPr>
          <w:lang w:val="en-US"/>
        </w:rPr>
        <w:t>A penetration test is considered a snapshot in time. The findings and recommendations reflect the information gathered during the assessment and not any changes or modifications made outside of that period.</w:t>
      </w:r>
    </w:p>
    <w:p>
      <w:pPr>
        <w:pStyle w:val="Normal"/>
        <w:rPr>
          <w:lang w:val="en-US"/>
        </w:rPr>
      </w:pPr>
      <w:r>
        <w:rPr>
          <w:lang w:val="en-US"/>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lang w:val="en-US"/>
        </w:rPr>
      </w:pPr>
      <w:r>
        <w:rPr>
          <w:lang w:val="en-US"/>
        </w:rPr>
      </w:r>
    </w:p>
    <w:p>
      <w:pPr>
        <w:pStyle w:val="Heading1"/>
        <w:rPr>
          <w:lang w:val="en-US"/>
        </w:rPr>
      </w:pPr>
      <w:bookmarkStart w:id="3" w:name="_Toc138088045"/>
      <w:r>
        <w:rPr>
          <w:lang w:val="en-US"/>
        </w:rPr>
        <w:t>Contact Information</w:t>
      </w:r>
      <w:bookmarkEnd w:id="3"/>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4" w:name="_Toc138088046"/>
      <w:r>
        <w:rPr>
          <w:lang w:val="en-US"/>
        </w:rPr>
        <w:t>Assesment overview</w:t>
      </w:r>
      <w:bookmarkEnd w:id="4"/>
    </w:p>
    <w:p>
      <w:pPr>
        <w:pStyle w:val="Normal"/>
        <w:rPr>
          <w:lang w:val="en-US"/>
        </w:rPr>
      </w:pPr>
      <w:r>
        <w:rPr>
          <w:lang w:val="en-US"/>
        </w:rPr>
        <w:t>From {{ start_date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bookmarkStart w:id="5" w:name="_Toc138088047"/>
      <w:r>
        <w:rPr>
          <w:lang w:val="en-US"/>
        </w:rPr>
        <w:t>Assessment Components</w:t>
      </w:r>
      <w:bookmarkEnd w:id="5"/>
    </w:p>
    <w:p>
      <w:pPr>
        <w:pStyle w:val="Heading2"/>
        <w:rPr>
          <w:lang w:val="en-US"/>
        </w:rPr>
      </w:pPr>
      <w:bookmarkStart w:id="6" w:name="_Toc138088048"/>
      <w:r>
        <w:rPr>
          <w:lang w:val="en-US"/>
        </w:rPr>
        <w:t>Internal Penetration Test</w:t>
      </w:r>
      <w:bookmarkEnd w:id="6"/>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bookmarkStart w:id="7" w:name="_Toc138088049"/>
      <w:r>
        <w:rPr>
          <w:lang w:val="en-US"/>
        </w:rPr>
        <w:t>Finding severity ratings</w:t>
      </w:r>
      <w:bookmarkEnd w:id="7"/>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3"/>
        <w:gridCol w:w="1984"/>
        <w:gridCol w:w="5394"/>
      </w:tblGrid>
      <w:tr>
        <w:trPr>
          <w:cnfStyle w:val="100000000000" w:firstRow="1" w:lastRow="0" w:firstColumn="0" w:lastColumn="0" w:oddVBand="0" w:evenVBand="0" w:oddHBand="0"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3"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4"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3"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4" w:type="dxa"/>
            <w:tcBorders/>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3"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4"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bookmarkStart w:id="8" w:name="_Toc138088050"/>
      <w:r>
        <w:rPr>
          <w:lang w:val="en-US"/>
        </w:rPr>
        <w:t>Risk factors</w:t>
      </w:r>
      <w:bookmarkEnd w:id="8"/>
    </w:p>
    <w:p>
      <w:pPr>
        <w:pStyle w:val="Normal"/>
        <w:rPr>
          <w:lang w:val="en-US"/>
        </w:rPr>
      </w:pPr>
      <w:r>
        <w:rPr>
          <w:lang w:val="en-US"/>
        </w:rPr>
        <w:t>Risk is measured by two factors: Likelihood and impact.</w:t>
      </w:r>
    </w:p>
    <w:p>
      <w:pPr>
        <w:pStyle w:val="Heading2"/>
        <w:rPr>
          <w:lang w:val="en-US"/>
        </w:rPr>
      </w:pPr>
      <w:bookmarkStart w:id="9" w:name="_Toc138088051"/>
      <w:r>
        <w:rPr>
          <w:lang w:val="en-US"/>
        </w:rPr>
        <w:t>Likelihood</w:t>
      </w:r>
      <w:bookmarkEnd w:id="9"/>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bookmarkStart w:id="10" w:name="_Toc138088052"/>
      <w:r>
        <w:rPr>
          <w:lang w:val="en-US"/>
        </w:rPr>
        <w:t>Impact</w:t>
      </w:r>
      <w:bookmarkEnd w:id="10"/>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bookmarkStart w:id="11" w:name="_Toc138088053"/>
      <w:r>
        <w:rPr>
          <w:lang w:val="en-US"/>
        </w:rPr>
        <w:t>Scope</w:t>
      </w:r>
      <w:bookmarkEnd w:id="11"/>
      <w:r>
        <w:rPr>
          <w:lang w:val="en-US"/>
        </w:rPr>
        <w:t xml:space="preserve"> </w:t>
      </w:r>
    </w:p>
    <w:p>
      <w:pPr>
        <w:pStyle w:val="Heading2"/>
        <w:rPr>
          <w:lang w:val="en-US"/>
        </w:rPr>
      </w:pPr>
      <w:bookmarkStart w:id="12" w:name="_Toc138088054"/>
      <w:r>
        <w:rPr>
          <w:lang w:val="en-US"/>
        </w:rPr>
        <w:t>Hosts analyzed</w:t>
      </w:r>
      <w:bookmarkEnd w:id="12"/>
      <w:r>
        <w:rPr>
          <w:lang w:val="en-US"/>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8"/>
        <w:gridCol w:w="2042"/>
        <w:gridCol w:w="1290"/>
        <w:gridCol w:w="3817"/>
      </w:tblGrid>
      <w:tr>
        <w:trPr/>
        <w:tc>
          <w:tcPr>
            <w:tcW w:w="3068"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49" w:type="dxa"/>
            <w:gridSpan w:val="3"/>
            <w:tcBorders/>
          </w:tcPr>
          <w:p>
            <w:pPr>
              <w:pStyle w:val="Normal"/>
              <w:widowControl w:val="false"/>
              <w:suppressAutoHyphens w:val="true"/>
              <w:spacing w:lineRule="auto" w:line="240" w:before="0" w:after="0"/>
              <w:rPr>
                <w:lang w:val="en-US"/>
              </w:rPr>
            </w:pPr>
            <w:r>
              <w:rPr>
                <w:rFonts w:eastAsia="" w:cs=""/>
                <w:kern w:val="0"/>
                <w:sz w:val="22"/>
                <w:szCs w:val="22"/>
                <w:lang w:val="en-US" w:eastAsia="en-US" w:bidi="ar-SA"/>
              </w:rPr>
              <w:t>{% colspan port_context_columns|count %}Information about the host</w:t>
            </w:r>
          </w:p>
        </w:tc>
      </w:tr>
      <w:tr>
        <w:trPr/>
        <w:tc>
          <w:tcPr>
            <w:tcW w:w="3068" w:type="dxa"/>
            <w:vMerge w:val="continue"/>
            <w:tcBorders/>
          </w:tcPr>
          <w:p>
            <w:pPr>
              <w:pStyle w:val="Normal"/>
              <w:widowControl w:val="false"/>
              <w:suppressAutoHyphens w:val="true"/>
              <w:spacing w:lineRule="auto" w:line="240" w:before="0" w:after="0"/>
              <w:rPr>
                <w:b/>
                <w:bCs/>
                <w:lang w:val="en-US"/>
              </w:rPr>
            </w:pPr>
            <w:r>
              <w:rPr>
                <w:b/>
                <w:bCs/>
                <w:sz w:val="22"/>
                <w:lang w:val="en-US"/>
              </w:rPr>
            </w:r>
          </w:p>
        </w:tc>
        <w:tc>
          <w:tcPr>
            <w:tcW w:w="2042"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for col in port_context_columns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rPr>
                <w:lang w:val="en-US"/>
              </w:rPr>
            </w:pPr>
            <w:r>
              <w:rPr>
                <w:rFonts w:eastAsia="" w:cs=""/>
                <w:b/>
                <w:bCs/>
                <w:kern w:val="0"/>
                <w:sz w:val="22"/>
                <w:szCs w:val="22"/>
                <w:lang w:val="en-US" w:eastAsia="en-US" w:bidi="ar-SA"/>
              </w:rPr>
              <w:t>{%tr for item in port_context_rows %}</w:t>
            </w:r>
          </w:p>
        </w:tc>
      </w:tr>
      <w:tr>
        <w:trPr/>
        <w:tc>
          <w:tcPr>
            <w:tcW w:w="3068" w:type="dxa"/>
            <w:tcBorders/>
            <w:vAlign w:val="center"/>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center"/>
              <w:rPr>
                <w:b/>
                <w:bCs/>
                <w:lang w:val="en-US"/>
              </w:rPr>
            </w:pPr>
            <w:r>
              <w:rPr>
                <w:rFonts w:eastAsia="" w:cs=""/>
                <w:b/>
                <w:bCs/>
                <w:kern w:val="0"/>
                <w:sz w:val="22"/>
                <w:szCs w:val="22"/>
                <w:lang w:val="en-US" w:eastAsia="en-US" w:bidi="ar-SA"/>
              </w:rPr>
              <w:t>{%tc for col in item.cols %}</w:t>
            </w:r>
          </w:p>
        </w:tc>
        <w:tc>
          <w:tcPr>
            <w:tcW w:w="1290"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lang w:val="en-US"/>
              </w:rPr>
            </w:pPr>
            <w:r>
              <w:rPr>
                <w:rFonts w:eastAsia="" w:cs=""/>
                <w:b/>
                <w:bCs/>
                <w:kern w:val="0"/>
                <w:sz w:val="22"/>
                <w:szCs w:val="22"/>
                <w:lang w:val="en-US" w:eastAsia="en-US" w:bidi="ar-SA"/>
              </w:rPr>
              <w:t>{%tr endfor %}</w:t>
            </w:r>
          </w:p>
        </w:tc>
      </w:tr>
    </w:tbl>
    <w:p>
      <w:pPr>
        <w:pStyle w:val="Normal"/>
        <w:rPr>
          <w:lang w:val="en-US"/>
        </w:rPr>
      </w:pPr>
      <w:r>
        <w:rPr>
          <w:lang w:val="en-US"/>
        </w:rPr>
      </w:r>
    </w:p>
    <w:p>
      <w:pPr>
        <w:pStyle w:val="Heading2"/>
        <w:rPr>
          <w:lang w:val="en-US"/>
        </w:rPr>
      </w:pPr>
      <w:bookmarkStart w:id="13" w:name="_Toc138088055"/>
      <w:r>
        <w:rPr>
          <w:lang w:val="en-US"/>
        </w:rPr>
        <w:t>Scope Exclusions</w:t>
      </w:r>
      <w:bookmarkEnd w:id="13"/>
    </w:p>
    <w:p>
      <w:pPr>
        <w:pStyle w:val="Normal"/>
        <w:rPr>
          <w:lang w:val="en-US"/>
        </w:rPr>
      </w:pPr>
      <w:r>
        <w:rPr>
          <w:lang w:val="en-US"/>
        </w:rPr>
        <w:t xml:space="preserve">Per client request, {{ team_abbreviature }} did not perform any of the following attacks during testing: </w:t>
      </w:r>
    </w:p>
    <w:p>
      <w:pPr>
        <w:pStyle w:val="ListParagraph"/>
        <w:numPr>
          <w:ilvl w:val="0"/>
          <w:numId w:val="2"/>
        </w:numPr>
        <w:rPr>
          <w:lang w:val="en-US"/>
        </w:rPr>
      </w:pPr>
      <w:r>
        <w:rPr>
          <w:lang w:val="en-US"/>
        </w:rPr>
        <w:t>Denial of service (DoS)</w:t>
      </w:r>
    </w:p>
    <w:p>
      <w:pPr>
        <w:pStyle w:val="ListParagraph"/>
        <w:numPr>
          <w:ilvl w:val="0"/>
          <w:numId w:val="2"/>
        </w:numPr>
        <w:rPr>
          <w:lang w:val="en-US"/>
        </w:rPr>
      </w:pPr>
      <w:r>
        <w:rPr>
          <w:lang w:val="en-US"/>
        </w:rPr>
        <w:t>Phishing/Social Engineering</w:t>
      </w:r>
    </w:p>
    <w:p>
      <w:pPr>
        <w:pStyle w:val="Normal"/>
        <w:rPr>
          <w:lang w:val="en-US"/>
        </w:rPr>
      </w:pPr>
      <w:r>
        <w:rPr>
          <w:lang w:val="en-US"/>
        </w:rPr>
        <w:t>All other attacks not specified above were permitted by  {{ corp_name }}.</w:t>
      </w:r>
    </w:p>
    <w:p>
      <w:pPr>
        <w:pStyle w:val="Normal"/>
        <w:rPr>
          <w:lang w:val="en-US"/>
        </w:rPr>
      </w:pPr>
      <w:r>
        <w:rPr>
          <w:lang w:val="en-US"/>
        </w:rPr>
      </w:r>
    </w:p>
    <w:p>
      <w:pPr>
        <w:pStyle w:val="Heading2"/>
        <w:rPr>
          <w:lang w:val="en-US"/>
        </w:rPr>
      </w:pPr>
      <w:bookmarkStart w:id="14" w:name="_Toc138088056"/>
      <w:r>
        <w:rPr>
          <w:lang w:val="en-US"/>
        </w:rPr>
        <w:t>Client Allowances</w:t>
      </w:r>
      <w:bookmarkEnd w:id="14"/>
    </w:p>
    <w:p>
      <w:pPr>
        <w:pStyle w:val="Normal"/>
        <w:rPr>
          <w:lang w:val="en-US"/>
        </w:rPr>
      </w:pPr>
      <w:r>
        <w:rPr>
          <w:lang w:val="en-US"/>
        </w:rPr>
        <w:t>{{ corp_name }} provided {{ team_abbreviature }} the following allowances:</w:t>
      </w:r>
    </w:p>
    <w:p>
      <w:pPr>
        <w:pStyle w:val="ListParagraph"/>
        <w:numPr>
          <w:ilvl w:val="0"/>
          <w:numId w:val="3"/>
        </w:numPr>
        <w:rPr>
          <w:lang w:val="en-US"/>
        </w:rPr>
      </w:pPr>
      <w:r>
        <w:rPr>
          <w:lang w:val="en-US"/>
        </w:rPr>
        <w:t xml:space="preserve">Internal access to network via </w:t>
      </w:r>
      <w:commentRangeStart w:id="0"/>
      <w:r>
        <w:rPr>
          <w:lang w:val="en-US"/>
        </w:rPr>
        <w:t>TBD</w:t>
      </w:r>
      <w:r>
        <w:rPr>
          <w:lang w:val="en-US"/>
        </w:rPr>
      </w:r>
      <w:commentRangeEnd w:id="0"/>
      <w:r>
        <w:commentReference w:id="0"/>
      </w:r>
      <w:r>
        <w:rPr>
          <w:lang w:val="en-US"/>
        </w:rPr>
        <w:t>.</w:t>
      </w:r>
    </w:p>
    <w:p>
      <w:pPr>
        <w:pStyle w:val="Normal"/>
        <w:spacing w:lineRule="auto" w:line="240" w:before="0" w:after="0"/>
        <w:jc w:val="left"/>
        <w:rPr>
          <w:lang w:val="en-US"/>
        </w:rPr>
      </w:pPr>
      <w:r>
        <w:rPr>
          <w:lang w:val="en-US"/>
        </w:rPr>
      </w:r>
      <w:r>
        <w:br w:type="page"/>
      </w:r>
    </w:p>
    <w:p>
      <w:pPr>
        <w:pStyle w:val="Heading1"/>
        <w:rPr>
          <w:lang w:val="en-US"/>
        </w:rPr>
      </w:pPr>
      <w:bookmarkStart w:id="15" w:name="_Toc138088057"/>
      <w:r>
        <w:rPr>
          <w:lang w:val="en-US"/>
        </w:rPr>
        <w:t>Executive summary</w:t>
      </w:r>
      <w:bookmarkEnd w:id="15"/>
    </w:p>
    <w:p>
      <w:pPr>
        <w:pStyle w:val="Normal"/>
        <w:rPr>
          <w:lang w:val="en-US"/>
        </w:rPr>
      </w:pPr>
      <w:r>
        <w:rPr>
          <w:lang w:val="en-US"/>
        </w:rPr>
        <w:t>{{ team_abbreviature }} evaluated {{ corp_name }}’s internal security posture through penetration testing from {{ start_date }} to {{ project_date }}. The following sections provide a high-level overview of vulnerabilities discovered, successful and unsuccessful attempts, and strengths and weaknesses.</w:t>
      </w:r>
    </w:p>
    <w:p>
      <w:pPr>
        <w:pStyle w:val="Normal"/>
        <w:rPr>
          <w:lang w:val="en-US"/>
        </w:rPr>
      </w:pPr>
      <w:r>
        <w:rPr>
          <w:lang w:val="en-US"/>
        </w:rPr>
      </w:r>
    </w:p>
    <w:p>
      <w:pPr>
        <w:pStyle w:val="Normal"/>
        <w:jc w:val="left"/>
        <w:rPr/>
      </w:pPr>
      <w:r>
        <w:rPr/>
        <w:t>{{ executive_summary }}</w:t>
      </w:r>
    </w:p>
    <w:p>
      <w:pPr>
        <w:pStyle w:val="Heading2"/>
        <w:rPr>
          <w:lang w:val="en-US"/>
        </w:rPr>
      </w:pPr>
      <w:bookmarkStart w:id="16" w:name="_Toc138088058"/>
      <w:r>
        <w:rPr>
          <w:lang w:val="en-US"/>
        </w:rPr>
        <w:t>Scoping and time limitations</w:t>
      </w:r>
      <w:bookmarkEnd w:id="16"/>
    </w:p>
    <w:p>
      <w:pPr>
        <w:pStyle w:val="Normal"/>
        <w:rPr>
          <w:lang w:val="en-US"/>
        </w:rPr>
      </w:pPr>
      <w:r>
        <w:rPr>
          <w:lang w:val="en-US"/>
        </w:rPr>
        <w:t>Scoping during the engagement did not permit denial of service or social engineering across all testing components.</w:t>
      </w:r>
    </w:p>
    <w:p>
      <w:pPr>
        <w:pStyle w:val="Normal"/>
        <w:rPr>
          <w:lang w:val="en-US"/>
        </w:rPr>
      </w:pPr>
      <w:r>
        <w:rPr>
          <w:lang w:val="en-US"/>
        </w:rPr>
        <w:t>Time limitations were in place for testing. Internal network penetration testing was permitted for {{ scope_ptt_days }} days.</w:t>
      </w:r>
    </w:p>
    <w:p>
      <w:pPr>
        <w:pStyle w:val="Heading2"/>
        <w:rPr>
          <w:lang w:val="en-US"/>
        </w:rPr>
      </w:pPr>
      <w:bookmarkStart w:id="17" w:name="_Toc138088059"/>
      <w:r>
        <w:rPr>
          <w:lang w:val="en-US"/>
        </w:rPr>
        <w:t>Testing summary</w:t>
      </w:r>
      <w:bookmarkEnd w:id="17"/>
    </w:p>
    <w:p>
      <w:pPr>
        <w:pStyle w:val="Normal"/>
        <w:rPr>
          <w:lang w:val="en-US"/>
        </w:rPr>
      </w:pPr>
      <w:r>
        <w:rPr>
          <w:lang w:val="en-US"/>
        </w:rPr>
        <w:t>he network assessment evaluated {{ corp_name }}’s internal security posture. From an internal perspective, the {{ team_abbreviature }} performed vulnerability scanning against the IP addresses provided by {{ corp_name }} to evaluate the overall patching health of the network.</w:t>
      </w:r>
    </w:p>
    <w:p>
      <w:pPr>
        <w:pStyle w:val="Normal"/>
        <w:rPr>
          <w:lang w:val="en-US"/>
        </w:rPr>
      </w:pPr>
      <w:r>
        <w:rPr>
          <w:lang w:val="en-US"/>
        </w:rPr>
        <w:t>TBD</w:t>
      </w:r>
    </w:p>
    <w:p>
      <w:pPr>
        <w:pStyle w:val="Normal"/>
        <w:rPr>
          <w:lang w:val="en-US"/>
        </w:rPr>
      </w:pPr>
      <w:r>
        <w:rPr>
          <w:lang w:val="en-US"/>
        </w:rPr>
      </w:r>
    </w:p>
    <w:p>
      <w:pPr>
        <w:pStyle w:val="Heading2"/>
        <w:rPr>
          <w:lang w:val="en-US"/>
        </w:rPr>
      </w:pPr>
      <w:bookmarkStart w:id="18" w:name="_Toc138088060"/>
      <w:r>
        <w:rPr>
          <w:lang w:val="en-US"/>
        </w:rPr>
        <w:t>Tester Notes and Recommendations</w:t>
      </w:r>
      <w:bookmarkEnd w:id="18"/>
    </w:p>
    <w:p>
      <w:pPr>
        <w:pStyle w:val="Normal"/>
        <w:rPr>
          <w:lang w:val="en-US"/>
        </w:rPr>
      </w:pPr>
      <w:r>
        <w:rPr>
          <w:lang w:val="en-US"/>
        </w:rPr>
        <w:t>TBD overall security (good/regular/bad).</w:t>
      </w:r>
    </w:p>
    <w:p>
      <w:pPr>
        <w:pStyle w:val="Normal"/>
        <w:rPr>
          <w:lang w:val="en-US"/>
        </w:rPr>
      </w:pPr>
      <w:r>
        <w:rPr>
          <w:lang w:val="en-US"/>
        </w:rPr>
        <w:t>TBD constants that stood out in the process</w:t>
      </w:r>
    </w:p>
    <w:p>
      <w:pPr>
        <w:pStyle w:val="Normal"/>
        <w:rPr>
          <w:lang w:val="en-US"/>
        </w:rPr>
      </w:pPr>
      <w:r>
        <w:rPr>
          <w:lang w:val="en-US"/>
        </w:rPr>
        <w:t>TBD reccomendations.</w:t>
      </w:r>
    </w:p>
    <w:p>
      <w:pPr>
        <w:pStyle w:val="Normal"/>
        <w:rPr>
          <w:lang w:val="en-US"/>
        </w:rPr>
      </w:pPr>
      <w:r>
        <w:rPr>
          <w:lang w:val="en-US"/>
        </w:rPr>
      </w:r>
    </w:p>
    <w:p>
      <w:pPr>
        <w:pStyle w:val="Normal"/>
        <w:rPr>
          <w:lang w:val="en-US"/>
        </w:rPr>
      </w:pPr>
      <w:r>
        <w:rPr>
          <w:lang w:val="en-US"/>
        </w:rPr>
        <w:t>We recommend that the {{ corp_name }}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lang w:val="en-US"/>
        </w:rPr>
      </w:pPr>
      <w:r>
        <w:rPr>
          <w:lang w:val="en-US"/>
        </w:rPr>
        <w:t>TBD alerts triggered.</w:t>
      </w:r>
    </w:p>
    <w:p>
      <w:pPr>
        <w:pStyle w:val="Normal"/>
        <w:rPr>
          <w:b/>
          <w:bCs/>
          <w:lang w:val="en-US"/>
        </w:rPr>
      </w:pPr>
      <w:r>
        <w:rPr>
          <w:lang w:val="en-US"/>
        </w:rPr>
        <w:t xml:space="preserve">Overall, the {{ corp_name }} network performed as expected for the penetration test. </w:t>
      </w:r>
      <w:r>
        <w:rPr>
          <w:b/>
          <w:bCs/>
          <w:lang w:val="en-US"/>
        </w:rPr>
        <w:t>We recommend that the {{ corp_name }} team thoroughly review the recommendations made in this report, patch the findings, and re-test annually to improve their overall security posture.</w:t>
      </w:r>
    </w:p>
    <w:p>
      <w:pPr>
        <w:pStyle w:val="Normal"/>
        <w:spacing w:lineRule="auto" w:line="240" w:before="0" w:after="0"/>
        <w:jc w:val="left"/>
        <w:rPr>
          <w:b/>
          <w:bCs/>
          <w:u w:val="single"/>
          <w:lang w:val="en-US"/>
        </w:rPr>
      </w:pPr>
      <w:r>
        <w:rPr>
          <w:b/>
          <w:bCs/>
          <w:u w:val="single"/>
          <w:lang w:val="en-US"/>
        </w:rPr>
      </w:r>
    </w:p>
    <w:p>
      <w:pPr>
        <w:pStyle w:val="Normal"/>
        <w:spacing w:lineRule="auto" w:line="240" w:before="0" w:after="0"/>
        <w:jc w:val="left"/>
        <w:rPr>
          <w:lang w:val="en-US"/>
        </w:rPr>
      </w:pPr>
      <w:r>
        <w:rPr>
          <w:lang w:val="en-US"/>
        </w:rPr>
      </w:r>
      <w:r>
        <w:br w:type="page"/>
      </w:r>
    </w:p>
    <w:p>
      <w:pPr>
        <w:pStyle w:val="Heading1"/>
        <w:rPr>
          <w:lang w:val="en-US"/>
        </w:rPr>
      </w:pPr>
      <w:bookmarkStart w:id="19" w:name="_Toc138088061"/>
      <w:r>
        <w:rPr>
          <w:lang w:val="en-US"/>
        </w:rPr>
        <w:t>Vulnerability summary &amp; report card</w:t>
      </w:r>
      <w:bookmarkEnd w:id="19"/>
    </w:p>
    <w:p>
      <w:pPr>
        <w:pStyle w:val="Normal"/>
        <w:rPr>
          <w:lang w:val="en-US"/>
        </w:rPr>
      </w:pPr>
      <w:r>
        <w:rPr>
          <w:lang w:val="en-US"/>
        </w:rPr>
        <w:t>The following tables illustrate the vulnerabilities found by impact and recommended remediations:</w:t>
      </w:r>
    </w:p>
    <w:p>
      <w:pPr>
        <w:pStyle w:val="Normal"/>
        <w:rPr>
          <w:lang w:val="en-US"/>
        </w:rPr>
      </w:pPr>
      <w:r>
        <w:rPr>
          <w:lang w:val="en-US"/>
        </w:rPr>
      </w:r>
    </w:p>
    <w:p>
      <w:pPr>
        <w:pStyle w:val="Heading2"/>
        <w:rPr>
          <w:lang w:val="en-US"/>
        </w:rPr>
      </w:pPr>
      <w:bookmarkStart w:id="20" w:name="_Toc138088062"/>
      <w:r>
        <w:rPr>
          <w:lang w:val="en-US"/>
        </w:rPr>
        <w:t>Internal Penetration Test Findings</w:t>
      </w:r>
      <w:bookmarkEnd w:id="20"/>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critical_vulns }}</w:t>
            </w:r>
          </w:p>
        </w:tc>
        <w:tc>
          <w:tcPr>
            <w:tcW w:w="2065" w:type="dxa"/>
            <w:tcBorders/>
            <w:shd w:color="auto" w:fill="FF00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high_vulns }}</w:t>
            </w:r>
          </w:p>
        </w:tc>
        <w:tc>
          <w:tcPr>
            <w:tcW w:w="2071" w:type="dxa"/>
            <w:tcBorders/>
            <w:shd w:color="auto" w:fill="FFFF0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moderate_vulns }}</w:t>
            </w:r>
          </w:p>
        </w:tc>
        <w:tc>
          <w:tcPr>
            <w:tcW w:w="2065" w:type="dxa"/>
            <w:tcBorders/>
            <w:shd w:color="auto" w:fill="00B05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low_vulns }}</w:t>
            </w:r>
          </w:p>
        </w:tc>
        <w:tc>
          <w:tcPr>
            <w:tcW w:w="2176" w:type="dxa"/>
            <w:tcBorders/>
            <w:shd w:color="auto" w:fill="00B0F0" w:val="clear"/>
            <w:vAlign w:val="center"/>
          </w:tcPr>
          <w:p>
            <w:pPr>
              <w:pStyle w:val="Normal"/>
              <w:widowControl w:val="false"/>
              <w:suppressAutoHyphens w:val="true"/>
              <w:spacing w:before="0" w:after="160"/>
              <w:jc w:val="center"/>
              <w:rPr>
                <w:sz w:val="24"/>
                <w:szCs w:val="24"/>
                <w:lang w:val="en-US"/>
              </w:rPr>
            </w:pPr>
            <w:r>
              <w:rPr>
                <w:rFonts w:eastAsia="" w:cs=""/>
                <w:kern w:val="0"/>
                <w:sz w:val="24"/>
                <w:szCs w:val="24"/>
                <w:lang w:val="en-US" w:eastAsia="en-US" w:bidi="ar-SA"/>
              </w:rPr>
              <w:t>{{ informational_vulns }}</w:t>
            </w:r>
          </w:p>
        </w:tc>
      </w:tr>
      <w:tr>
        <w:trPr/>
        <w:tc>
          <w:tcPr>
            <w:tcW w:w="2068"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Critical</w:t>
            </w:r>
          </w:p>
        </w:tc>
        <w:tc>
          <w:tcPr>
            <w:tcW w:w="2065"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High</w:t>
            </w:r>
          </w:p>
        </w:tc>
        <w:tc>
          <w:tcPr>
            <w:tcW w:w="2071"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Moderate</w:t>
            </w:r>
          </w:p>
        </w:tc>
        <w:tc>
          <w:tcPr>
            <w:tcW w:w="2065"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Low</w:t>
            </w:r>
          </w:p>
        </w:tc>
        <w:tc>
          <w:tcPr>
            <w:tcW w:w="2176" w:type="dxa"/>
            <w:tcBorders/>
            <w:vAlign w:val="center"/>
          </w:tcPr>
          <w:p>
            <w:pPr>
              <w:pStyle w:val="Normal"/>
              <w:widowControl w:val="false"/>
              <w:suppressAutoHyphens w:val="true"/>
              <w:spacing w:before="0" w:after="160"/>
              <w:jc w:val="center"/>
              <w:rPr>
                <w:lang w:val="en-US"/>
              </w:rPr>
            </w:pPr>
            <w:r>
              <w:rPr>
                <w:rFonts w:eastAsia="" w:cs=""/>
                <w:kern w:val="0"/>
                <w:sz w:val="22"/>
                <w:szCs w:val="22"/>
                <w:lang w:val="en-US" w:eastAsia="en-US" w:bidi="ar-SA"/>
              </w:rPr>
              <w:t>Informational</w:t>
            </w:r>
          </w:p>
        </w:tc>
      </w:tr>
    </w:tbl>
    <w:p>
      <w:pPr>
        <w:pStyle w:val="Normal"/>
        <w:rPr>
          <w:lang w:val="en-US"/>
        </w:rPr>
      </w:pPr>
      <w:r>
        <w:rPr>
          <w:lang w:val="en-US"/>
        </w:rPr>
      </w:r>
    </w:p>
    <w:p>
      <w:pPr>
        <w:pStyle w:val="Normal"/>
        <w:spacing w:lineRule="auto" w:line="240" w:before="0" w:after="0"/>
        <w:jc w:val="left"/>
        <w:rPr>
          <w:lang w:val="en-US"/>
        </w:rPr>
      </w:pPr>
      <w:r>
        <w:rPr>
          <w:lang w:val="en-US"/>
        </w:rPr>
      </w:r>
      <w:r>
        <w:br w:type="page"/>
      </w:r>
    </w:p>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lang w:val="en-US"/>
      </w:rPr>
    </w:pPr>
    <w:r>
      <w:rPr>
        <w:rFonts w:eastAsia="Calibri" w:cs="DejaVu Sans"/>
        <w:color w:val="000000"/>
        <w:sz w:val="24"/>
        <w:szCs w:val="24"/>
        <w:lang w:val="en-US"/>
      </w:rPr>
      <w:t>Made for {{ corp_name }}</w:t>
    </w:r>
  </w:p>
  <w:p>
    <w:pPr>
      <w:pStyle w:val="FrameContents"/>
      <w:jc w:val="center"/>
      <w:rPr>
        <w:rFonts w:ascii="Calibri" w:hAnsi="Calibri" w:eastAsia="Calibri" w:cs="DejaVu Sans"/>
        <w:sz w:val="24"/>
        <w:szCs w:val="24"/>
        <w:lang w:val="en-US"/>
      </w:rPr>
    </w:pPr>
    <w:r>
      <w:rPr>
        <w:rFonts w:eastAsia="Calibri" w:cs="DejaVu Sans"/>
        <w:color w:val="000000"/>
        <w:sz w:val="24"/>
        <w:szCs w:val="24"/>
        <w:lang w:val="en-US"/>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438136170"/>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10</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center" w:pos="4252" w:leader="none"/>
        <w:tab w:val="left" w:pos="7920" w:leader="none"/>
      </w:tabs>
      <w:spacing w:before="0" w:after="160"/>
      <w:jc w:val="center"/>
      <w:rPr>
        <w:lang w:val="en-US"/>
      </w:rPr>
    </w:pPr>
    <w:r>
      <w:drawing>
        <wp:anchor behindDoc="1" distT="0" distB="0" distL="0" distR="0" simplePos="0" locked="0" layoutInCell="0" allowOverlap="1" relativeHeight="11">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1">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lang w:val="en-US"/>
      </w:rPr>
      <w:t>{{ corp_name }}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Application>LibreOffice/7.5.5.2$Linux_X86_64 LibreOffice_project/50$Build-2</Application>
  <AppVersion>15.0000</AppVersion>
  <Pages>10</Pages>
  <Words>1149</Words>
  <Characters>6799</Characters>
  <CharactersWithSpaces>7812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2023-08-13T12:02:48Z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