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0F4761"/>
          <w:sz w:val="22"/>
          <w:szCs w:val="22"/>
        </w:rPr>
        <w:t xml:space="preserve">Marco estratégico de la transición energética y el Mercado de energía</w:t>
      </w:r>
    </w:p>
    <w:p>
      <w:pPr>
        <w:spacing w:after="60"/>
        <w:jc w:val="center"/>
      </w:pPr>
      <w:r>
        <w:rPr>
          <w:b/>
          <w:bCs/>
          <w:color w:val="0F4761"/>
          <w:sz w:val="26"/>
          <w:szCs w:val="26"/>
        </w:rPr>
        <w:t xml:space="preserve">Taller Módulo 1: Planeación de Sistemas de Potencia en Entornos de Transición</w:t>
      </w:r>
    </w:p>
    <w:p>
      <w:pPr>
        <w:pBdr>
          <w:bottom w:val="single" w:color="0F4761" w:sz="6" w:space="8"/>
        </w:pBdr>
        <w:spacing w:after="320"/>
        <w:jc w:val="center"/>
      </w:pPr>
      <w:r>
        <w:rPr>
          <w:sz w:val="22"/>
          <w:szCs w:val="22"/>
        </w:rPr>
        <w:t xml:space="preserve">Punto 4. Topologías de plantas hidráulicas (TPH)</w:t>
      </w:r>
    </w:p>
    <w:p>
      <w:pPr>
        <w:pStyle w:val="Heading1"/>
      </w:pPr>
      <w:r>
        <w:t xml:space="preserve">1. Enunciado</w:t>
      </w:r>
    </w:p>
    <w:p>
      <w:pPr>
        <w:spacing w:after="140" w:line="300"/>
        <w:jc w:val="both"/>
      </w:pPr>
      <w:r>
        <w:t xml:space="preserve">Para cada una de las topologías presentadas, y sus datos relacionados, calcular los aportes y vertimientos en GWh/día, así como las reservas en GW.</w:t>
      </w:r>
    </w:p>
    <w:p>
      <w:pPr>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sz w:val="18"/>
          <w:szCs w:val="18"/>
        </w:rPr>
        <w:t xml:space="preserve">Figura 1. Topologías de plantas hidráulicas consideradas (TPH 1 a la izquierda, TPH 2 a la derecha).</w:t>
      </w:r>
    </w:p>
    <w:p>
      <w:pPr>
        <w:pStyle w:val="Heading1"/>
      </w:pPr>
      <w:r>
        <w:t xml:space="preserve">2. Metodología</w:t>
      </w:r>
    </w:p>
    <w:p>
      <w:pPr>
        <w:spacing w:after="140" w:line="300"/>
        <w:jc w:val="both"/>
      </w:pPr>
      <w:r>
        <w:t xml:space="preserve">Para cuantificar la energía asociada al recurso hídrico de cada topología se sigue el procedimiento presentado en clase (Topologías Hidráulicas, Cuantificación de la Energía en los embalses). El punto de partida es el factor de conversión de cada unidad de generación, que expresa cuánta potencia eléctrica se obtiene por cada metro cúbico por segundo turbinado. A partir de él se obtiene la equivalencia energética del volumen almacenado:</w:t>
      </w:r>
    </w:p>
    <w:p>
      <w:pPr>
        <w:spacing w:after="120" w:before="120"/>
        <w:jc w:val="center"/>
      </w:pPr>
      <m:oMathPara>
        <m:oMath>
          <m:r>
            <m:rPr>
              <m:sty m:val="p"/>
            </m:rPr>
            <m:t xml:space="preserve">1 </m:t>
          </m:r>
          <m:f>
            <m:num>
              <m:r>
                <m:rPr>
                  <m:sty m:val="p"/>
                </m:rPr>
                <m:t xml:space="preserve">MW</m:t>
              </m:r>
            </m:num>
            <m:den>
              <m:sSup>
                <m:sSupPr/>
                <m:e>
                  <m:r>
                    <m:t>m</m:t>
                  </m:r>
                </m:e>
                <m:sup>
                  <m:r>
                    <m:rPr>
                      <m:sty m:val="p"/>
                    </m:rPr>
                    <m:t xml:space="preserve">3</m:t>
                  </m:r>
                </m:sup>
              </m:sSup>
              <m:r>
                <m:rPr>
                  <m:sty m:val="p"/>
                </m:rPr>
                <m:t xml:space="preserve">/s</m:t>
              </m:r>
            </m:den>
          </m:f>
          <m:r>
            <m:rPr>
              <m:sty m:val="p"/>
            </m:rPr>
            <m:t xml:space="preserve">=</m:t>
          </m:r>
          <m:f>
            <m:num>
              <m:r>
                <m:rPr>
                  <m:sty m:val="p"/>
                </m:rPr>
                <m:t xml:space="preserve">1</m:t>
              </m:r>
            </m:num>
            <m:den>
              <m:r>
                <m:rPr>
                  <m:sty m:val="p"/>
                </m:rPr>
                <m:t xml:space="preserve">3.6</m:t>
              </m:r>
            </m:den>
          </m:f>
          <m:r>
            <m:rPr>
              <m:sty m:val="p"/>
            </m:rPr>
            <m:t xml:space="preserve"> </m:t>
          </m:r>
          <m:f>
            <m:num>
              <m:r>
                <m:rPr>
                  <m:sty m:val="p"/>
                </m:rPr>
                <m:t xml:space="preserve">GWh</m:t>
              </m:r>
            </m:num>
            <m:den>
              <m:sSup>
                <m:sSupPr/>
                <m:e>
                  <m:r>
                    <m:rPr>
                      <m:sty m:val="p"/>
                    </m:rPr>
                    <m:t xml:space="preserve">Mm</m:t>
                  </m:r>
                </m:e>
                <m:sup>
                  <m:r>
                    <m:rPr>
                      <m:sty m:val="p"/>
                    </m:rPr>
                    <m:t xml:space="preserve">3</m:t>
                  </m:r>
                </m:sup>
              </m:sSup>
            </m:den>
          </m:f>
        </m:oMath>
      </m:oMathPara>
    </w:p>
    <w:p>
      <w:pPr>
        <w:spacing w:after="140" w:line="300"/>
        <w:jc w:val="both"/>
      </w:pPr>
      <w:r>
        <w:t xml:space="preserve">Cuando un embalse alimenta varias unidades dispuestas en cadena, el agua que sale del embalse pasa sucesivamente por todas ellas. Por esta razón, el factor que convierte el agua del embalse en energía es la suma de los factores de conversión de las unidades aguas abajo:</w:t>
      </w:r>
    </w:p>
    <w:p>
      <w:pPr>
        <w:spacing w:after="120" w:before="120"/>
        <w:jc w:val="center"/>
      </w:pPr>
      <m:oMathPara>
        <m:oMath>
          <m:r>
            <m:rPr>
              <m:sty m:val="p"/>
            </m:rPr>
            <m:t xml:space="preserve">Σ</m:t>
          </m:r>
          <m:r>
            <m:t>Fc</m:t>
          </m:r>
          <m:r>
            <m:rPr>
              <m:sty m:val="p"/>
            </m:rPr>
            <m:t xml:space="preserve">=</m:t>
          </m:r>
          <m:sSub>
            <m:sSubPr/>
            <m:e>
              <m:r>
                <m:t>Fc</m:t>
              </m:r>
            </m:e>
            <m:sub>
              <m:r>
                <m:rPr>
                  <m:sty m:val="p"/>
                </m:rPr>
                <m:t xml:space="preserve">1</m:t>
              </m:r>
            </m:sub>
          </m:sSub>
          <m:r>
            <m:rPr>
              <m:sty m:val="p"/>
            </m:rPr>
            <m:t xml:space="preserve">+</m:t>
          </m:r>
          <m:sSub>
            <m:sSubPr/>
            <m:e>
              <m:r>
                <m:t>Fc</m:t>
              </m:r>
            </m:e>
            <m:sub>
              <m:r>
                <m:rPr>
                  <m:sty m:val="p"/>
                </m:rPr>
                <m:t xml:space="preserve">2</m:t>
              </m:r>
            </m:sub>
          </m:sSub>
          <m:r>
            <m:rPr>
              <m:sty m:val="p"/>
            </m:rPr>
            <m:t xml:space="preserve">+…+</m:t>
          </m:r>
          <m:sSub>
            <m:sSubPr/>
            <m:e>
              <m:r>
                <m:t>Fc</m:t>
              </m:r>
            </m:e>
            <m:sub>
              <m:r>
                <m:t>n</m:t>
              </m:r>
            </m:sub>
          </m:sSub>
        </m:oMath>
      </m:oMathPara>
    </w:p>
    <w:p>
      <w:pPr>
        <w:spacing w:after="140" w:line="300"/>
        <w:jc w:val="both"/>
      </w:pPr>
      <w:r>
        <w:t xml:space="preserve">Con este factor acumulado se calculan las tres magnitudes solicitadas. Los aportes corresponden al caudal afluente convertido en energía durante las 24 horas del día; el factor 1/1000 lleva el resultado de MWh a GWh:</w:t>
      </w:r>
    </w:p>
    <w:p>
      <w:pPr>
        <w:spacing w:after="120" w:before="120"/>
        <w:jc w:val="center"/>
      </w:pPr>
      <m:oMathPara>
        <m:oMath>
          <m:r>
            <m:rPr>
              <m:sty m:val="p"/>
            </m:rPr>
            <m:t xml:space="preserve">Aportes</m:t>
          </m:r>
          <m:r>
            <m:rPr>
              <m:sty m:val="p"/>
            </m:rPr>
            <m:t xml:space="preserve">=</m:t>
          </m:r>
          <m:r>
            <m:t>Q</m:t>
          </m:r>
          <m:r>
            <m:rPr>
              <m:sty m:val="p"/>
            </m:rPr>
            <m:t xml:space="preserve">·Σ</m:t>
          </m:r>
          <m:r>
            <m:t>Fc</m:t>
          </m:r>
          <m:r>
            <m:rPr>
              <m:sty m:val="p"/>
            </m:rPr>
            <m:t xml:space="preserve">·</m:t>
          </m:r>
          <m:f>
            <m:num>
              <m:r>
                <m:rPr>
                  <m:sty m:val="p"/>
                </m:rPr>
                <m:t xml:space="preserve">24</m:t>
              </m:r>
            </m:num>
            <m:den>
              <m:r>
                <m:rPr>
                  <m:sty m:val="p"/>
                </m:rPr>
                <m:t xml:space="preserve">1000</m:t>
              </m:r>
            </m:den>
          </m:f>
          <m:r>
            <m:rPr>
              <m:sty m:val="p"/>
            </m:rPr>
            <m:t xml:space="preserve">  [</m:t>
          </m:r>
          <m:f>
            <m:num>
              <m:r>
                <m:rPr>
                  <m:sty m:val="p"/>
                </m:rPr>
                <m:t xml:space="preserve">GWh</m:t>
              </m:r>
            </m:num>
            <m:den>
              <m:r>
                <m:rPr>
                  <m:sty m:val="p"/>
                </m:rPr>
                <m:t xml:space="preserve">día</m:t>
              </m:r>
            </m:den>
          </m:f>
          <m:r>
            <m:rPr>
              <m:sty m:val="p"/>
            </m:rPr>
            <m:t xml:space="preserve">]</m:t>
          </m:r>
        </m:oMath>
      </m:oMathPara>
    </w:p>
    <w:p>
      <w:pPr>
        <w:spacing w:after="140" w:line="300"/>
        <w:jc w:val="both"/>
      </w:pPr>
      <w:r>
        <w:t xml:space="preserve">El vertimiento y las reservas se obtienen aplicando la equivalencia energética del volumen al volumen vertido y al volumen útil almacenado, respectivamente:</w:t>
      </w:r>
    </w:p>
    <w:p>
      <w:pPr>
        <w:spacing w:after="120" w:before="120"/>
        <w:jc w:val="center"/>
      </w:pPr>
      <m:oMathPara>
        <m:oMath>
          <m:r>
            <m:rPr>
              <m:sty m:val="p"/>
            </m:rPr>
            <m:t xml:space="preserve">Vertimiento</m:t>
          </m:r>
          <m:r>
            <m:rPr>
              <m:sty m:val="p"/>
            </m:rPr>
            <m:t xml:space="preserve">=</m:t>
          </m:r>
          <m:r>
            <m:t>Vert</m:t>
          </m:r>
          <m:r>
            <m:rPr>
              <m:sty m:val="p"/>
            </m:rPr>
            <m:t xml:space="preserve">·Σ</m:t>
          </m:r>
          <m:r>
            <m:t>Fc</m:t>
          </m:r>
          <m:r>
            <m:rPr>
              <m:sty m:val="p"/>
            </m:rPr>
            <m:t xml:space="preserve">·</m:t>
          </m:r>
          <m:f>
            <m:num>
              <m:r>
                <m:rPr>
                  <m:sty m:val="p"/>
                </m:rPr>
                <m:t xml:space="preserve">1</m:t>
              </m:r>
            </m:num>
            <m:den>
              <m:r>
                <m:rPr>
                  <m:sty m:val="p"/>
                </m:rPr>
                <m:t xml:space="preserve">3.6</m:t>
              </m:r>
            </m:den>
          </m:f>
          <m:r>
            <m:rPr>
              <m:sty m:val="p"/>
            </m:rPr>
            <m:t xml:space="preserve">  [</m:t>
          </m:r>
          <m:f>
            <m:num>
              <m:r>
                <m:rPr>
                  <m:sty m:val="p"/>
                </m:rPr>
                <m:t xml:space="preserve">GWh</m:t>
              </m:r>
            </m:num>
            <m:den>
              <m:r>
                <m:rPr>
                  <m:sty m:val="p"/>
                </m:rPr>
                <m:t xml:space="preserve">día</m:t>
              </m:r>
            </m:den>
          </m:f>
          <m:r>
            <m:rPr>
              <m:sty m:val="p"/>
            </m:rPr>
            <m:t xml:space="preserve">]</m:t>
          </m:r>
        </m:oMath>
      </m:oMathPara>
    </w:p>
    <w:p>
      <w:pPr>
        <w:spacing w:after="120" w:before="120"/>
        <w:jc w:val="center"/>
      </w:pPr>
      <m:oMathPara>
        <m:oMath>
          <m:r>
            <m:rPr>
              <m:sty m:val="p"/>
            </m:rPr>
            <m:t xml:space="preserve">Reservas</m:t>
          </m:r>
          <m:r>
            <m:rPr>
              <m:sty m:val="p"/>
            </m:rPr>
            <m:t xml:space="preserve">=</m:t>
          </m:r>
          <m:r>
            <m:t>Vol</m:t>
          </m:r>
          <m:r>
            <m:rPr>
              <m:sty m:val="p"/>
            </m:rPr>
            <m:t xml:space="preserve">·Σ</m:t>
          </m:r>
          <m:r>
            <m:t>Fc</m:t>
          </m:r>
          <m:r>
            <m:rPr>
              <m:sty m:val="p"/>
            </m:rPr>
            <m:t xml:space="preserve">·</m:t>
          </m:r>
          <m:f>
            <m:num>
              <m:r>
                <m:rPr>
                  <m:sty m:val="p"/>
                </m:rPr>
                <m:t xml:space="preserve">1</m:t>
              </m:r>
            </m:num>
            <m:den>
              <m:r>
                <m:rPr>
                  <m:sty m:val="p"/>
                </m:rPr>
                <m:t xml:space="preserve">3.6</m:t>
              </m:r>
            </m:den>
          </m:f>
          <m:r>
            <m:rPr>
              <m:sty m:val="p"/>
            </m:rPr>
            <m:t xml:space="preserve">  [GW]</m:t>
          </m:r>
        </m:oMath>
      </m:oMathPara>
    </w:p>
    <w:p>
      <w:pPr>
        <w:pStyle w:val="Heading1"/>
      </w:pPr>
      <w:r>
        <w:t xml:space="preserve">3. Desarrollo</w:t>
      </w:r>
    </w:p>
    <w:p>
      <w:pPr>
        <w:pStyle w:val="Heading2"/>
      </w:pPr>
      <w:r>
        <w:t xml:space="preserve">3.1 Topología 1: embalse con una unidad de generación</w:t>
      </w:r>
    </w:p>
    <w:p>
      <w:pPr>
        <w:spacing w:after="140" w:line="300"/>
        <w:jc w:val="both"/>
      </w:pPr>
      <w:r>
        <w:t xml:space="preserve">Los datos de la topología son un caudal afluente </w:t>
      </w:r>
      <w:r>
        <w:rPr>
          <w:i/>
          <w:iCs/>
        </w:rPr>
        <w:t xml:space="preserve">Q</w:t>
      </w:r>
      <w:r>
        <w:t xml:space="preserve"> = 5 m³/s, un volumen almacenado </w:t>
      </w:r>
      <w:r>
        <w:rPr>
          <w:i/>
          <w:iCs/>
        </w:rPr>
        <w:t xml:space="preserve">Vol</w:t>
      </w:r>
      <w:r>
        <w:t xml:space="preserve"> = 8 Mm³, un volumen vertido </w:t>
      </w:r>
      <w:r>
        <w:rPr>
          <w:i/>
          <w:iCs/>
        </w:rPr>
        <w:t xml:space="preserve">Vert</w:t>
      </w:r>
      <w:r>
        <w:t xml:space="preserve"> = 0.4 Mm³ y una única unidad con </w:t>
      </w:r>
      <w:r>
        <w:rPr>
          <w:i/>
          <w:iCs/>
        </w:rPr>
        <w:t xml:space="preserve">Fc</w:t>
      </w:r>
      <w:r>
        <w:t xml:space="preserve"> = 1 MW/(m³/s). Al existir una sola unidad, el factor acumulado coincide con el de esa unidad:</w:t>
      </w:r>
    </w:p>
    <w:p>
      <w:pPr>
        <w:spacing w:after="120" w:before="120"/>
        <w:jc w:val="center"/>
      </w:pPr>
      <m:oMathPara>
        <m:oMath>
          <m:r>
            <m:rPr>
              <m:sty m:val="p"/>
            </m:rPr>
            <m:t xml:space="preserve">Σ</m:t>
          </m:r>
          <m:r>
            <m:t>Fc</m:t>
          </m:r>
          <m:r>
            <m:rPr>
              <m:sty m:val="p"/>
            </m:rPr>
            <m:t xml:space="preserve">=1 </m:t>
          </m:r>
          <m:f>
            <m:num>
              <m:r>
                <m:rPr>
                  <m:sty m:val="p"/>
                </m:rPr>
                <m:t xml:space="preserve">MW</m:t>
              </m:r>
            </m:num>
            <m:den>
              <m:sSup>
                <m:sSupPr/>
                <m:e>
                  <m:r>
                    <m:t>m</m:t>
                  </m:r>
                </m:e>
                <m:sup>
                  <m:r>
                    <m:rPr>
                      <m:sty m:val="p"/>
                    </m:rPr>
                    <m:t xml:space="preserve">3</m:t>
                  </m:r>
                </m:sup>
              </m:sSup>
              <m:r>
                <m:rPr>
                  <m:sty m:val="p"/>
                </m:rPr>
                <m:t xml:space="preserve">/s</m:t>
              </m:r>
            </m:den>
          </m:f>
        </m:oMath>
      </m:oMathPara>
    </w:p>
    <w:p>
      <w:pPr>
        <w:spacing w:after="140" w:line="300"/>
        <w:jc w:val="both"/>
      </w:pPr>
      <w:r>
        <w:t xml:space="preserve">Aportes:</w:t>
      </w:r>
    </w:p>
    <w:p>
      <w:pPr>
        <w:spacing w:after="120" w:before="120"/>
        <w:jc w:val="center"/>
      </w:pPr>
      <m:oMathPara>
        <m:oMath>
          <m:r>
            <m:rPr>
              <m:sty m:val="p"/>
            </m:rPr>
            <m:t xml:space="preserve">Aportes</m:t>
          </m:r>
          <m:r>
            <m:rPr>
              <m:sty m:val="p"/>
            </m:rPr>
            <m:t xml:space="preserve">=5·1·</m:t>
          </m:r>
          <m:f>
            <m:num>
              <m:r>
                <m:rPr>
                  <m:sty m:val="p"/>
                </m:rPr>
                <m:t xml:space="preserve">24</m:t>
              </m:r>
            </m:num>
            <m:den>
              <m:r>
                <m:rPr>
                  <m:sty m:val="p"/>
                </m:rPr>
                <m:t xml:space="preserve">1000</m:t>
              </m:r>
            </m:den>
          </m:f>
          <m:r>
            <m:rPr>
              <m:sty m:val="p"/>
            </m:rPr>
            <m:t xml:space="preserve">=0.120 </m:t>
          </m:r>
          <m:f>
            <m:num>
              <m:r>
                <m:rPr>
                  <m:sty m:val="p"/>
                </m:rPr>
                <m:t xml:space="preserve">GWh</m:t>
              </m:r>
            </m:num>
            <m:den>
              <m:r>
                <m:rPr>
                  <m:sty m:val="p"/>
                </m:rPr>
                <m:t xml:space="preserve">día</m:t>
              </m:r>
            </m:den>
          </m:f>
        </m:oMath>
      </m:oMathPara>
    </w:p>
    <w:p>
      <w:pPr>
        <w:spacing w:after="140" w:line="300"/>
        <w:jc w:val="both"/>
      </w:pPr>
      <w:r>
        <w:t xml:space="preserve">Vertimiento:</w:t>
      </w:r>
    </w:p>
    <w:p>
      <w:pPr>
        <w:spacing w:after="120" w:before="120"/>
        <w:jc w:val="center"/>
      </w:pPr>
      <m:oMathPara>
        <m:oMath>
          <m:r>
            <m:rPr>
              <m:sty m:val="p"/>
            </m:rPr>
            <m:t xml:space="preserve">Vertimiento</m:t>
          </m:r>
          <m:r>
            <m:rPr>
              <m:sty m:val="p"/>
            </m:rPr>
            <m:t xml:space="preserve">=0.4·1·</m:t>
          </m:r>
          <m:f>
            <m:num>
              <m:r>
                <m:rPr>
                  <m:sty m:val="p"/>
                </m:rPr>
                <m:t xml:space="preserve">1</m:t>
              </m:r>
            </m:num>
            <m:den>
              <m:r>
                <m:rPr>
                  <m:sty m:val="p"/>
                </m:rPr>
                <m:t xml:space="preserve">3.6</m:t>
              </m:r>
            </m:den>
          </m:f>
          <m:r>
            <m:rPr>
              <m:sty m:val="p"/>
            </m:rPr>
            <m:t xml:space="preserve">=0.111 </m:t>
          </m:r>
          <m:f>
            <m:num>
              <m:r>
                <m:rPr>
                  <m:sty m:val="p"/>
                </m:rPr>
                <m:t xml:space="preserve">GWh</m:t>
              </m:r>
            </m:num>
            <m:den>
              <m:r>
                <m:rPr>
                  <m:sty m:val="p"/>
                </m:rPr>
                <m:t xml:space="preserve">día</m:t>
              </m:r>
            </m:den>
          </m:f>
        </m:oMath>
      </m:oMathPara>
    </w:p>
    <w:p>
      <w:pPr>
        <w:spacing w:after="140" w:line="300"/>
        <w:jc w:val="both"/>
      </w:pPr>
      <w:r>
        <w:t xml:space="preserve">Reservas:</w:t>
      </w:r>
    </w:p>
    <w:p>
      <w:pPr>
        <w:spacing w:after="120" w:before="120"/>
        <w:jc w:val="center"/>
      </w:pPr>
      <m:oMathPara>
        <m:oMath>
          <m:r>
            <m:rPr>
              <m:sty m:val="p"/>
            </m:rPr>
            <m:t xml:space="preserve">Reservas</m:t>
          </m:r>
          <m:r>
            <m:rPr>
              <m:sty m:val="p"/>
            </m:rPr>
            <m:t xml:space="preserve">=8·1·</m:t>
          </m:r>
          <m:f>
            <m:num>
              <m:r>
                <m:rPr>
                  <m:sty m:val="p"/>
                </m:rPr>
                <m:t xml:space="preserve">1</m:t>
              </m:r>
            </m:num>
            <m:den>
              <m:r>
                <m:rPr>
                  <m:sty m:val="p"/>
                </m:rPr>
                <m:t xml:space="preserve">3.6</m:t>
              </m:r>
            </m:den>
          </m:f>
          <m:r>
            <m:rPr>
              <m:sty m:val="p"/>
            </m:rPr>
            <m:t xml:space="preserve">=2.22 GW</m:t>
          </m:r>
        </m:oMath>
      </m:oMathPara>
    </w:p>
    <w:p>
      <w:pPr>
        <w:pStyle w:val="Heading2"/>
      </w:pPr>
      <w:r>
        <w:t xml:space="preserve">3.2 Topología 2: embalse con dos unidades en cadena</w:t>
      </w:r>
    </w:p>
    <w:p>
      <w:pPr>
        <w:spacing w:after="140" w:line="300"/>
        <w:jc w:val="both"/>
      </w:pPr>
      <w:r>
        <w:t xml:space="preserve">Los datos de la topología son un caudal afluente </w:t>
      </w:r>
      <w:r>
        <w:rPr>
          <w:i/>
          <w:iCs/>
        </w:rPr>
        <w:t xml:space="preserve">Q</w:t>
      </w:r>
      <w:r>
        <w:t xml:space="preserve"> = 2 m³/s, un volumen almacenado </w:t>
      </w:r>
      <w:r>
        <w:rPr>
          <w:i/>
          <w:iCs/>
        </w:rPr>
        <w:t xml:space="preserve">Vol</w:t>
      </w:r>
      <w:r>
        <w:t xml:space="preserve"> = 9 Mm³, un volumen vertido </w:t>
      </w:r>
      <w:r>
        <w:rPr>
          <w:i/>
          <w:iCs/>
        </w:rPr>
        <w:t xml:space="preserve">Vert</w:t>
      </w:r>
      <w:r>
        <w:t xml:space="preserve"> = 1 Mm³ y dos unidades en serie con factores de conversión de 2.5 y 2 MW/(m³/s). Como el agua turbinada en la primera unidad continúa hacia la segunda, ambos factores se suman:</w:t>
      </w:r>
    </w:p>
    <w:p>
      <w:pPr>
        <w:spacing w:after="120" w:before="120"/>
        <w:jc w:val="center"/>
      </w:pPr>
      <m:oMathPara>
        <m:oMath>
          <m:r>
            <m:rPr>
              <m:sty m:val="p"/>
            </m:rPr>
            <m:t xml:space="preserve">Σ</m:t>
          </m:r>
          <m:r>
            <m:t>Fc</m:t>
          </m:r>
          <m:r>
            <m:rPr>
              <m:sty m:val="p"/>
            </m:rPr>
            <m:t xml:space="preserve">=</m:t>
          </m:r>
          <m:sSub>
            <m:sSubPr/>
            <m:e>
              <m:r>
                <m:t>Fc</m:t>
              </m:r>
            </m:e>
            <m:sub>
              <m:r>
                <m:rPr>
                  <m:sty m:val="p"/>
                </m:rPr>
                <m:t xml:space="preserve">1</m:t>
              </m:r>
            </m:sub>
          </m:sSub>
          <m:r>
            <m:rPr>
              <m:sty m:val="p"/>
            </m:rPr>
            <m:t xml:space="preserve">+</m:t>
          </m:r>
          <m:sSub>
            <m:sSubPr/>
            <m:e>
              <m:r>
                <m:t>Fc</m:t>
              </m:r>
            </m:e>
            <m:sub>
              <m:r>
                <m:rPr>
                  <m:sty m:val="p"/>
                </m:rPr>
                <m:t xml:space="preserve">2</m:t>
              </m:r>
            </m:sub>
          </m:sSub>
          <m:r>
            <m:rPr>
              <m:sty m:val="p"/>
            </m:rPr>
            <m:t xml:space="preserve">=2.5+2=4.5 </m:t>
          </m:r>
          <m:f>
            <m:num>
              <m:r>
                <m:rPr>
                  <m:sty m:val="p"/>
                </m:rPr>
                <m:t xml:space="preserve">MW</m:t>
              </m:r>
            </m:num>
            <m:den>
              <m:sSup>
                <m:sSupPr/>
                <m:e>
                  <m:r>
                    <m:t>m</m:t>
                  </m:r>
                </m:e>
                <m:sup>
                  <m:r>
                    <m:rPr>
                      <m:sty m:val="p"/>
                    </m:rPr>
                    <m:t xml:space="preserve">3</m:t>
                  </m:r>
                </m:sup>
              </m:sSup>
              <m:r>
                <m:rPr>
                  <m:sty m:val="p"/>
                </m:rPr>
                <m:t xml:space="preserve">/s</m:t>
              </m:r>
            </m:den>
          </m:f>
        </m:oMath>
      </m:oMathPara>
    </w:p>
    <w:p>
      <w:pPr>
        <w:spacing w:after="140" w:line="300"/>
        <w:jc w:val="both"/>
      </w:pPr>
      <w:r>
        <w:t xml:space="preserve">Aportes:</w:t>
      </w:r>
    </w:p>
    <w:p>
      <w:pPr>
        <w:spacing w:after="120" w:before="120"/>
        <w:jc w:val="center"/>
      </w:pPr>
      <m:oMathPara>
        <m:oMath>
          <m:r>
            <m:rPr>
              <m:sty m:val="p"/>
            </m:rPr>
            <m:t xml:space="preserve">Aportes</m:t>
          </m:r>
          <m:r>
            <m:rPr>
              <m:sty m:val="p"/>
            </m:rPr>
            <m:t xml:space="preserve">=2·</m:t>
          </m:r>
          <m:r>
            <m:rPr>
              <m:sty m:val="p"/>
            </m:rPr>
            <m:t xml:space="preserve">(</m:t>
          </m:r>
          <m:r>
            <m:rPr>
              <m:sty m:val="p"/>
            </m:rPr>
            <m:t xml:space="preserve">2.5+2</m:t>
          </m:r>
          <m:r>
            <m:rPr>
              <m:sty m:val="p"/>
            </m:rPr>
            <m:t xml:space="preserve">)</m:t>
          </m:r>
          <m:r>
            <m:rPr>
              <m:sty m:val="p"/>
            </m:rPr>
            <m:t xml:space="preserve">·</m:t>
          </m:r>
          <m:f>
            <m:num>
              <m:r>
                <m:rPr>
                  <m:sty m:val="p"/>
                </m:rPr>
                <m:t xml:space="preserve">24</m:t>
              </m:r>
            </m:num>
            <m:den>
              <m:r>
                <m:rPr>
                  <m:sty m:val="p"/>
                </m:rPr>
                <m:t xml:space="preserve">1000</m:t>
              </m:r>
            </m:den>
          </m:f>
          <m:r>
            <m:rPr>
              <m:sty m:val="p"/>
            </m:rPr>
            <m:t xml:space="preserve">=0.216 </m:t>
          </m:r>
          <m:f>
            <m:num>
              <m:r>
                <m:rPr>
                  <m:sty m:val="p"/>
                </m:rPr>
                <m:t xml:space="preserve">GWh</m:t>
              </m:r>
            </m:num>
            <m:den>
              <m:r>
                <m:rPr>
                  <m:sty m:val="p"/>
                </m:rPr>
                <m:t xml:space="preserve">día</m:t>
              </m:r>
            </m:den>
          </m:f>
        </m:oMath>
      </m:oMathPara>
    </w:p>
    <w:p>
      <w:pPr>
        <w:spacing w:after="140" w:line="300"/>
        <w:jc w:val="both"/>
      </w:pPr>
      <w:r>
        <w:t xml:space="preserve">Vertimiento:</w:t>
      </w:r>
    </w:p>
    <w:p>
      <w:pPr>
        <w:spacing w:after="120" w:before="120"/>
        <w:jc w:val="center"/>
      </w:pPr>
      <m:oMathPara>
        <m:oMath>
          <m:r>
            <m:rPr>
              <m:sty m:val="p"/>
            </m:rPr>
            <m:t xml:space="preserve">Vertimiento</m:t>
          </m:r>
          <m:r>
            <m:rPr>
              <m:sty m:val="p"/>
            </m:rPr>
            <m:t xml:space="preserve">=1·</m:t>
          </m:r>
          <m:r>
            <m:rPr>
              <m:sty m:val="p"/>
            </m:rPr>
            <m:t xml:space="preserve">(</m:t>
          </m:r>
          <m:r>
            <m:rPr>
              <m:sty m:val="p"/>
            </m:rPr>
            <m:t xml:space="preserve">2.5+2</m:t>
          </m:r>
          <m:r>
            <m:rPr>
              <m:sty m:val="p"/>
            </m:rPr>
            <m:t xml:space="preserve">)</m:t>
          </m:r>
          <m:r>
            <m:rPr>
              <m:sty m:val="p"/>
            </m:rPr>
            <m:t xml:space="preserve">·</m:t>
          </m:r>
          <m:f>
            <m:num>
              <m:r>
                <m:rPr>
                  <m:sty m:val="p"/>
                </m:rPr>
                <m:t xml:space="preserve">1</m:t>
              </m:r>
            </m:num>
            <m:den>
              <m:r>
                <m:rPr>
                  <m:sty m:val="p"/>
                </m:rPr>
                <m:t xml:space="preserve">3.6</m:t>
              </m:r>
            </m:den>
          </m:f>
          <m:r>
            <m:rPr>
              <m:sty m:val="p"/>
            </m:rPr>
            <m:t xml:space="preserve">=1.250 </m:t>
          </m:r>
          <m:f>
            <m:num>
              <m:r>
                <m:rPr>
                  <m:sty m:val="p"/>
                </m:rPr>
                <m:t xml:space="preserve">GWh</m:t>
              </m:r>
            </m:num>
            <m:den>
              <m:r>
                <m:rPr>
                  <m:sty m:val="p"/>
                </m:rPr>
                <m:t xml:space="preserve">día</m:t>
              </m:r>
            </m:den>
          </m:f>
        </m:oMath>
      </m:oMathPara>
    </w:p>
    <w:p>
      <w:pPr>
        <w:spacing w:after="140" w:line="300"/>
        <w:jc w:val="both"/>
      </w:pPr>
      <w:r>
        <w:t xml:space="preserve">Reservas:</w:t>
      </w:r>
    </w:p>
    <w:p>
      <w:pPr>
        <w:spacing w:after="120" w:before="120"/>
        <w:jc w:val="center"/>
      </w:pPr>
      <m:oMathPara>
        <m:oMath>
          <m:r>
            <m:rPr>
              <m:sty m:val="p"/>
            </m:rPr>
            <m:t xml:space="preserve">Reservas</m:t>
          </m:r>
          <m:r>
            <m:rPr>
              <m:sty m:val="p"/>
            </m:rPr>
            <m:t xml:space="preserve">=9·</m:t>
          </m:r>
          <m:r>
            <m:rPr>
              <m:sty m:val="p"/>
            </m:rPr>
            <m:t xml:space="preserve">(</m:t>
          </m:r>
          <m:r>
            <m:rPr>
              <m:sty m:val="p"/>
            </m:rPr>
            <m:t xml:space="preserve">2.5+2</m:t>
          </m:r>
          <m:r>
            <m:rPr>
              <m:sty m:val="p"/>
            </m:rPr>
            <m:t xml:space="preserve">)</m:t>
          </m:r>
          <m:r>
            <m:rPr>
              <m:sty m:val="p"/>
            </m:rPr>
            <m:t xml:space="preserve">·</m:t>
          </m:r>
          <m:f>
            <m:num>
              <m:r>
                <m:rPr>
                  <m:sty m:val="p"/>
                </m:rPr>
                <m:t xml:space="preserve">1</m:t>
              </m:r>
            </m:num>
            <m:den>
              <m:r>
                <m:rPr>
                  <m:sty m:val="p"/>
                </m:rPr>
                <m:t xml:space="preserve">3.6</m:t>
              </m:r>
            </m:den>
          </m:f>
          <m:r>
            <m:rPr>
              <m:sty m:val="p"/>
            </m:rPr>
            <m:t xml:space="preserve">=11.25 GW</m:t>
          </m:r>
        </m:oMath>
      </m:oMathPara>
    </w:p>
    <w:p>
      <w:pPr>
        <w:pStyle w:val="Heading1"/>
      </w:pPr>
      <w:r>
        <w:t xml:space="preserve">4. Resumen de resultados</w:t>
      </w:r>
    </w:p>
    <w:p>
      <w:pPr>
        <w:keepNext/>
        <w:spacing w:after="80"/>
      </w:pPr>
      <w:r>
        <w:rPr>
          <w:i/>
          <w:iCs/>
          <w:sz w:val="18"/>
          <w:szCs w:val="18"/>
        </w:rPr>
        <w:t xml:space="preserve">Tabla 1. Aportes, vertimientos y reservas de cada topología.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050"/>
        <w:gridCol w:w="2050"/>
        <w:gridCol w:w="1826"/>
      </w:tblGrid>
      <w:tr>
        <w:trPr>
          <w:cantSplit/>
        </w:trPr>
        <w:tc>
          <w:tcPr>
            <w:tcW w:type="dxa" w:w="180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Topología</w:t>
            </w:r>
          </w:p>
        </w:tc>
        <w:tc>
          <w:tcPr>
            <w:tcW w:type="dxa" w:w="130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ΣFc</w:t>
            </w:r>
          </w:p>
        </w:tc>
        <w:tc>
          <w:tcPr>
            <w:tcW w:type="dxa" w:w="205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Aportes</w:t>
            </w:r>
          </w:p>
        </w:tc>
        <w:tc>
          <w:tcPr>
            <w:tcW w:type="dxa" w:w="205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Vertimiento</w:t>
            </w:r>
          </w:p>
        </w:tc>
        <w:tc>
          <w:tcPr>
            <w:tcW w:type="dxa" w:w="1826"/>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Reservas</w:t>
            </w:r>
          </w:p>
        </w:tc>
      </w:tr>
      <w:tr>
        <w:trPr>
          <w:cantSplit/>
        </w:trPr>
        <w:tc>
          <w:tcPr>
            <w:tcW w:type="dxa" w:w="180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
            </w:r>
          </w:p>
        </w:tc>
        <w:tc>
          <w:tcPr>
            <w:tcW w:type="dxa" w:w="130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[MW/(m³/s)]</w:t>
            </w:r>
          </w:p>
        </w:tc>
        <w:tc>
          <w:tcPr>
            <w:tcW w:type="dxa" w:w="205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[GWh/día]</w:t>
            </w:r>
          </w:p>
        </w:tc>
        <w:tc>
          <w:tcPr>
            <w:tcW w:type="dxa" w:w="2050"/>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[GWh/día]</w:t>
            </w:r>
          </w:p>
        </w:tc>
        <w:tc>
          <w:tcPr>
            <w:tcW w:type="dxa" w:w="1826"/>
            <w:tcBorders>
              <w:top w:val="single" w:color="BFBFBF" w:sz="4"/>
              <w:left w:val="single" w:color="BFBFBF" w:sz="4"/>
              <w:bottom w:val="single" w:color="BFBFBF" w:sz="4"/>
              <w:right w:val="single" w:color="BFBFBF" w:sz="4"/>
            </w:tcBorders>
            <w:shd w:fill="0F4761" w:color="auto" w:val="clear"/>
            <w:tcMar>
              <w:top w:type="dxa" w:w="80"/>
              <w:left w:type="dxa" w:w="100"/>
              <w:bottom w:type="dxa" w:w="80"/>
              <w:right w:type="dxa" w:w="100"/>
            </w:tcMar>
          </w:tcPr>
          <w:p>
            <w:pPr>
              <w:keepNext/>
              <w:jc w:val="center"/>
            </w:pPr>
            <w:r>
              <w:rPr>
                <w:b/>
                <w:bCs/>
                <w:color w:val="FFFFFF"/>
              </w:rPr>
              <w:t xml:space="preserve">[GW]</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TPH 1</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1</w:t>
            </w:r>
          </w:p>
        </w:tc>
        <w:tc>
          <w:tcPr>
            <w:tcW w:type="dxa" w:w="20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0.120</w:t>
            </w:r>
          </w:p>
        </w:tc>
        <w:tc>
          <w:tcPr>
            <w:tcW w:type="dxa" w:w="20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0.111</w:t>
            </w:r>
          </w:p>
        </w:tc>
        <w:tc>
          <w:tcPr>
            <w:tcW w:type="dxa" w:w="18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2.22</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TPH 2</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4.5</w:t>
            </w:r>
          </w:p>
        </w:tc>
        <w:tc>
          <w:tcPr>
            <w:tcW w:type="dxa" w:w="20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0.216</w:t>
            </w:r>
          </w:p>
        </w:tc>
        <w:tc>
          <w:tcPr>
            <w:tcW w:type="dxa" w:w="20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1.250</w:t>
            </w:r>
          </w:p>
        </w:tc>
        <w:tc>
          <w:tcPr>
            <w:tcW w:type="dxa" w:w="18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jc w:val="center"/>
            </w:pPr>
            <w:r>
              <w:rPr>
                <w:b w:val="false"/>
                <w:bCs w:val="false"/>
                <w:color w:val="3A2820"/>
              </w:rPr>
              <w:t xml:space="preserve">11.25</w:t>
            </w:r>
          </w:p>
        </w:tc>
      </w:tr>
    </w:tbl>
    <w:p>
      <w:pPr>
        <w:spacing w:after="120"/>
      </w:pPr>
    </w:p>
    <w:p>
      <w:pPr>
        <w:pStyle w:val="Heading1"/>
      </w:pPr>
      <w:r>
        <w:t xml:space="preserve">5. Análisis</w:t>
      </w:r>
    </w:p>
    <w:p>
      <w:pPr>
        <w:spacing w:after="140" w:line="300"/>
        <w:jc w:val="both"/>
      </w:pPr>
      <w:r>
        <w:t xml:space="preserve">Aunque la TPH 2 recibe un caudal afluente menor que la TPH 1 (2 m³/s frente a 5 m³/s), presenta mayores aportes y reservas cuando estos se expresan en términos energéticos. La razón es el factor de conversión acumulado, que en la TPH 2 es 4.5 veces el de la TPH 1: cada metro cúbico que llega al embalse o que permanece almacenado en él produce energía en las dos plantas de la cadena. Este resultado muestra que la importancia energética de un embalse no depende solo de su volumen o de su hidrología, sino también de su posición dentro de la cadena hidráulica y de las plantas que tiene aguas abajo.</w:t>
      </w:r>
    </w:p>
    <w:p>
      <w:pPr>
        <w:spacing w:after="140" w:line="300"/>
        <w:jc w:val="both"/>
      </w:pPr>
      <w:r>
        <w:t xml:space="preserve">El mismo efecto explica por qué el vertimiento de la TPH 2 es considerablemente mayor (1.25 GWh/día frente a 0.111 GWh/día). El agua vertida deja de pasar por todas las unidades aguas abajo, de modo que en una cadena con varias plantas cada Mm³ vertido representa una pérdida energética mayor. Desde el punto de vista del planeamiento operativo, esto hace que evitar vertimientos en embalses de cabecera de cadena tenga un valor energético especialmente alto.</w:t>
      </w:r>
    </w:p>
    <w:p>
      <w:pPr>
        <w:spacing w:after="140" w:line="300"/>
        <w:jc w:val="both"/>
      </w:pPr>
      <w:r>
        <w:t xml:space="preserve">Como observación sobre las unidades, se conservan las solicitadas en el enunciado y empleadas en el ejemplo de clase. En sentido estricto, al multiplicar un volumen en Mm³ por la equivalencia en GWh/Mm³, el vertimiento y las reservas quedan expresados como energía (GWh), y no como potencia (GW).</w:t>
      </w:r>
    </w:p>
    <w:sectPr>
      <w:headerReference w:type="default" r:id="rId7"/>
      <w:footerReference w:type="default" r:id="rId8"/>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Diplomado Transición Energética · UPB / XM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A2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0F4761" w:sz="18" w:space="8"/>
      </w:pBdr>
      <w:spacing w:after="140" w:before="280"/>
      <w:outlineLvl w:val="0"/>
    </w:pPr>
    <w:rPr>
      <w:rFonts w:ascii="Calibri Light" w:cs="Calibri Light" w:eastAsia="Calibri Light" w:hAnsi="Calibri Light"/>
      <w:b/>
      <w:bCs/>
      <w:color w:val="0F4761"/>
      <w:sz w:val="26"/>
      <w:szCs w:val="26"/>
    </w:rPr>
  </w:style>
  <w:style w:type="paragraph" w:styleId="Heading2">
    <w:name w:val="Heading 2"/>
    <w:basedOn w:val="Normal"/>
    <w:next w:val="Normal"/>
    <w:qFormat/>
    <w:pPr>
      <w:spacing w:after="100" w:before="200"/>
      <w:outlineLvl w:val="1"/>
    </w:pPr>
    <w:rPr>
      <w:rFonts w:ascii="Calibri Light" w:cs="Calibri Light" w:eastAsia="Calibri Light" w:hAnsi="Calibri Light"/>
      <w:b/>
      <w:bCs/>
      <w:color w:val="0F476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c8c297a4faae593f58dea4c7629199d855ad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2026-10-11T03:13:24.358Z</dcterms:created>
  <dcterms:modified xsi:type="dcterms:W3CDTF">2026-10-11T03:13:24.359Z</dcterms:modified>
</cp:coreProperties>
</file>

<file path=docProps/custom.xml><?xml version="1.0" encoding="utf-8"?>
<Properties xmlns="http://schemas.openxmlformats.org/officeDocument/2006/custom-properties" xmlns:vt="http://schemas.openxmlformats.org/officeDocument/2006/docPropsVTypes"/>
</file>