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6B5A50"/>
          <w:sz w:val="20"/>
          <w:szCs w:val="20"/>
        </w:rPr>
        <w:t xml:space="preserve">Marco estratégico de la transición energética y el Mercado de energía</w:t>
      </w:r>
    </w:p>
    <w:p>
      <w:pPr>
        <w:spacing w:after="60"/>
        <w:jc w:val="center"/>
      </w:pPr>
      <w:r>
        <w:rPr>
          <w:b/>
          <w:bCs/>
          <w:color w:val="0F4761"/>
          <w:sz w:val="28"/>
          <w:szCs w:val="28"/>
        </w:rPr>
        <w:t xml:space="preserve">Taller Módulo 1: Planeación de Sistemas de Potencia en Entornos de Transición</w:t>
      </w:r>
    </w:p>
    <w:p>
      <w:pPr>
        <w:pBdr>
          <w:bottom w:val="single" w:color="0F4761" w:sz="6" w:space="6"/>
        </w:pBdr>
        <w:spacing w:after="360"/>
        <w:jc w:val="center"/>
      </w:pPr>
      <w:r>
        <w:rPr>
          <w:b/>
          <w:bCs/>
          <w:color w:val="0F4761"/>
          <w:sz w:val="24"/>
          <w:szCs w:val="24"/>
        </w:rPr>
        <w:t xml:space="preserve">Punto 1</w:t>
      </w:r>
    </w:p>
    <w:p>
      <w:pPr>
        <w:spacing w:after="160" w:line="276"/>
        <w:jc w:val="both"/>
      </w:pPr>
      <w:r>
        <w:t xml:space="preserve">Para resolver este punto revisamos el Anexo 1 del Acuerdo CNO 2234, la guía de XM de requisitos de modelos de control preliminares para plantas eólicas y solares (Resolución CREG 060 de 2019, versión de julio de 2026), las Resoluciones CREG 060 de 2019 y 101 104 de 2026, el Acuerdo CNO 2017 de 2025 sobre pruebas de potencia reactiva y lo visto en la Clase 4. En cada literal se indica la opción seleccionada y luego se explica por qué se descartan las demás.</w:t>
      </w:r>
    </w:p>
    <w:p>
      <w:pPr>
        <w:keepNext/>
        <w:pBdr>
          <w:left w:val="single" w:color="0F4761" w:sz="18" w:space="8"/>
        </w:pBdr>
        <w:spacing w:after="140" w:before="320"/>
        <w:ind w:left="120"/>
      </w:pPr>
      <w:r>
        <w:rPr>
          <w:b/>
          <w:bCs/>
          <w:color w:val="0F4761"/>
          <w:sz w:val="24"/>
          <w:szCs w:val="24"/>
        </w:rPr>
        <w:t xml:space="preserve">a. Requisito de validación de modelos de control RMS</w:t>
      </w:r>
    </w:p>
    <w:p>
      <w:pPr>
        <w:spacing w:after="120" w:line="276"/>
        <w:jc w:val="both"/>
      </w:pPr>
      <w:r>
        <w:rPr>
          <w:b/>
          <w:bCs/>
        </w:rPr>
        <w:t xml:space="preserve">Respuesta: </w:t>
      </w:r>
      <w:r>
        <w:rPr>
          <w:b/>
          <w:bCs/>
        </w:rPr>
        <w:t xml:space="preserve">v. Ninguna de las afirmaciones es correcta.</w:t>
      </w:r>
    </w:p>
    <w:p>
      <w:pPr>
        <w:spacing w:after="160" w:line="276"/>
        <w:jc w:val="both"/>
      </w:pPr>
      <w:r>
        <w:t xml:space="preserve">Sobre la afirmación i, en el Anexo 1 del Acuerdo CNO 2234 no aparece ningún umbral de 20 MW asociado a la entrega de modelos de control de unidades sincrónicas. Los requisitos 7.2.1 (plantas hidráulicas) y 7.3.1 (plantas térmicas) piden la comunicación con los modelos de AVR, PSS y PCU, sus diagramas de bloques y la parametrización inicial, sin distinguir por capacidad. El valor de 20 MW aparece en la regulación para diferenciar plantas despachadas y no despachadas centralmente, pero no como condición para este requisito.</w:t>
      </w:r>
    </w:p>
    <w:p>
      <w:pPr>
        <w:spacing w:after="160" w:line="276"/>
        <w:jc w:val="both"/>
      </w:pPr>
      <w:r>
        <w:t xml:space="preserve">La afirmación ii tampoco se cumple, porque el requisito no se limita a plantas conectadas al STN y al STR. Las plantas solares y eólicas conectadas al SDL con capacidad igual o mayor a 5 MW deben entregar modelos RMS según el numeral 7.8 (Resolución CREG 148 de 2021), y las que están entre 1 MW y 5 MW lo hacen según los numerales 7.9 y 10 (Resolución CREG 101 011 de 2022), con validación del Operador de Red de acuerdo con el Acuerdo CNO 1606.</w:t>
      </w:r>
    </w:p>
    <w:p>
      <w:pPr>
        <w:spacing w:after="160" w:line="276"/>
        <w:jc w:val="both"/>
      </w:pPr>
      <w:r>
        <w:t xml:space="preserve">En cuanto a la afirmación iii, los títulos de los numerales 7.2, 7.3 y 7.4 nombran expresamente a los autogeneradores (AGGE), incluidos los que no entregan excedentes, de modo que no están exentos. La misma guía de XM tiene un capítulo dedicado a los autogeneradores conectados al STN o al STR sin entrega de excedentes, donde se explica cómo debe construirse su modelo.</w:t>
      </w:r>
    </w:p>
    <w:p>
      <w:pPr>
        <w:spacing w:after="160" w:line="276"/>
        <w:jc w:val="both"/>
      </w:pPr>
      <w:r>
        <w:t xml:space="preserve">Finalmente, la afirmación iv es falsa porque el requisito 6.1.5 exige "modelos de control preliminares de los dispositivos FACTS" para los proyectos de transmisión, 180 días antes de la FIPPS. Es decir, los modelos de control también se piden para activos que no son de generación.</w:t>
      </w:r>
    </w:p>
    <w:p>
      <w:pPr>
        <w:keepNext/>
        <w:pBdr>
          <w:left w:val="single" w:color="0F4761" w:sz="18" w:space="8"/>
        </w:pBdr>
        <w:spacing w:after="140" w:before="320"/>
        <w:ind w:left="120"/>
      </w:pPr>
      <w:r>
        <w:rPr>
          <w:b/>
          <w:bCs/>
          <w:color w:val="0F4761"/>
          <w:sz w:val="24"/>
          <w:szCs w:val="24"/>
        </w:rPr>
        <w:t xml:space="preserve">b. Revisión de modelos preliminares FERNC</w:t>
      </w:r>
    </w:p>
    <w:p>
      <w:pPr>
        <w:spacing w:after="120" w:line="276"/>
        <w:jc w:val="both"/>
      </w:pPr>
      <w:r>
        <w:rPr>
          <w:b/>
          <w:bCs/>
        </w:rPr>
        <w:t xml:space="preserve">Respuesta: </w:t>
      </w:r>
      <w:r>
        <w:rPr>
          <w:b/>
          <w:bCs/>
        </w:rPr>
        <w:t xml:space="preserve">i.</w:t>
      </w:r>
    </w:p>
    <w:p>
      <w:pPr>
        <w:spacing w:after="160" w:line="276"/>
        <w:jc w:val="both"/>
      </w:pPr>
      <w:r>
        <w:t xml:space="preserve">La afirmación i es correcta. El parágrafo del artículo 5 de la Resolución CREG 060 de 2019 le asignó al CND la tarea de publicar en su página web los requisitos que debe cumplir el modelo de planta, y el artículo 4 de la Resolución CREG 101 104 de 2026 mantiene que la información se entrega "siguiendo los lineamientos y formatos establecidos para la entrega de los modelos en la página web del CND". En el mismo sentido, la aclaración 2 del requisito 7.4.2 del Acuerdo CNO 2234 indica que los requisitos de calidad y desempeño del modelo son los descritos en la guía definida por el CND.</w:t>
      </w:r>
    </w:p>
    <w:p>
      <w:pPr>
        <w:spacing w:after="160" w:line="276"/>
        <w:jc w:val="both"/>
      </w:pPr>
      <w:r>
        <w:t xml:space="preserve">La afirmación ii es falsa por lo ya explicado en el literal anterior: las FERNC conectadas al SDL también entregan modelos preliminares (numerales 7.8 y 7.9 del Anexo).</w:t>
      </w:r>
    </w:p>
    <w:p>
      <w:pPr>
        <w:spacing w:after="160" w:line="276"/>
        <w:jc w:val="both"/>
      </w:pPr>
      <w:r>
        <w:t xml:space="preserve">La afirmación iii también es falsa. La regulación no exige que los cambios en la guía tengan aval del Subcomité de Controles del CNO. Lo que sí se le encarga al CNO es definir mediante Acuerdo la metodología de validación de los modelos definitivos (artículo 10 de la Resolución CREG 060 de 2019 y artículo 9 de la Resolución CREG 101 104 de 2026), que es un tema distinto al de los requisitos de los modelos preliminares.</w:t>
      </w:r>
    </w:p>
    <w:p>
      <w:pPr>
        <w:spacing w:after="160" w:line="276"/>
        <w:jc w:val="both"/>
      </w:pPr>
      <w:r>
        <w:t xml:space="preserve">Respecto a la afirmación iv, la guía es clara en que no basta con revisar el modelo en un sistema planta contra barra infinita. El modelo debe simular correctamente con paso de integración de 10 ms "sin presentar problemas de estabilidad al integrarse a la Base de Datos del sistema completo", el agente debe enviar esa verificación y los controles de la base de datos conectada al SIN deben ser exactamente iguales a los de la base con barra infinita. Que el control se comporte igual en ambos casos es justamente lo que hay que verificar, no algo que se pueda suponer.</w:t>
      </w:r>
    </w:p>
    <w:p>
      <w:pPr>
        <w:keepNext/>
        <w:pBdr>
          <w:left w:val="single" w:color="0F4761" w:sz="18" w:space="8"/>
        </w:pBdr>
        <w:spacing w:after="140" w:before="320"/>
        <w:ind w:left="120"/>
      </w:pPr>
      <w:r>
        <w:rPr>
          <w:b/>
          <w:bCs/>
          <w:color w:val="0F4761"/>
          <w:sz w:val="24"/>
          <w:szCs w:val="24"/>
        </w:rPr>
        <w:t xml:space="preserve">c. Caso del informe de modelos preliminares con modelo encriptado</w:t>
      </w:r>
    </w:p>
    <w:p>
      <w:pPr>
        <w:spacing w:after="120" w:line="276"/>
        <w:jc w:val="both"/>
      </w:pPr>
      <w:r>
        <w:rPr>
          <w:b/>
          <w:bCs/>
        </w:rPr>
        <w:t xml:space="preserve">Respuesta: </w:t>
      </w:r>
      <w:r>
        <w:rPr>
          <w:b/>
          <w:bCs/>
        </w:rPr>
        <w:t xml:space="preserve">v. Ninguna de las afirmaciones es correcta.</w:t>
      </w:r>
    </w:p>
    <w:p>
      <w:pPr>
        <w:spacing w:after="160" w:line="276"/>
        <w:jc w:val="both"/>
      </w:pPr>
      <w:r>
        <w:t xml:space="preserve">La afirmación i no es válida porque la guía exige que los modelos preliminares se entreguen desencriptados y que "no deben requerir el uso de archivos externos adicionales para su funcionamiento". Los archivos .dll son precisamente archivos externos, así que el hecho de que permitan correr las simulaciones no resuelve el incumplimiento. Además, la entrega descrita no incluye la base de datos con los casos de estudio reproducibles ni la verificación del modelo integrado al sistema completo.</w:t>
      </w:r>
    </w:p>
    <w:p>
      <w:pPr>
        <w:spacing w:after="160" w:line="276"/>
        <w:jc w:val="both"/>
      </w:pPr>
      <w:r>
        <w:t xml:space="preserve">Sobre la afirmación ii, la Resolución CREG 060 de 2019 establece que ante fallas las plantas "deben poder operar dentro de los límites establecidos por las curvas" de LVRT y HVRT. Esas curvas son un mínimo, por lo que una curva de soportabilidad más amplia cubre la exigida y no tiene por qué ser idéntica.</w:t>
      </w:r>
    </w:p>
    <w:p>
      <w:pPr>
        <w:spacing w:after="160" w:line="276"/>
        <w:jc w:val="both"/>
      </w:pPr>
      <w:r>
        <w:t xml:space="preserve">La afirmación iii es falsa porque la norma fija un tiempo de establecimiento máximo de 15 s para el control de potencia activa/frecuencia, sin ningún margen adicional:</w:t>
      </w:r>
    </w:p>
    <w:p>
      <w:pPr>
        <w:spacing w:after="160" w:before="60"/>
        <w:jc w:val="center"/>
      </w:pPr>
      <m:oMathPara>
        <m:oMath>
          <m:sSub>
            <m:sSubPr/>
            <m:e>
              <m:r>
                <m:t>T</m:t>
              </m:r>
            </m:e>
            <m:sub>
              <m:r>
                <m:t>e</m:t>
              </m:r>
            </m:sub>
          </m:sSub>
          <m:r>
            <m:t>=</m:t>
          </m:r>
          <m:r>
            <m:t>15.11</m:t>
          </m:r>
          <m:r>
            <m:rPr>
              <m:sty m:val="p"/>
            </m:rPr>
            <m:t xml:space="preserve"> s</m:t>
          </m:r>
          <m:r>
            <m:t>&gt;</m:t>
          </m:r>
          <m:sSub>
            <m:sSubPr/>
            <m:e>
              <m:r>
                <m:t>T</m:t>
              </m:r>
            </m:e>
            <m:sub>
              <m:r>
                <m:rPr>
                  <m:sty m:val="p"/>
                </m:rPr>
                <m:t xml:space="preserve">e, máx</m:t>
              </m:r>
            </m:sub>
          </m:sSub>
          <m:r>
            <m:t>=</m:t>
          </m:r>
          <m:r>
            <m:t>15</m:t>
          </m:r>
          <m:r>
            <m:rPr>
              <m:sty m:val="p"/>
            </m:rPr>
            <m:t xml:space="preserve"> s</m:t>
          </m:r>
        </m:oMath>
      </m:oMathPara>
    </w:p>
    <w:p>
      <w:pPr>
        <w:spacing w:after="160" w:line="276"/>
        <w:jc w:val="both"/>
      </w:pPr>
      <w:r>
        <w:t xml:space="preserve">La única tolerancia que aparece en la regulación está dentro de la definición misma del tiempo de establecimiento, que es el tiempo que tarda la señal en entrar y mantenerse en una banda del 3 % del cambio esperado. No existe un margen del 1 % sobre los 15 s, de manera que el resultado incumple.</w:t>
      </w:r>
    </w:p>
    <w:p>
      <w:pPr>
        <w:spacing w:after="160" w:line="276"/>
        <w:jc w:val="both"/>
      </w:pPr>
      <w:r>
        <w:t xml:space="preserve">Por último, en la afirmación iv, aunque los dos valores del factor k están dentro del rango que pide la guía para la inyección rápida de corriente reactiva,</w:t>
      </w:r>
    </w:p>
    <w:p>
      <w:pPr>
        <w:spacing w:after="160" w:before="60"/>
        <w:jc w:val="center"/>
      </w:pPr>
      <m:oMathPara>
        <m:oMath>
          <m:r>
            <m:t>1.9≤</m:t>
          </m:r>
          <m:r>
            <m:t>k</m:t>
          </m:r>
          <m:r>
            <m:t>≤2.1</m:t>
          </m:r>
        </m:oMath>
      </m:oMathPara>
    </w:p>
    <w:p>
      <w:pPr>
        <w:spacing w:after="160" w:line="276"/>
        <w:jc w:val="both"/>
      </w:pPr>
      <w:r>
        <w:t xml:space="preserve">la guía también exige que en las tablas de parámetros "el orden de parámetros, valores y descripción debe ser igual entre informe y Base de Datos". La diferencia entre 2.1 en el informe y 2 en el modelo es una inconsistencia que debe corregir el agente; no se puede asumir como válido el valor del modelo.</w:t>
      </w:r>
    </w:p>
    <w:p>
      <w:pPr>
        <w:keepNext/>
        <w:pBdr>
          <w:left w:val="single" w:color="0F4761" w:sz="18" w:space="8"/>
        </w:pBdr>
        <w:spacing w:after="140" w:before="320"/>
        <w:ind w:left="120"/>
      </w:pPr>
      <w:r>
        <w:rPr>
          <w:b/>
          <w:bCs/>
          <w:color w:val="0F4761"/>
          <w:sz w:val="24"/>
          <w:szCs w:val="24"/>
        </w:rPr>
        <w:t xml:space="preserve">d. Prueba de potencia reactiva de la unidad sincrónica de 300 MW</w:t>
      </w:r>
    </w:p>
    <w:p>
      <w:pPr>
        <w:spacing w:after="120" w:line="276"/>
        <w:jc w:val="both"/>
      </w:pPr>
      <w:r>
        <w:rPr>
          <w:b/>
          <w:bCs/>
        </w:rPr>
        <w:t xml:space="preserve">Respuesta: </w:t>
      </w:r>
      <w:r>
        <w:rPr>
          <w:b/>
          <w:bCs/>
        </w:rPr>
        <w:t xml:space="preserve">iii.</w:t>
      </w:r>
    </w:p>
    <w:p>
      <w:pPr>
        <w:spacing w:after="160" w:line="276"/>
        <w:jc w:val="both"/>
      </w:pPr>
      <w:r>
        <w:t xml:space="preserve">La afirmación i es falsa. El artículo 6 del Acuerdo CNO 2017 da a las plantas nuevas un plazo máximo de 90 días calendario después de la fecha de entrada en operación comercial para reportar al CND la curva de carga y la característica de los limitadores. En la Clase 4 también se mencionó que estas pruebas se solicitan después de la entrada en operación comercial, así que enviar los insumos en ese momento no constituye un incumplimiento.</w:t>
      </w:r>
    </w:p>
    <w:p>
      <w:pPr>
        <w:spacing w:after="160" w:line="276"/>
        <w:jc w:val="both"/>
      </w:pPr>
      <w:r>
        <w:t xml:space="preserve">Para la afirmación ii hay que mirar la forma de la curva roja en la zona de sobreexcitación. Si toda esa zona estuviera limitada por la corriente del estator, la curva sería un arco de circunferencia centrado en el origen, con radio igual a la potencia aparente nominal. Tomando el punto donde la curva corta el eje de potencia activa, ese radio sería de unos 335 MVA, y a potencia activa cero se tendría:</w:t>
      </w:r>
    </w:p>
    <w:p>
      <w:pPr>
        <w:spacing w:after="160" w:before="60"/>
        <w:jc w:val="center"/>
      </w:pPr>
      <m:oMathPara>
        <m:oMath>
          <m:r>
            <m:t>Q</m:t>
          </m:r>
          <m:r>
            <m:t>=</m:t>
          </m:r>
          <m:r>
            <m:t>S</m:t>
          </m:r>
          <m:r>
            <m:t>=</m:t>
          </m:r>
          <m:r>
            <m:t>335</m:t>
          </m:r>
          <m:r>
            <m:rPr>
              <m:sty m:val="p"/>
            </m:rPr>
            <m:t xml:space="preserve"> Mvar</m:t>
          </m:r>
        </m:oMath>
      </m:oMathPara>
    </w:p>
    <w:p>
      <w:pPr>
        <w:spacing w:after="160" w:line="276"/>
        <w:jc w:val="both"/>
      </w:pPr>
      <w:r>
        <w:t xml:space="preserve">Sin embargo, en la figura el valor a potencia activa cero es de aproximadamente 232 Mvar, por lo que ese tramo no corresponde al estator sino al límite por corriente de campo (calentamiento del devanado del rotor). En cambio, el tramo final sí se ajusta a la circunferencia del estator. Por ejemplo, para 300 MW:</w:t>
      </w:r>
    </w:p>
    <w:p>
      <w:pPr>
        <w:spacing w:after="160" w:before="60"/>
        <w:jc w:val="center"/>
      </w:pPr>
      <m:oMathPara>
        <m:oMath>
          <m:r>
            <m:t>Q</m:t>
          </m:r>
          <m:r>
            <m:t>=</m:t>
          </m:r>
          <m:rad>
            <m:radPr>
              <m:degHide m:val="1"/>
            </m:radPr>
            <m:deg/>
            <m:e>
              <m:sSup>
                <m:sSupPr/>
                <m:e>
                  <m:r>
                    <m:t>S</m:t>
                  </m:r>
                </m:e>
                <m:sup>
                  <m:r>
                    <m:t>2</m:t>
                  </m:r>
                </m:sup>
              </m:sSup>
              <m:r>
                <m:t>−</m:t>
              </m:r>
              <m:sSup>
                <m:sSupPr/>
                <m:e>
                  <m:r>
                    <m:t>P</m:t>
                  </m:r>
                </m:e>
                <m:sup>
                  <m:r>
                    <m:t>2</m:t>
                  </m:r>
                </m:sup>
              </m:sSup>
            </m:e>
          </m:rad>
          <m:r>
            <m:t>=</m:t>
          </m:r>
          <m:rad>
            <m:radPr>
              <m:degHide m:val="1"/>
            </m:radPr>
            <m:deg/>
            <m:e>
              <m:sSup>
                <m:sSupPr/>
                <m:e>
                  <m:r>
                    <m:t>335</m:t>
                  </m:r>
                </m:e>
                <m:sup>
                  <m:r>
                    <m:t>2</m:t>
                  </m:r>
                </m:sup>
              </m:sSup>
              <m:r>
                <m:t>−</m:t>
              </m:r>
              <m:sSup>
                <m:sSupPr/>
                <m:e>
                  <m:r>
                    <m:t>300</m:t>
                  </m:r>
                </m:e>
                <m:sup>
                  <m:r>
                    <m:t>2</m:t>
                  </m:r>
                </m:sup>
              </m:sSup>
            </m:e>
          </m:rad>
          <m:r>
            <m:t>≈149</m:t>
          </m:r>
          <m:r>
            <m:rPr>
              <m:sty m:val="p"/>
            </m:rPr>
            <m:t xml:space="preserve"> Mvar</m:t>
          </m:r>
        </m:oMath>
      </m:oMathPara>
    </w:p>
    <w:p>
      <w:pPr>
        <w:spacing w:after="160" w:line="276"/>
        <w:jc w:val="both"/>
      </w:pPr>
      <w:r>
        <w:t xml:space="preserve">que coincide con lo que se lee en la gráfica (cerca de 150 Mvar). Así, en la sobreexcitación actúan tanto el límite de corriente de campo como el de corriente estatórica, y la afirmación es falsa.</w:t>
      </w:r>
    </w:p>
    <w:p>
      <w:pPr>
        <w:spacing w:after="160" w:line="276"/>
        <w:jc w:val="both"/>
      </w:pPr>
      <w:r>
        <w:t xml:space="preserve">La afirmación iii es correcta. Según el artículo 5 del Acuerdo CNO 2017, en la región de subexcitación se deben probar tres puntos: a la potencia activa máxima declarada, a potencia media y al mínimo técnico. El artículo 4 agrega que los puntos se acuerdan con base en la curva de carga declarada y en las características de los limitadores. En la figura, los tres puntos propuestos en subexcitación quedan por dentro de la curva del fabricante (alrededor de −183, −163 y −110 Mvar, frente a cerca de −213, −192 y −145 Mvar en la curva para 155, 222 y 300 MW), lo que indica que el limitador de subexcitación está restringiendo la absorción de reactivos. Con un UEL tipo PQ que permita configurar por lo menos tres valores de potencia activa, uno por cada nivel de prueba, es posible ajustar esos puntos para acercarlos a la curva, dejando el margen de seguridad respecto a ella como se mostró en la Clase 4.</w:t>
      </w:r>
    </w:p>
    <w:p>
      <w:pPr>
        <w:keepNext/>
        <w:pBdr>
          <w:left w:val="single" w:color="0F4761" w:sz="18" w:space="8"/>
        </w:pBdr>
        <w:spacing w:after="140" w:before="320"/>
        <w:ind w:left="120"/>
      </w:pPr>
      <w:r>
        <w:rPr>
          <w:b/>
          <w:bCs/>
          <w:color w:val="0F4761"/>
          <w:sz w:val="24"/>
          <w:szCs w:val="24"/>
        </w:rPr>
        <w:t xml:space="preserve">e. Pruebas de desempeño de los controles de unidades síncronas</w:t>
      </w:r>
    </w:p>
    <w:p>
      <w:pPr>
        <w:spacing w:after="120" w:line="276"/>
        <w:jc w:val="both"/>
      </w:pPr>
      <w:r>
        <w:rPr>
          <w:b/>
          <w:bCs/>
        </w:rPr>
        <w:t xml:space="preserve">Respuesta: </w:t>
      </w:r>
      <w:r>
        <w:rPr>
          <w:b/>
          <w:bCs/>
        </w:rPr>
        <w:t xml:space="preserve">ii.</w:t>
      </w:r>
    </w:p>
    <w:p>
      <w:pPr>
        <w:spacing w:after="160" w:line="276"/>
        <w:jc w:val="both"/>
      </w:pPr>
      <w:r>
        <w:t xml:space="preserve">La afirmación i es falsa porque las pruebas de estatismo y banda muerta no son las únicas que se exigen para la entrada en operación comercial. Los requisitos 7.2.3 y 7.3.2 del Anexo piden además escalones de ±2 % en la tensión del generador, con y sin PSS, y escalones que produzcan un cambio de ±3 % en la potencia activa, para plantas de más de 5 MW. Las pruebas de estatismo y banda muerta (requisitos 7.2.6 y 7.3.3) se aplican a las plantas despachadas centralmente, pero son adicionales a las anteriores.</w:t>
      </w:r>
    </w:p>
    <w:p>
      <w:pPr>
        <w:spacing w:after="160" w:line="276"/>
        <w:jc w:val="both"/>
      </w:pPr>
      <w:r>
        <w:t xml:space="preserve">La afirmación ii es correcta, ya que los requisitos 7.2.3 y 7.3.2 se refieren textualmente a "plantas con capacidad efectiva neta mayor a 5 MW (excepto autogeneradores y cogeneradores)", y son esas las pruebas tipo escalón definidas en el Acuerdo CNO 2234.</w:t>
      </w:r>
    </w:p>
    <w:p>
      <w:pPr>
        <w:spacing w:after="160" w:line="276"/>
        <w:jc w:val="both"/>
      </w:pPr>
      <w:r>
        <w:t xml:space="preserve">La afirmación iii es falsa. Que los autogeneradores y cogeneradores no tengan que hacer estas pruebas no significa que puedan prescindir de los sistemas de control. Los requisitos 7.2.1 y 7.3.1 les exigen entregar los modelos de AVR, PSS y PCU que van a implementar, y estos sistemas hacen parte de las exigencias técnicas del Código de Conexión de la Resolución CREG 025 de 1995.</w:t>
      </w:r>
    </w:p>
    <w:sectPr>
      <w:footerReference w:type="default" r:id="rId7"/>
      <w:pgSz w:w="12240" w:h="15840"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A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color w:val="3A28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Estudiante</dc:creator>
  <cp:lastModifiedBy>Un-named</cp:lastModifiedBy>
  <cp:revision>1</cp:revision>
  <dcterms:created xsi:type="dcterms:W3CDTF">2026-10-11T03:06:38.904Z</dcterms:created>
  <dcterms:modified xsi:type="dcterms:W3CDTF">2026-10-11T03:06:38.904Z</dcterms:modified>
</cp:coreProperties>
</file>

<file path=docProps/custom.xml><?xml version="1.0" encoding="utf-8"?>
<Properties xmlns="http://schemas.openxmlformats.org/officeDocument/2006/custom-properties" xmlns:vt="http://schemas.openxmlformats.org/officeDocument/2006/docPropsVTypes"/>
</file>