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color w:val="0F4761"/>
          <w:sz w:val="22"/>
          <w:szCs w:val="22"/>
        </w:rPr>
        <w:t xml:space="preserve">Taller Módulo 1</w:t>
      </w:r>
    </w:p>
    <w:p>
      <w:pPr>
        <w:spacing w:after="60"/>
        <w:jc w:val="center"/>
      </w:pPr>
      <w:r>
        <w:rPr>
          <w:b/>
          <w:bCs/>
          <w:color w:val="0F4761"/>
          <w:sz w:val="30"/>
          <w:szCs w:val="30"/>
        </w:rPr>
        <w:t xml:space="preserve">Punto 2. Análisis del modelo FERNC_UPB frente a la Resolución CREG 148 de 2021</w:t>
      </w:r>
    </w:p>
    <w:p>
      <w:pPr>
        <w:spacing w:after="40"/>
        <w:jc w:val="center"/>
      </w:pPr>
      <w:r>
        <w:rPr>
          <w:sz w:val="22"/>
          <w:szCs w:val="22"/>
        </w:rPr>
        <w:t xml:space="preserve">Jacobo Durán Aristizábal</w:t>
      </w:r>
    </w:p>
    <w:p>
      <w:pPr>
        <w:spacing w:after="40"/>
        <w:jc w:val="center"/>
      </w:pPr>
      <w:r>
        <w:rPr>
          <w:sz w:val="20"/>
          <w:szCs w:val="20"/>
        </w:rPr>
        <w:t xml:space="preserve">Diplomado Marco estratégico de la transición energética y el mercado de energía, UPB y XM</w:t>
      </w:r>
    </w:p>
    <w:p>
      <w:pPr>
        <w:pBdr>
          <w:bottom w:val="single" w:color="0F4761" w:sz="6" w:space="8"/>
        </w:pBdr>
        <w:spacing w:after="280"/>
        <w:jc w:val="center"/>
      </w:pPr>
      <w:r>
        <w:rPr>
          <w:sz w:val="20"/>
          <w:szCs w:val="20"/>
        </w:rPr>
        <w:t xml:space="preserve">Octubre de 2026</w:t>
      </w:r>
    </w:p>
    <w:p>
      <w:pPr>
        <w:pStyle w:val="Heading1"/>
      </w:pPr>
      <w:r>
        <w:t xml:space="preserve">Descripción del modelo y metodología</w:t>
      </w:r>
    </w:p>
    <w:p>
      <w:pPr>
        <w:spacing w:after="120" w:line="276"/>
        <w:jc w:val="both"/>
      </w:pPr>
      <w:r>
        <w:t xml:space="preserve">El archivo FERNC_UPB.pfd representa una planta de 19,9 MW de capacidad efectiva neta (CEN) conectada a una red de 34,5 kV, por lo que le aplica el Capítulo 11 del Reglamento de Distribución adicionado por la Resolución CREG 148 de 2021 (plantas solares o eólicas en el SDL con CEN igual o mayor a 5 MW). La planta está modelada con los bloques genéricos WECC: </w:t>
      </w:r>
      <w:r>
        <w:rPr>
          <w:b/>
          <w:bCs/>
        </w:rPr>
        <w:t xml:space="preserve">REPC_C</w:t>
      </w:r>
      <w:r>
        <w:t xml:space="preserve"> (control de planta, con medición en el POI), </w:t>
      </w:r>
      <w:r>
        <w:rPr>
          <w:b/>
          <w:bCs/>
        </w:rPr>
        <w:t xml:space="preserve">REEC_A</w:t>
      </w:r>
      <w:r>
        <w:t xml:space="preserve"> (control eléctrico e inyección rápida de corriente reactiva), </w:t>
      </w:r>
      <w:r>
        <w:rPr>
          <w:b/>
          <w:bCs/>
        </w:rPr>
        <w:t xml:space="preserve">REGC_A</w:t>
      </w:r>
      <w:r>
        <w:t xml:space="preserve"> (convertidor) y un bloque de </w:t>
      </w:r>
      <w:r>
        <w:rPr>
          <w:b/>
          <w:bCs/>
        </w:rPr>
        <w:t xml:space="preserve">protecciones</w:t>
      </w:r>
      <w:r>
        <w:t xml:space="preserve"> de tensión y frecuencia. Todas las pruebas se hacen contra una barra infinita, donde una fuente AC en el POI impone los escalones de tensión y frecuencia.</w:t>
      </w:r>
    </w:p>
    <w:p>
      <w:pPr>
        <w:spacing w:after="120" w:line="276"/>
        <w:jc w:val="both"/>
      </w:pPr>
      <w:r>
        <w:t xml:space="preserve">Para los tiempos de respuesta se usan las definiciones del artículo 2 de la Resolución CREG 060 de 2019: el tiempo de respuesta inicial </w:t>
      </w:r>
      <w:r>
        <w:rPr>
          <w:b/>
          <w:bCs/>
        </w:rPr>
        <w:t xml:space="preserve">Tr</w:t>
      </w:r>
      <w:r>
        <w:t xml:space="preserve"> es el instante en que la señal alcanza el 3 % del cambio esperado y el tiempo de establecimiento </w:t>
      </w:r>
      <w:r>
        <w:rPr>
          <w:b/>
          <w:bCs/>
        </w:rPr>
        <w:t xml:space="preserve">Te</w:t>
      </w:r>
      <w:r>
        <w:t xml:space="preserve"> es el instante a partir del cual la señal permanece dentro de una banda de ±3 % alrededor de su valor final. La Tabla 1 resume los parámetros del modelo que se usan en el análisis.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188"/>
        <w:gridCol w:w="1836"/>
        <w:gridCol w:w="1728"/>
        <w:gridCol w:w="4318"/>
      </w:tblGrid>
      <w:tr>
        <w:trPr>
          <w:tblHeader/>
        </w:trPr>
        <w:tc>
          <w:tcPr>
            <w:tcW w:type="dxa" w:w="1188"/>
            <w:tcBorders>
              <w:top w:val="single" w:color="A6A6A6" w:sz="4"/>
              <w:left w:val="single" w:color="A6A6A6" w:sz="4"/>
              <w:bottom w:val="single" w:color="A6A6A6" w:sz="4"/>
              <w:right w:val="single" w:color="A6A6A6" w:sz="4"/>
            </w:tcBorders>
            <w:shd w:fill="DCE6EE" w:color="auto" w:val="clear"/>
            <w:tcMar>
              <w:top w:type="dxa" w:w="40"/>
              <w:left w:type="dxa" w:w="80"/>
              <w:bottom w:type="dxa" w:w="40"/>
              <w:right w:type="dxa" w:w="80"/>
            </w:tcMar>
            <w:vAlign w:val="center"/>
          </w:tcPr>
          <w:p>
            <w:pPr>
              <w:jc w:val="left"/>
            </w:pPr>
            <w:r>
              <w:rPr>
                <w:b/>
                <w:bCs/>
                <w:sz w:val="17"/>
                <w:szCs w:val="17"/>
              </w:rPr>
              <w:t xml:space="preserve">Bloque</w:t>
            </w:r>
          </w:p>
        </w:tc>
        <w:tc>
          <w:tcPr>
            <w:tcW w:type="dxa" w:w="1836"/>
            <w:tcBorders>
              <w:top w:val="single" w:color="A6A6A6" w:sz="4"/>
              <w:left w:val="single" w:color="A6A6A6" w:sz="4"/>
              <w:bottom w:val="single" w:color="A6A6A6" w:sz="4"/>
              <w:right w:val="single" w:color="A6A6A6" w:sz="4"/>
            </w:tcBorders>
            <w:shd w:fill="DCE6EE" w:color="auto" w:val="clear"/>
            <w:tcMar>
              <w:top w:type="dxa" w:w="40"/>
              <w:left w:type="dxa" w:w="80"/>
              <w:bottom w:type="dxa" w:w="40"/>
              <w:right w:type="dxa" w:w="80"/>
            </w:tcMar>
            <w:vAlign w:val="center"/>
          </w:tcPr>
          <w:p>
            <w:pPr>
              <w:jc w:val="center"/>
            </w:pPr>
            <w:r>
              <w:rPr>
                <w:b/>
                <w:bCs/>
                <w:sz w:val="17"/>
                <w:szCs w:val="17"/>
              </w:rPr>
              <w:t xml:space="preserve">Parámetro</w:t>
            </w:r>
          </w:p>
        </w:tc>
        <w:tc>
          <w:tcPr>
            <w:tcW w:type="dxa" w:w="1728"/>
            <w:tcBorders>
              <w:top w:val="single" w:color="A6A6A6" w:sz="4"/>
              <w:left w:val="single" w:color="A6A6A6" w:sz="4"/>
              <w:bottom w:val="single" w:color="A6A6A6" w:sz="4"/>
              <w:right w:val="single" w:color="A6A6A6" w:sz="4"/>
            </w:tcBorders>
            <w:shd w:fill="DCE6EE" w:color="auto" w:val="clear"/>
            <w:tcMar>
              <w:top w:type="dxa" w:w="40"/>
              <w:left w:type="dxa" w:w="80"/>
              <w:bottom w:type="dxa" w:w="40"/>
              <w:right w:type="dxa" w:w="80"/>
            </w:tcMar>
            <w:vAlign w:val="center"/>
          </w:tcPr>
          <w:p>
            <w:pPr>
              <w:jc w:val="center"/>
            </w:pPr>
            <w:r>
              <w:rPr>
                <w:b/>
                <w:bCs/>
                <w:sz w:val="17"/>
                <w:szCs w:val="17"/>
              </w:rPr>
              <w:t xml:space="preserve">Valor</w:t>
            </w:r>
          </w:p>
        </w:tc>
        <w:tc>
          <w:tcPr>
            <w:tcW w:type="dxa" w:w="4318"/>
            <w:tcBorders>
              <w:top w:val="single" w:color="A6A6A6" w:sz="4"/>
              <w:left w:val="single" w:color="A6A6A6" w:sz="4"/>
              <w:bottom w:val="single" w:color="A6A6A6" w:sz="4"/>
              <w:right w:val="single" w:color="A6A6A6" w:sz="4"/>
            </w:tcBorders>
            <w:shd w:fill="DCE6EE" w:color="auto" w:val="clear"/>
            <w:tcMar>
              <w:top w:type="dxa" w:w="40"/>
              <w:left w:type="dxa" w:w="80"/>
              <w:bottom w:type="dxa" w:w="40"/>
              <w:right w:type="dxa" w:w="80"/>
            </w:tcMar>
            <w:vAlign w:val="center"/>
          </w:tcPr>
          <w:p>
            <w:pPr>
              <w:jc w:val="center"/>
            </w:pPr>
            <w:r>
              <w:rPr>
                <w:b/>
                <w:bCs/>
                <w:sz w:val="17"/>
                <w:szCs w:val="17"/>
              </w:rPr>
              <w:t xml:space="preserve">Significado</w:t>
            </w:r>
          </w:p>
        </w:tc>
      </w:tr>
      <w:tr>
        <w:tc>
          <w:tcPr>
            <w:tcW w:type="dxa" w:w="118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sz w:val="17"/>
                <w:szCs w:val="17"/>
              </w:rPr>
              <w:t xml:space="preserve">REPC_C</w:t>
            </w:r>
          </w:p>
        </w:tc>
        <w:tc>
          <w:tcPr>
            <w:tcW w:type="dxa" w:w="1836"/>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FrqFlag / Ddn / Dup</w:t>
            </w:r>
          </w:p>
        </w:tc>
        <w:tc>
          <w:tcPr>
            <w:tcW w:type="dxa" w:w="172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1 / 25 / 25</w:t>
            </w:r>
          </w:p>
        </w:tc>
        <w:tc>
          <w:tcPr>
            <w:tcW w:type="dxa" w:w="431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Control P/f activo, estatismo R = 1/D = 4 % en sobre y subfrecuencia</w:t>
            </w:r>
          </w:p>
        </w:tc>
      </w:tr>
      <w:tr>
        <w:tc>
          <w:tcPr>
            <w:tcW w:type="dxa" w:w="118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sz w:val="17"/>
                <w:szCs w:val="17"/>
              </w:rPr>
              <w:t xml:space="preserve">REPC_C</w:t>
            </w:r>
          </w:p>
        </w:tc>
        <w:tc>
          <w:tcPr>
            <w:tcW w:type="dxa" w:w="1836"/>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fdbd1 / fdbd2</w:t>
            </w:r>
          </w:p>
        </w:tc>
        <w:tc>
          <w:tcPr>
            <w:tcW w:type="dxa" w:w="172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±0,0005 p.u.</w:t>
            </w:r>
          </w:p>
        </w:tc>
        <w:tc>
          <w:tcPr>
            <w:tcW w:type="dxa" w:w="431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Banda muerta de frecuencia de ±30 mHz</w:t>
            </w:r>
          </w:p>
        </w:tc>
      </w:tr>
      <w:tr>
        <w:tc>
          <w:tcPr>
            <w:tcW w:type="dxa" w:w="118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sz w:val="17"/>
                <w:szCs w:val="17"/>
              </w:rPr>
              <w:t xml:space="preserve">REPC_C</w:t>
            </w:r>
          </w:p>
        </w:tc>
        <w:tc>
          <w:tcPr>
            <w:tcW w:type="dxa" w:w="1836"/>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Kpg / Kig / Tlag</w:t>
            </w:r>
          </w:p>
        </w:tc>
        <w:tc>
          <w:tcPr>
            <w:tcW w:type="dxa" w:w="172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0,01 / 0,28 / 1 s</w:t>
            </w:r>
          </w:p>
        </w:tc>
        <w:tc>
          <w:tcPr>
            <w:tcW w:type="dxa" w:w="431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PI del lazo de potencia activa</w:t>
            </w:r>
          </w:p>
        </w:tc>
      </w:tr>
      <w:tr>
        <w:tc>
          <w:tcPr>
            <w:tcW w:type="dxa" w:w="118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sz w:val="17"/>
                <w:szCs w:val="17"/>
              </w:rPr>
              <w:t xml:space="preserve">REPC_C</w:t>
            </w:r>
          </w:p>
        </w:tc>
        <w:tc>
          <w:tcPr>
            <w:tcW w:type="dxa" w:w="1836"/>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RefFlag / Kc / db</w:t>
            </w:r>
          </w:p>
        </w:tc>
        <w:tc>
          <w:tcPr>
            <w:tcW w:type="dxa" w:w="172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2 / 0,04 / 0,0001</w:t>
            </w:r>
          </w:p>
        </w:tc>
        <w:tc>
          <w:tcPr>
            <w:tcW w:type="dxa" w:w="431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Modo FP en el caso base, estatismo V/Q, banda muerta de tensión</w:t>
            </w:r>
          </w:p>
        </w:tc>
      </w:tr>
      <w:tr>
        <w:tc>
          <w:tcPr>
            <w:tcW w:type="dxa" w:w="118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sz w:val="17"/>
                <w:szCs w:val="17"/>
              </w:rPr>
              <w:t xml:space="preserve">REPC_C</w:t>
            </w:r>
          </w:p>
        </w:tc>
        <w:tc>
          <w:tcPr>
            <w:tcW w:type="dxa" w:w="1836"/>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Kp / Ki</w:t>
            </w:r>
          </w:p>
        </w:tc>
        <w:tc>
          <w:tcPr>
            <w:tcW w:type="dxa" w:w="172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0,05 / 0,75</w:t>
            </w:r>
          </w:p>
        </w:tc>
        <w:tc>
          <w:tcPr>
            <w:tcW w:type="dxa" w:w="431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PI del lazo de tensión y reactiva</w:t>
            </w:r>
          </w:p>
        </w:tc>
      </w:tr>
      <w:tr>
        <w:tc>
          <w:tcPr>
            <w:tcW w:type="dxa" w:w="118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sz w:val="17"/>
                <w:szCs w:val="17"/>
              </w:rPr>
              <w:t xml:space="preserve">REEC_A</w:t>
            </w:r>
          </w:p>
        </w:tc>
        <w:tc>
          <w:tcPr>
            <w:tcW w:type="dxa" w:w="1836"/>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Kqv / db1, db2</w:t>
            </w:r>
          </w:p>
        </w:tc>
        <w:tc>
          <w:tcPr>
            <w:tcW w:type="dxa" w:w="172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2 / ±0,02 p.u.</w:t>
            </w:r>
          </w:p>
        </w:tc>
        <w:tc>
          <w:tcPr>
            <w:tcW w:type="dxa" w:w="431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Factor k de inyección rápida y banda de cálculo</w:t>
            </w:r>
          </w:p>
        </w:tc>
      </w:tr>
      <w:tr>
        <w:tc>
          <w:tcPr>
            <w:tcW w:type="dxa" w:w="118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sz w:val="17"/>
                <w:szCs w:val="17"/>
              </w:rPr>
              <w:t xml:space="preserve">REEC_A</w:t>
            </w:r>
          </w:p>
        </w:tc>
        <w:tc>
          <w:tcPr>
            <w:tcW w:type="dxa" w:w="1836"/>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Vdip / Vup</w:t>
            </w:r>
          </w:p>
        </w:tc>
        <w:tc>
          <w:tcPr>
            <w:tcW w:type="dxa" w:w="172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0,92 / 1,121 p.u.</w:t>
            </w:r>
          </w:p>
        </w:tc>
        <w:tc>
          <w:tcPr>
            <w:tcW w:type="dxa" w:w="431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Umbrales de activación del modo falla (en el inversor)</w:t>
            </w:r>
          </w:p>
        </w:tc>
      </w:tr>
      <w:tr>
        <w:tc>
          <w:tcPr>
            <w:tcW w:type="dxa" w:w="118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sz w:val="17"/>
                <w:szCs w:val="17"/>
              </w:rPr>
              <w:t xml:space="preserve">REEC_A</w:t>
            </w:r>
          </w:p>
        </w:tc>
        <w:tc>
          <w:tcPr>
            <w:tcW w:type="dxa" w:w="1836"/>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Thld / PqFlag / Imax</w:t>
            </w:r>
          </w:p>
        </w:tc>
        <w:tc>
          <w:tcPr>
            <w:tcW w:type="dxa" w:w="172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−0,5 s / 0 / 1 p.u.</w:t>
            </w:r>
          </w:p>
        </w:tc>
        <w:tc>
          <w:tcPr>
            <w:tcW w:type="dxa" w:w="431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Sostenimiento, prioridad de Q y corriente máxima</w:t>
            </w:r>
          </w:p>
        </w:tc>
      </w:tr>
      <w:tr>
        <w:tc>
          <w:tcPr>
            <w:tcW w:type="dxa" w:w="118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sz w:val="17"/>
                <w:szCs w:val="17"/>
              </w:rPr>
              <w:t xml:space="preserve">REGC_A</w:t>
            </w:r>
          </w:p>
        </w:tc>
        <w:tc>
          <w:tcPr>
            <w:tcW w:type="dxa" w:w="1836"/>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Lvplsw / lvpnt0 / rrpwr</w:t>
            </w:r>
          </w:p>
        </w:tc>
        <w:tc>
          <w:tcPr>
            <w:tcW w:type="dxa" w:w="172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1 / 0,4 p.u. / 3 p.u./s</w:t>
            </w:r>
          </w:p>
        </w:tc>
        <w:tc>
          <w:tcPr>
            <w:tcW w:type="dxa" w:w="431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Reducción de corriente activa en baja tensión y rampa de recuperación</w:t>
            </w:r>
          </w:p>
        </w:tc>
      </w:tr>
      <w:tr>
        <w:tc>
          <w:tcPr>
            <w:tcW w:type="dxa" w:w="118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sz w:val="17"/>
                <w:szCs w:val="17"/>
              </w:rPr>
              <w:t xml:space="preserve">Protección</w:t>
            </w:r>
          </w:p>
        </w:tc>
        <w:tc>
          <w:tcPr>
            <w:tcW w:type="dxa" w:w="1836"/>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f_min / f_max</w:t>
            </w:r>
          </w:p>
        </w:tc>
        <w:tc>
          <w:tcPr>
            <w:tcW w:type="dxa" w:w="172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57,49 / 63,01 Hz (0,1 s)</w:t>
            </w:r>
          </w:p>
        </w:tc>
        <w:tc>
          <w:tcPr>
            <w:tcW w:type="dxa" w:w="431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Disparo por frecuencia; ROCOF deshabilitado</w:t>
            </w:r>
          </w:p>
        </w:tc>
      </w:tr>
    </w:tbl>
    <w:p>
      <w:pPr>
        <w:spacing w:after="200" w:before="60"/>
        <w:jc w:val="center"/>
      </w:pPr>
      <w:r>
        <w:rPr>
          <w:i/>
          <w:iCs/>
          <w:sz w:val="18"/>
          <w:szCs w:val="18"/>
        </w:rPr>
        <w:t xml:space="preserve">Tabla 1. Parámetros relevantes del modelo FERNC_UPB.</w:t>
      </w:r>
    </w:p>
    <w:p>
      <w:pPr>
        <w:pStyle w:val="Heading1"/>
      </w:pPr>
      <w:r>
        <w:t xml:space="preserve">Literal a. Control de potencia activa/frecuencia (numeral 11.2.1)</w:t>
      </w:r>
    </w:p>
    <w:p>
      <w:pPr>
        <w:spacing w:after="120" w:line="276"/>
        <w:jc w:val="both"/>
      </w:pPr>
      <w:r>
        <w:t xml:space="preserve">La respuesta esperada ante un escalón de frecuencia Δf se calcula con el estatismo R, la banda muerta f_db y la CEN P_n:</w:t>
      </w:r>
    </w:p>
    <w:p>
      <w:pPr>
        <w:tabs>
          <w:tab w:val="center" w:pos="4535"/>
          <w:tab w:val="right" w:pos="9070"/>
        </w:tabs>
        <w:spacing w:after="120" w:before="80"/>
      </w:pPr>
      <w:r>
        <w:t xml:space="preserve">	</w:t>
      </w:r>
      <m:oMath>
        <m:r>
          <m:t>Δ</m:t>
        </m:r>
        <m:sSub>
          <m:sSubPr/>
          <m:e>
            <m:r>
              <m:t>P</m:t>
            </m:r>
          </m:e>
          <m:sub>
            <m:r>
              <m:t>esp</m:t>
            </m:r>
          </m:sub>
        </m:sSub>
        <m:r>
          <m:t>=</m:t>
        </m:r>
        <m:f>
          <m:num>
            <m:r>
              <m:t>Δf−</m:t>
            </m:r>
            <m:sSub>
              <m:sSubPr/>
              <m:e>
                <m:r>
                  <m:t>f</m:t>
                </m:r>
              </m:e>
              <m:sub>
                <m:r>
                  <m:t>db</m:t>
                </m:r>
              </m:sub>
            </m:sSub>
          </m:num>
          <m:den>
            <m:sSub>
              <m:sSubPr/>
              <m:e>
                <m:r>
                  <m:t>f</m:t>
                </m:r>
              </m:e>
              <m:sub>
                <m:r>
                  <m:t>n</m:t>
                </m:r>
              </m:sub>
            </m:sSub>
          </m:den>
        </m:f>
        <m:r>
          <m:t>·</m:t>
        </m:r>
        <m:f>
          <m:num>
            <m:r>
              <m:t>1</m:t>
            </m:r>
          </m:num>
          <m:den>
            <m:r>
              <m:t>R</m:t>
            </m:r>
          </m:den>
        </m:f>
        <m:r>
          <m:t>·</m:t>
        </m:r>
        <m:sSub>
          <m:sSubPr/>
          <m:e>
            <m:r>
              <m:t>P</m:t>
            </m:r>
          </m:e>
          <m:sub>
            <m:r>
              <m:t>n</m:t>
            </m:r>
          </m:sub>
        </m:sSub>
        <m:r>
          <m:t>=</m:t>
        </m:r>
        <m:f>
          <m:num>
            <m:r>
              <m:t>0,2−0,03</m:t>
            </m:r>
          </m:num>
          <m:den>
            <m:r>
              <m:t>60</m:t>
            </m:r>
          </m:den>
        </m:f>
        <m:r>
          <m:t>·25·19,9=1,409 MW</m:t>
        </m:r>
      </m:oMath>
      <w:r>
        <w:t xml:space="preserve">	(1)</w:t>
      </w:r>
    </w:p>
    <w:p>
      <w:pPr>
        <w:spacing w:after="120" w:line="276"/>
        <w:jc w:val="both"/>
      </w:pPr>
      <w:r>
        <w:t xml:space="preserve">donde Δf es la magnitud del escalón. El estatismo medido en la simulación se obtiene invirtiendo la misma relación:</w:t>
      </w:r>
    </w:p>
    <w:p>
      <w:pPr>
        <w:tabs>
          <w:tab w:val="center" w:pos="4535"/>
          <w:tab w:val="right" w:pos="9070"/>
        </w:tabs>
        <w:spacing w:after="120" w:before="80"/>
      </w:pPr>
      <w:r>
        <w:t xml:space="preserve">	</w:t>
      </w:r>
      <m:oMath>
        <m:sSub>
          <m:sSubPr/>
          <m:e>
            <m:r>
              <m:t>R</m:t>
            </m:r>
          </m:e>
          <m:sub>
            <m:r>
              <m:t>med</m:t>
            </m:r>
          </m:sub>
        </m:sSub>
        <m:r>
          <m:t>=</m:t>
        </m:r>
        <m:f>
          <m:num>
            <m:d>
              <m:dPr/>
              <m:e>
                <m:r>
                  <m:t>Δf−</m:t>
                </m:r>
                <m:sSub>
                  <m:sSubPr/>
                  <m:e>
                    <m:r>
                      <m:t>f</m:t>
                    </m:r>
                  </m:e>
                  <m:sub>
                    <m:r>
                      <m:t>db</m:t>
                    </m:r>
                  </m:sub>
                </m:sSub>
              </m:e>
            </m:d>
            <m:r>
              <m:t>/</m:t>
            </m:r>
            <m:sSub>
              <m:sSubPr/>
              <m:e>
                <m:r>
                  <m:t>f</m:t>
                </m:r>
              </m:e>
              <m:sub>
                <m:r>
                  <m:t>n</m:t>
                </m:r>
              </m:sub>
            </m:sSub>
          </m:num>
          <m:den>
            <m:r>
              <m:t>ΔP/</m:t>
            </m:r>
            <m:sSub>
              <m:sSubPr/>
              <m:e>
                <m:r>
                  <m:t>P</m:t>
                </m:r>
              </m:e>
              <m:sub>
                <m:r>
                  <m:t>n</m:t>
                </m:r>
              </m:sub>
            </m:sSub>
          </m:den>
        </m:f>
      </m:oMath>
      <w:r>
        <w:t xml:space="preserve">	(2)</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68"/>
        <w:gridCol w:w="1340"/>
        <w:gridCol w:w="1340"/>
        <w:gridCol w:w="1134"/>
        <w:gridCol w:w="1134"/>
        <w:gridCol w:w="928"/>
        <w:gridCol w:w="926"/>
      </w:tblGrid>
      <w:tr>
        <w:trPr>
          <w:tblHeader/>
        </w:trPr>
        <w:tc>
          <w:tcPr>
            <w:tcW w:type="dxa" w:w="2268"/>
            <w:tcBorders>
              <w:top w:val="single" w:color="A6A6A6" w:sz="4"/>
              <w:left w:val="single" w:color="A6A6A6" w:sz="4"/>
              <w:bottom w:val="single" w:color="A6A6A6" w:sz="4"/>
              <w:right w:val="single" w:color="A6A6A6" w:sz="4"/>
            </w:tcBorders>
            <w:shd w:fill="DCE6EE" w:color="auto" w:val="clear"/>
            <w:tcMar>
              <w:top w:type="dxa" w:w="40"/>
              <w:left w:type="dxa" w:w="80"/>
              <w:bottom w:type="dxa" w:w="40"/>
              <w:right w:type="dxa" w:w="80"/>
            </w:tcMar>
            <w:vAlign w:val="center"/>
          </w:tcPr>
          <w:p>
            <w:pPr>
              <w:jc w:val="left"/>
            </w:pPr>
            <w:r>
              <w:rPr>
                <w:b/>
                <w:bCs/>
                <w:sz w:val="17"/>
                <w:szCs w:val="17"/>
              </w:rPr>
              <w:t xml:space="preserve">Caso</w:t>
            </w:r>
          </w:p>
        </w:tc>
        <w:tc>
          <w:tcPr>
            <w:tcW w:type="dxa" w:w="1340"/>
            <w:tcBorders>
              <w:top w:val="single" w:color="A6A6A6" w:sz="4"/>
              <w:left w:val="single" w:color="A6A6A6" w:sz="4"/>
              <w:bottom w:val="single" w:color="A6A6A6" w:sz="4"/>
              <w:right w:val="single" w:color="A6A6A6" w:sz="4"/>
            </w:tcBorders>
            <w:shd w:fill="DCE6EE" w:color="auto" w:val="clear"/>
            <w:tcMar>
              <w:top w:type="dxa" w:w="40"/>
              <w:left w:type="dxa" w:w="80"/>
              <w:bottom w:type="dxa" w:w="40"/>
              <w:right w:type="dxa" w:w="80"/>
            </w:tcMar>
            <w:vAlign w:val="center"/>
          </w:tcPr>
          <w:p>
            <w:pPr>
              <w:jc w:val="center"/>
            </w:pPr>
            <w:r>
              <w:rPr>
                <w:b/>
                <w:bCs/>
                <w:sz w:val="17"/>
                <w:szCs w:val="17"/>
              </w:rPr>
              <w:t xml:space="preserve">P inicial (MW)</w:t>
            </w:r>
          </w:p>
        </w:tc>
        <w:tc>
          <w:tcPr>
            <w:tcW w:type="dxa" w:w="1340"/>
            <w:tcBorders>
              <w:top w:val="single" w:color="A6A6A6" w:sz="4"/>
              <w:left w:val="single" w:color="A6A6A6" w:sz="4"/>
              <w:bottom w:val="single" w:color="A6A6A6" w:sz="4"/>
              <w:right w:val="single" w:color="A6A6A6" w:sz="4"/>
            </w:tcBorders>
            <w:shd w:fill="DCE6EE" w:color="auto" w:val="clear"/>
            <w:tcMar>
              <w:top w:type="dxa" w:w="40"/>
              <w:left w:type="dxa" w:w="80"/>
              <w:bottom w:type="dxa" w:w="40"/>
              <w:right w:type="dxa" w:w="80"/>
            </w:tcMar>
            <w:vAlign w:val="center"/>
          </w:tcPr>
          <w:p>
            <w:pPr>
              <w:jc w:val="center"/>
            </w:pPr>
            <w:r>
              <w:rPr>
                <w:b/>
                <w:bCs/>
                <w:sz w:val="17"/>
                <w:szCs w:val="17"/>
              </w:rPr>
              <w:t xml:space="preserve">P final (MW)</w:t>
            </w:r>
          </w:p>
        </w:tc>
        <w:tc>
          <w:tcPr>
            <w:tcW w:type="dxa" w:w="1134"/>
            <w:tcBorders>
              <w:top w:val="single" w:color="A6A6A6" w:sz="4"/>
              <w:left w:val="single" w:color="A6A6A6" w:sz="4"/>
              <w:bottom w:val="single" w:color="A6A6A6" w:sz="4"/>
              <w:right w:val="single" w:color="A6A6A6" w:sz="4"/>
            </w:tcBorders>
            <w:shd w:fill="DCE6EE" w:color="auto" w:val="clear"/>
            <w:tcMar>
              <w:top w:type="dxa" w:w="40"/>
              <w:left w:type="dxa" w:w="80"/>
              <w:bottom w:type="dxa" w:w="40"/>
              <w:right w:type="dxa" w:w="80"/>
            </w:tcMar>
            <w:vAlign w:val="center"/>
          </w:tcPr>
          <w:p>
            <w:pPr>
              <w:jc w:val="center"/>
            </w:pPr>
            <w:r>
              <w:rPr>
                <w:b/>
                <w:bCs/>
                <w:sz w:val="17"/>
                <w:szCs w:val="17"/>
              </w:rPr>
              <w:t xml:space="preserve">ΔP (MW)</w:t>
            </w:r>
          </w:p>
        </w:tc>
        <w:tc>
          <w:tcPr>
            <w:tcW w:type="dxa" w:w="1134"/>
            <w:tcBorders>
              <w:top w:val="single" w:color="A6A6A6" w:sz="4"/>
              <w:left w:val="single" w:color="A6A6A6" w:sz="4"/>
              <w:bottom w:val="single" w:color="A6A6A6" w:sz="4"/>
              <w:right w:val="single" w:color="A6A6A6" w:sz="4"/>
            </w:tcBorders>
            <w:shd w:fill="DCE6EE" w:color="auto" w:val="clear"/>
            <w:tcMar>
              <w:top w:type="dxa" w:w="40"/>
              <w:left w:type="dxa" w:w="80"/>
              <w:bottom w:type="dxa" w:w="40"/>
              <w:right w:type="dxa" w:w="80"/>
            </w:tcMar>
            <w:vAlign w:val="center"/>
          </w:tcPr>
          <w:p>
            <w:pPr>
              <w:jc w:val="center"/>
            </w:pPr>
            <w:r>
              <w:rPr>
                <w:b/>
                <w:bCs/>
                <w:sz w:val="17"/>
                <w:szCs w:val="17"/>
              </w:rPr>
              <w:t xml:space="preserve">R medido</w:t>
            </w:r>
          </w:p>
        </w:tc>
        <w:tc>
          <w:tcPr>
            <w:tcW w:type="dxa" w:w="928"/>
            <w:tcBorders>
              <w:top w:val="single" w:color="A6A6A6" w:sz="4"/>
              <w:left w:val="single" w:color="A6A6A6" w:sz="4"/>
              <w:bottom w:val="single" w:color="A6A6A6" w:sz="4"/>
              <w:right w:val="single" w:color="A6A6A6" w:sz="4"/>
            </w:tcBorders>
            <w:shd w:fill="DCE6EE" w:color="auto" w:val="clear"/>
            <w:tcMar>
              <w:top w:type="dxa" w:w="40"/>
              <w:left w:type="dxa" w:w="80"/>
              <w:bottom w:type="dxa" w:w="40"/>
              <w:right w:type="dxa" w:w="80"/>
            </w:tcMar>
            <w:vAlign w:val="center"/>
          </w:tcPr>
          <w:p>
            <w:pPr>
              <w:jc w:val="center"/>
            </w:pPr>
            <w:r>
              <w:rPr>
                <w:b/>
                <w:bCs/>
                <w:sz w:val="17"/>
                <w:szCs w:val="17"/>
              </w:rPr>
              <w:t xml:space="preserve">Tr (s)</w:t>
            </w:r>
          </w:p>
        </w:tc>
        <w:tc>
          <w:tcPr>
            <w:tcW w:type="dxa" w:w="926"/>
            <w:tcBorders>
              <w:top w:val="single" w:color="A6A6A6" w:sz="4"/>
              <w:left w:val="single" w:color="A6A6A6" w:sz="4"/>
              <w:bottom w:val="single" w:color="A6A6A6" w:sz="4"/>
              <w:right w:val="single" w:color="A6A6A6" w:sz="4"/>
            </w:tcBorders>
            <w:shd w:fill="DCE6EE" w:color="auto" w:val="clear"/>
            <w:tcMar>
              <w:top w:type="dxa" w:w="40"/>
              <w:left w:type="dxa" w:w="80"/>
              <w:bottom w:type="dxa" w:w="40"/>
              <w:right w:type="dxa" w:w="80"/>
            </w:tcMar>
            <w:vAlign w:val="center"/>
          </w:tcPr>
          <w:p>
            <w:pPr>
              <w:jc w:val="center"/>
            </w:pPr>
            <w:r>
              <w:rPr>
                <w:b/>
                <w:bCs/>
                <w:sz w:val="17"/>
                <w:szCs w:val="17"/>
              </w:rPr>
              <w:t xml:space="preserve">Te (s)</w:t>
            </w:r>
          </w:p>
        </w:tc>
      </w:tr>
      <w:tr>
        <w:tc>
          <w:tcPr>
            <w:tcW w:type="dxa" w:w="226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sz w:val="17"/>
                <w:szCs w:val="17"/>
              </w:rPr>
              <w:t xml:space="preserve">20 % CEN, 60,2 Hz</w:t>
            </w:r>
          </w:p>
        </w:tc>
        <w:tc>
          <w:tcPr>
            <w:tcW w:type="dxa" w:w="134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3,98</w:t>
            </w:r>
          </w:p>
        </w:tc>
        <w:tc>
          <w:tcPr>
            <w:tcW w:type="dxa" w:w="134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2,571</w:t>
            </w:r>
          </w:p>
        </w:tc>
        <w:tc>
          <w:tcPr>
            <w:tcW w:type="dxa" w:w="1134"/>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−1,409</w:t>
            </w:r>
          </w:p>
        </w:tc>
        <w:tc>
          <w:tcPr>
            <w:tcW w:type="dxa" w:w="1134"/>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4,0 %</w:t>
            </w:r>
          </w:p>
        </w:tc>
        <w:tc>
          <w:tcPr>
            <w:tcW w:type="dxa" w:w="92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0,50</w:t>
            </w:r>
          </w:p>
        </w:tc>
        <w:tc>
          <w:tcPr>
            <w:tcW w:type="dxa" w:w="926"/>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9,17</w:t>
            </w:r>
          </w:p>
        </w:tc>
      </w:tr>
      <w:tr>
        <w:tc>
          <w:tcPr>
            <w:tcW w:type="dxa" w:w="226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sz w:val="17"/>
                <w:szCs w:val="17"/>
              </w:rPr>
              <w:t xml:space="preserve">20 % CEN, 59,8 Hz</w:t>
            </w:r>
          </w:p>
        </w:tc>
        <w:tc>
          <w:tcPr>
            <w:tcW w:type="dxa" w:w="134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3,98</w:t>
            </w:r>
          </w:p>
        </w:tc>
        <w:tc>
          <w:tcPr>
            <w:tcW w:type="dxa" w:w="134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5,39</w:t>
            </w:r>
          </w:p>
        </w:tc>
        <w:tc>
          <w:tcPr>
            <w:tcW w:type="dxa" w:w="1134"/>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+1,41</w:t>
            </w:r>
          </w:p>
        </w:tc>
        <w:tc>
          <w:tcPr>
            <w:tcW w:type="dxa" w:w="1134"/>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4,0 %</w:t>
            </w:r>
          </w:p>
        </w:tc>
        <w:tc>
          <w:tcPr>
            <w:tcW w:type="dxa" w:w="92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0,52</w:t>
            </w:r>
          </w:p>
        </w:tc>
        <w:tc>
          <w:tcPr>
            <w:tcW w:type="dxa" w:w="926"/>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9,21</w:t>
            </w:r>
          </w:p>
        </w:tc>
      </w:tr>
      <w:tr>
        <w:tc>
          <w:tcPr>
            <w:tcW w:type="dxa" w:w="226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sz w:val="17"/>
                <w:szCs w:val="17"/>
              </w:rPr>
              <w:t xml:space="preserve">50 % CEN, 60,2 Hz</w:t>
            </w:r>
          </w:p>
        </w:tc>
        <w:tc>
          <w:tcPr>
            <w:tcW w:type="dxa" w:w="134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9,95</w:t>
            </w:r>
          </w:p>
        </w:tc>
        <w:tc>
          <w:tcPr>
            <w:tcW w:type="dxa" w:w="134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8,541</w:t>
            </w:r>
          </w:p>
        </w:tc>
        <w:tc>
          <w:tcPr>
            <w:tcW w:type="dxa" w:w="1134"/>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−1,409</w:t>
            </w:r>
          </w:p>
        </w:tc>
        <w:tc>
          <w:tcPr>
            <w:tcW w:type="dxa" w:w="1134"/>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4,0 %</w:t>
            </w:r>
          </w:p>
        </w:tc>
        <w:tc>
          <w:tcPr>
            <w:tcW w:type="dxa" w:w="92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0,44</w:t>
            </w:r>
          </w:p>
        </w:tc>
        <w:tc>
          <w:tcPr>
            <w:tcW w:type="dxa" w:w="926"/>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9,38</w:t>
            </w:r>
          </w:p>
        </w:tc>
      </w:tr>
      <w:tr>
        <w:tc>
          <w:tcPr>
            <w:tcW w:type="dxa" w:w="226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sz w:val="17"/>
                <w:szCs w:val="17"/>
              </w:rPr>
              <w:t xml:space="preserve">50 % CEN, 59,8 Hz</w:t>
            </w:r>
          </w:p>
        </w:tc>
        <w:tc>
          <w:tcPr>
            <w:tcW w:type="dxa" w:w="134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9,95</w:t>
            </w:r>
          </w:p>
        </w:tc>
        <w:tc>
          <w:tcPr>
            <w:tcW w:type="dxa" w:w="134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11,36</w:t>
            </w:r>
          </w:p>
        </w:tc>
        <w:tc>
          <w:tcPr>
            <w:tcW w:type="dxa" w:w="1134"/>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+1,41</w:t>
            </w:r>
          </w:p>
        </w:tc>
        <w:tc>
          <w:tcPr>
            <w:tcW w:type="dxa" w:w="1134"/>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4,0 %</w:t>
            </w:r>
          </w:p>
        </w:tc>
        <w:tc>
          <w:tcPr>
            <w:tcW w:type="dxa" w:w="92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0,49</w:t>
            </w:r>
          </w:p>
        </w:tc>
        <w:tc>
          <w:tcPr>
            <w:tcW w:type="dxa" w:w="926"/>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9,35</w:t>
            </w:r>
          </w:p>
        </w:tc>
      </w:tr>
      <w:tr>
        <w:tc>
          <w:tcPr>
            <w:tcW w:type="dxa" w:w="226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sz w:val="17"/>
                <w:szCs w:val="17"/>
              </w:rPr>
              <w:t xml:space="preserve">100 % CEN, 60,2 Hz</w:t>
            </w:r>
          </w:p>
        </w:tc>
        <w:tc>
          <w:tcPr>
            <w:tcW w:type="dxa" w:w="134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19,9</w:t>
            </w:r>
          </w:p>
        </w:tc>
        <w:tc>
          <w:tcPr>
            <w:tcW w:type="dxa" w:w="134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18,49</w:t>
            </w:r>
          </w:p>
        </w:tc>
        <w:tc>
          <w:tcPr>
            <w:tcW w:type="dxa" w:w="1134"/>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−1,41</w:t>
            </w:r>
          </w:p>
        </w:tc>
        <w:tc>
          <w:tcPr>
            <w:tcW w:type="dxa" w:w="1134"/>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4,0 %</w:t>
            </w:r>
          </w:p>
        </w:tc>
        <w:tc>
          <w:tcPr>
            <w:tcW w:type="dxa" w:w="92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0,17</w:t>
            </w:r>
          </w:p>
        </w:tc>
        <w:tc>
          <w:tcPr>
            <w:tcW w:type="dxa" w:w="926"/>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9,77</w:t>
            </w:r>
          </w:p>
        </w:tc>
      </w:tr>
      <w:tr>
        <w:tc>
          <w:tcPr>
            <w:tcW w:type="dxa" w:w="226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sz w:val="17"/>
                <w:szCs w:val="17"/>
              </w:rPr>
              <w:t xml:space="preserve">100 % CEN, 59,8 Hz</w:t>
            </w:r>
          </w:p>
        </w:tc>
        <w:tc>
          <w:tcPr>
            <w:tcW w:type="dxa" w:w="134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19,9</w:t>
            </w:r>
          </w:p>
        </w:tc>
        <w:tc>
          <w:tcPr>
            <w:tcW w:type="dxa" w:w="1340"/>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21,31</w:t>
            </w:r>
          </w:p>
        </w:tc>
        <w:tc>
          <w:tcPr>
            <w:tcW w:type="dxa" w:w="1134"/>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+1,41</w:t>
            </w:r>
          </w:p>
        </w:tc>
        <w:tc>
          <w:tcPr>
            <w:tcW w:type="dxa" w:w="1134"/>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4,0 %</w:t>
            </w:r>
          </w:p>
        </w:tc>
        <w:tc>
          <w:tcPr>
            <w:tcW w:type="dxa" w:w="92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0,33</w:t>
            </w:r>
          </w:p>
        </w:tc>
        <w:tc>
          <w:tcPr>
            <w:tcW w:type="dxa" w:w="926"/>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9,69</w:t>
            </w:r>
          </w:p>
        </w:tc>
      </w:tr>
    </w:tbl>
    <w:p>
      <w:pPr>
        <w:spacing w:after="200" w:before="60"/>
        <w:jc w:val="center"/>
      </w:pPr>
      <w:r>
        <w:rPr>
          <w:i/>
          <w:iCs/>
          <w:sz w:val="18"/>
          <w:szCs w:val="18"/>
        </w:rPr>
        <w:t xml:space="preserve">Tabla 2. Resultados de los escalones de frecuencia de la carpeta 02_Pruebas_Control.</w:t>
      </w:r>
    </w:p>
    <w:tbl>
      <w:tblPr>
        <w:tblW w:type="dxa" w:w="9070"/>
        <w:tblBorders>
          <w:top w:val="none" w:sz="0"/>
          <w:left w:val="none" w:sz="0"/>
          <w:bottom w:val="none" w:sz="0"/>
          <w:right w:val="none" w:sz="0"/>
          <w:insideH w:val="none" w:sz="0"/>
          <w:insideV w:val="none" w:sz="0"/>
        </w:tblBorders>
      </w:tblPr>
      <w:tblGrid>
        <w:gridCol w:w="4535"/>
        <w:gridCol w:w="4535"/>
      </w:tblGrid>
      <w:tr>
        <w:tc>
          <w:tcPr>
            <w:tcW w:type="dxa" w:w="4535"/>
            <w:tcBorders>
              <w:top w:val="none" w:sz="0"/>
              <w:left w:val="none" w:sz="0"/>
              <w:bottom w:val="none" w:sz="0"/>
              <w:right w:val="none" w:sz="0"/>
            </w:tcBorders>
          </w:tcPr>
          <w:p>
            <w:pPr>
              <w:jc w:val="center"/>
            </w:pPr>
            <w:r>
              <w:drawing>
                <wp:inline distT="0" distB="0" distL="0" distR="0">
                  <wp:extent cx="276225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0" cy="1952625"/>
                          </a:xfrm>
                          <a:prstGeom prst="rect">
                            <a:avLst/>
                          </a:prstGeom>
                        </pic:spPr>
                      </pic:pic>
                    </a:graphicData>
                  </a:graphic>
                </wp:inline>
              </w:drawing>
            </w:r>
          </w:p>
          <w:p>
            <w:pPr>
              <w:spacing w:after="60"/>
              <w:jc w:val="center"/>
            </w:pPr>
            <w:r>
              <w:rPr>
                <w:i/>
                <w:iCs/>
                <w:sz w:val="16"/>
                <w:szCs w:val="16"/>
              </w:rPr>
              <w:t xml:space="preserve">Escalón de 60,2 Hz al 50 % de la CEN</w:t>
            </w:r>
          </w:p>
        </w:tc>
        <w:tc>
          <w:tcPr>
            <w:tcW w:type="dxa" w:w="4535"/>
            <w:tcBorders>
              <w:top w:val="none" w:sz="0"/>
              <w:left w:val="none" w:sz="0"/>
              <w:bottom w:val="none" w:sz="0"/>
              <w:right w:val="none" w:sz="0"/>
            </w:tcBorders>
          </w:tcPr>
          <w:p>
            <w:pPr>
              <w:jc w:val="center"/>
            </w:pPr>
            <w:r>
              <w:drawing>
                <wp:inline distT="0" distB="0" distL="0" distR="0">
                  <wp:extent cx="276225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0" cy="1952625"/>
                          </a:xfrm>
                          <a:prstGeom prst="rect">
                            <a:avLst/>
                          </a:prstGeom>
                        </pic:spPr>
                      </pic:pic>
                    </a:graphicData>
                  </a:graphic>
                </wp:inline>
              </w:drawing>
            </w:r>
          </w:p>
          <w:p>
            <w:pPr>
              <w:spacing w:after="60"/>
              <w:jc w:val="center"/>
            </w:pPr>
            <w:r>
              <w:rPr>
                <w:i/>
                <w:iCs/>
                <w:sz w:val="16"/>
                <w:szCs w:val="16"/>
              </w:rPr>
              <w:t xml:space="preserve">Escalón de 59,8 Hz al 50 % de la CEN</w:t>
            </w:r>
          </w:p>
        </w:tc>
      </w:tr>
    </w:tbl>
    <w:p>
      <w:pPr>
        <w:spacing w:after="200" w:before="60"/>
        <w:jc w:val="center"/>
      </w:pPr>
      <w:r>
        <w:rPr>
          <w:i/>
          <w:iCs/>
          <w:sz w:val="18"/>
          <w:szCs w:val="18"/>
        </w:rPr>
        <w:t xml:space="preserve">Figura 1. Potencia activa ante escalones de frecuencia, con las bandas del 3 % para medir Tr y Te.</w:t>
      </w:r>
    </w:p>
    <w:p>
      <w:pPr>
        <w:pStyle w:val="Heading2"/>
      </w:pPr>
      <w:r>
        <w:t xml:space="preserve">a.i. Características generales (numeral 11.2.1.1)</w:t>
      </w:r>
    </w:p>
    <w:p>
      <w:pPr>
        <w:spacing w:after="120" w:line="276"/>
        <w:jc w:val="both"/>
      </w:pPr>
      <w:r>
        <w:rPr>
          <w:b/>
          <w:bCs/>
        </w:rPr>
        <w:t xml:space="preserve">a) Rango de 57,5 a 63 Hz.</w:t>
      </w:r>
      <w:r>
        <w:t xml:space="preserve"> La protección de frecuencia dispara por debajo de 57,49 Hz y por encima de 63,01 Hz con 0,1 s, y la función ROCOF está deshabilitada, así que no hay disparos dentro del rango. Las pruebas de 03_Curvas_RT lo confirman: con 57,5, 58,6, 61,9 y 63 Hz la planta no se desconecta, y con 63,5 Hz dispara a los 0,299 s. Ese tiempo se explica por el filtro de medición (T_fmeas = 0,1 s) más la temporización del relé:</w:t>
      </w:r>
    </w:p>
    <w:p>
      <w:pPr>
        <w:tabs>
          <w:tab w:val="center" w:pos="4535"/>
          <w:tab w:val="right" w:pos="9070"/>
        </w:tabs>
        <w:spacing w:after="120" w:before="80"/>
      </w:pPr>
      <w:r>
        <w:t xml:space="preserve">	</w:t>
      </w:r>
      <m:oMath>
        <m:r>
          <m:t>t=</m:t>
        </m:r>
        <m:sSub>
          <m:sSubPr/>
          <m:e>
            <m:r>
              <m:t>T</m:t>
            </m:r>
          </m:e>
          <m:sub>
            <m:r>
              <m:t>fmeas</m:t>
            </m:r>
          </m:sub>
        </m:sSub>
        <m:r>
          <m:t>·ln</m:t>
        </m:r>
        <m:d>
          <m:dPr/>
          <m:e>
            <m:f>
              <m:num>
                <m:r>
                  <m:t>63,5−60</m:t>
                </m:r>
              </m:num>
              <m:den>
                <m:r>
                  <m:t>63,5−63,01</m:t>
                </m:r>
              </m:den>
            </m:f>
          </m:e>
        </m:d>
        <m:r>
          <m:t>+</m:t>
        </m:r>
        <m:sSub>
          <m:sSubPr/>
          <m:e>
            <m:r>
              <m:t>T</m:t>
            </m:r>
          </m:e>
          <m:sub>
            <m:r>
              <m:t>fmax</m:t>
            </m:r>
          </m:sub>
        </m:sSub>
        <m:r>
          <m:t>=0,197+0,1≈0,30 s</m:t>
        </m:r>
      </m:oMath>
      <w:r>
        <w:t xml:space="preserve">	(3)</w:t>
      </w:r>
    </w:p>
    <w:p>
      <w:pPr>
        <w:spacing w:after="120" w:line="276"/>
        <w:jc w:val="both"/>
      </w:pPr>
      <w:r>
        <w:rPr>
          <w:b/>
          <w:bCs/>
        </w:rPr>
        <w:t xml:space="preserve">Cumple.</w:t>
      </w:r>
    </w:p>
    <w:p>
      <w:pPr>
        <w:spacing w:after="120" w:line="276"/>
        <w:jc w:val="both"/>
      </w:pPr>
      <w:r>
        <w:rPr>
          <w:b/>
          <w:bCs/>
        </w:rPr>
        <w:t xml:space="preserve">b) Control P/f con banda muerta y estatismo ajustables en ambos sentidos.</w:t>
      </w:r>
      <w:r>
        <w:t xml:space="preserve"> El REPC_C tiene FrqFlag = 1, banda muerta fdbd = ±0,0005 p.u. (30 mHz) y estatismos Ddn = Dup = 25 (R = 4 %). En la Tabla 2 la potencia baja ante sobrefrecuencia y sube ante subfrecuencia, con un estatismo medido de 4,0 % en todos los casos. </w:t>
      </w:r>
      <w:r>
        <w:rPr>
          <w:b/>
          <w:bCs/>
        </w:rPr>
        <w:t xml:space="preserve">Cumple.</w:t>
      </w:r>
    </w:p>
    <w:p>
      <w:pPr>
        <w:spacing w:after="120" w:line="276"/>
        <w:jc w:val="both"/>
      </w:pPr>
      <w:r>
        <w:rPr>
          <w:b/>
          <w:bCs/>
        </w:rPr>
        <w:t xml:space="preserve">c) Pruebas de respuesta primaria en sobre y subfrecuencia.</w:t>
      </w:r>
      <w:r>
        <w:t xml:space="preserve"> El modelo trae las pruebas de 59,8 Hz y 60,2 Hz a 20, 50 y 100 % de la CEN, y todas muestran la respuesta esperada. </w:t>
      </w:r>
      <w:r>
        <w:rPr>
          <w:b/>
          <w:bCs/>
        </w:rPr>
        <w:t xml:space="preserve">Cumple.</w:t>
      </w:r>
    </w:p>
    <w:p>
      <w:pPr>
        <w:spacing w:after="120" w:line="276"/>
        <w:jc w:val="both"/>
      </w:pPr>
      <w:r>
        <w:rPr>
          <w:b/>
          <w:bCs/>
        </w:rPr>
        <w:t xml:space="preserve">d) Respuesta en subfrecuencia habilitable.</w:t>
      </w:r>
      <w:r>
        <w:t xml:space="preserve"> La respuesta en subfrecuencia está habilitada (Dup = 25) y puede deshabilitarse con Dup = 0, por lo que el modelo permite las dos condiciones que plantea la norma. </w:t>
      </w:r>
      <w:r>
        <w:rPr>
          <w:b/>
          <w:bCs/>
        </w:rPr>
        <w:t xml:space="preserve">Cumple.</w:t>
      </w:r>
    </w:p>
    <w:p>
      <w:pPr>
        <w:spacing w:after="120" w:line="276"/>
        <w:jc w:val="both"/>
      </w:pPr>
      <w:r>
        <w:t xml:space="preserve">Como observación, al 100 % de la CEN la planta sube hasta 21,31 MW ante 59,8 Hz, es decir, el modelo supone recurso disponible por encima de la CEN. En una planta real operando a máxima potencia esta respuesta solo sería posible con reserva (curtailment).</w:t>
      </w:r>
    </w:p>
    <w:p>
      <w:pPr>
        <w:pStyle w:val="Heading2"/>
      </w:pPr>
      <w:r>
        <w:t xml:space="preserve">a.ii. Características del sistema de control (numeral 11.2.1.2)</w:t>
      </w:r>
    </w:p>
    <w:p>
      <w:pPr>
        <w:spacing w:after="120" w:line="276"/>
        <w:jc w:val="both"/>
      </w:pPr>
      <w:r>
        <w:rPr>
          <w:b/>
          <w:bCs/>
        </w:rPr>
        <w:t xml:space="preserve">a) Estabilidad.</w:t>
      </w:r>
      <w:r>
        <w:t xml:space="preserve"> En los seis escalones la potencia evoluciona de forma monótona, sin sobrepaso ni oscilaciones. </w:t>
      </w:r>
      <w:r>
        <w:rPr>
          <w:b/>
          <w:bCs/>
        </w:rPr>
        <w:t xml:space="preserve">Cumple.</w:t>
      </w:r>
    </w:p>
    <w:p>
      <w:pPr>
        <w:spacing w:after="120" w:line="276"/>
        <w:jc w:val="both"/>
      </w:pPr>
      <w:r>
        <w:rPr>
          <w:b/>
          <w:bCs/>
        </w:rPr>
        <w:t xml:space="preserve">b) Estatismo configurable entre 2 y 6 %.</w:t>
      </w:r>
      <w:r>
        <w:t xml:space="preserve"> El estatismo se ajusta con Ddn y Dup (R = 2 % equivale a D = 50 y R = 6 % a D = 16,7), que son parámetros editables del bloque. El valor actual de 4 % está dentro del rango. </w:t>
      </w:r>
      <w:r>
        <w:rPr>
          <w:b/>
          <w:bCs/>
        </w:rPr>
        <w:t xml:space="preserve">Cumple.</w:t>
      </w:r>
    </w:p>
    <w:p>
      <w:pPr>
        <w:spacing w:after="120" w:line="276"/>
        <w:jc w:val="both"/>
      </w:pPr>
      <w:r>
        <w:rPr>
          <w:b/>
          <w:bCs/>
        </w:rPr>
        <w:t xml:space="preserve">c) Banda muerta configurable entre 0 y 120 mHz, inicialmente 30 mHz.</w:t>
      </w:r>
      <w:r>
        <w:t xml:space="preserve"> La banda está en ±30 mHz y es editable. Las pruebas de banda muerta aplican 60,031 Hz y 59,969 Hz, y la potencia cambia apenas ∓0,008 MW, que coincide con responder solo al milihercio que excede la banda:</w:t>
      </w:r>
    </w:p>
    <w:p>
      <w:pPr>
        <w:tabs>
          <w:tab w:val="center" w:pos="4535"/>
          <w:tab w:val="right" w:pos="9070"/>
        </w:tabs>
        <w:spacing w:after="120" w:before="80"/>
      </w:pPr>
      <w:r>
        <w:t xml:space="preserve">	</w:t>
      </w:r>
      <m:oMath>
        <m:r>
          <m:t>ΔP=</m:t>
        </m:r>
        <m:f>
          <m:num>
            <m:r>
              <m:t>0,031−0,030</m:t>
            </m:r>
          </m:num>
          <m:den>
            <m:r>
              <m:t>60</m:t>
            </m:r>
          </m:den>
        </m:f>
        <m:r>
          <m:t>·25·19,9=0,0083 MW</m:t>
        </m:r>
      </m:oMath>
      <w:r>
        <w:t xml:space="preserve">	(4)</w:t>
      </w:r>
    </w:p>
    <w:p>
      <w:pPr>
        <w:spacing w:after="120" w:line="276"/>
        <w:jc w:val="both"/>
      </w:pPr>
      <w:r>
        <w:t xml:space="preserve">Sin banda muerta el cambio habría sido de 0,257 MW, treinta veces mayor. </w:t>
      </w:r>
      <w:r>
        <w:rPr>
          <w:b/>
          <w:bCs/>
        </w:rPr>
        <w:t xml:space="preserve">Cumple.</w:t>
      </w:r>
    </w:p>
    <w:p>
      <w:pPr>
        <w:spacing w:before="120"/>
        <w:jc w:val="center"/>
      </w:pPr>
      <w:r>
        <w:drawing>
          <wp:inline distT="0" distB="0" distL="0" distR="0">
            <wp:extent cx="409575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895600"/>
                    </a:xfrm>
                    <a:prstGeom prst="rect">
                      <a:avLst/>
                    </a:prstGeom>
                  </pic:spPr>
                </pic:pic>
              </a:graphicData>
            </a:graphic>
          </wp:inline>
        </w:drawing>
      </w:r>
    </w:p>
    <w:p>
      <w:pPr>
        <w:spacing w:after="200" w:before="60"/>
        <w:jc w:val="center"/>
      </w:pPr>
      <w:r>
        <w:rPr>
          <w:i/>
          <w:iCs/>
          <w:sz w:val="18"/>
          <w:szCs w:val="18"/>
        </w:rPr>
        <w:t xml:space="preserve">Figura 2. Prueba de banda muerta ascendente: frecuencia de 60,031 Hz y respuesta de 0,008 MW.</w:t>
      </w:r>
    </w:p>
    <w:p>
      <w:pPr>
        <w:spacing w:after="120" w:line="276"/>
        <w:jc w:val="both"/>
      </w:pPr>
      <w:r>
        <w:rPr>
          <w:b/>
          <w:bCs/>
        </w:rPr>
        <w:t xml:space="preserve">d) Ajuste informado antes de las pruebas.</w:t>
      </w:r>
      <w:r>
        <w:t xml:space="preserve"> Es un requisito documental; los parámetros del control quedan reportados en la Tabla 1. </w:t>
      </w:r>
      <w:r>
        <w:rPr>
          <w:b/>
          <w:bCs/>
        </w:rPr>
        <w:t xml:space="preserve">Cumple.</w:t>
      </w:r>
    </w:p>
    <w:p>
      <w:pPr>
        <w:spacing w:after="120" w:line="276"/>
        <w:jc w:val="both"/>
      </w:pPr>
      <w:r>
        <w:rPr>
          <w:b/>
          <w:bCs/>
        </w:rPr>
        <w:t xml:space="preserve">e) Ganancias y constantes de tiempo ajustables.</w:t>
      </w:r>
      <w:r>
        <w:t xml:space="preserve"> Kpg, Kig, Tlag, Tp y Tfrq son parámetros editables, y ninguna constante es menor a 0,01 s, como pide la Guía de modelos preliminares de XM. </w:t>
      </w:r>
      <w:r>
        <w:rPr>
          <w:b/>
          <w:bCs/>
        </w:rPr>
        <w:t xml:space="preserve">Cumple.</w:t>
      </w:r>
    </w:p>
    <w:p>
      <w:pPr>
        <w:spacing w:after="120" w:line="276"/>
        <w:jc w:val="both"/>
      </w:pPr>
      <w:r>
        <w:rPr>
          <w:b/>
          <w:bCs/>
        </w:rPr>
        <w:t xml:space="preserve">f) Reajuste por el CND.</w:t>
      </w:r>
      <w:r>
        <w:t xml:space="preserve"> El estatismo y la banda muerta se cambian sin modificar la estructura del modelo (literales b y c). </w:t>
      </w:r>
      <w:r>
        <w:rPr>
          <w:b/>
          <w:bCs/>
        </w:rPr>
        <w:t xml:space="preserve">Cumple.</w:t>
      </w:r>
    </w:p>
    <w:p>
      <w:pPr>
        <w:spacing w:after="120" w:line="276"/>
        <w:jc w:val="both"/>
      </w:pPr>
      <w:r>
        <w:rPr>
          <w:b/>
          <w:bCs/>
        </w:rPr>
        <w:t xml:space="preserve">g) Tr ≤ 2 s y Te ≤ 15 s.</w:t>
      </w:r>
      <w:r>
        <w:t xml:space="preserve"> De la Tabla 2, Tr está entre 0,17 y 0,52 s y Te entre 9,17 y 9,77 s en todos los niveles de carga. </w:t>
      </w:r>
      <w:r>
        <w:rPr>
          <w:b/>
          <w:bCs/>
        </w:rPr>
        <w:t xml:space="preserve">Cumple.</w:t>
      </w:r>
    </w:p>
    <w:p>
      <w:pPr>
        <w:pStyle w:val="Heading1"/>
      </w:pPr>
      <w:r>
        <w:t xml:space="preserve">Literal b. Control de tensión, inyección rápida y soportabilidad</w:t>
      </w:r>
    </w:p>
    <w:p>
      <w:pPr>
        <w:pStyle w:val="Heading2"/>
      </w:pPr>
      <w:r>
        <w:t xml:space="preserve">Numeral 11.2.2. Control de tensión</w:t>
      </w:r>
    </w:p>
    <w:p>
      <w:pPr>
        <w:spacing w:after="120" w:line="276"/>
        <w:jc w:val="both"/>
      </w:pPr>
      <w:r>
        <w:t xml:space="preserve">Como el acuerdo CNO con los tiempos para el SDL no hace parte del material, se toma como referencia la CREG 060 de 2019: Tr &lt; 2 s y Te &lt; 10 s medidos sobre la potencia reactiva. La Tabla 3 resume los escalones de 02_Pruebas_Control.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777"/>
        <w:gridCol w:w="1964"/>
        <w:gridCol w:w="2057"/>
        <w:gridCol w:w="935"/>
        <w:gridCol w:w="1122"/>
        <w:gridCol w:w="1215"/>
      </w:tblGrid>
      <w:tr>
        <w:trPr>
          <w:tblHeader/>
        </w:trPr>
        <w:tc>
          <w:tcPr>
            <w:tcW w:type="dxa" w:w="1777"/>
            <w:tcBorders>
              <w:top w:val="single" w:color="A6A6A6" w:sz="4"/>
              <w:left w:val="single" w:color="A6A6A6" w:sz="4"/>
              <w:bottom w:val="single" w:color="A6A6A6" w:sz="4"/>
              <w:right w:val="single" w:color="A6A6A6" w:sz="4"/>
            </w:tcBorders>
            <w:shd w:fill="DCE6EE" w:color="auto" w:val="clear"/>
            <w:tcMar>
              <w:top w:type="dxa" w:w="40"/>
              <w:left w:type="dxa" w:w="80"/>
              <w:bottom w:type="dxa" w:w="40"/>
              <w:right w:type="dxa" w:w="80"/>
            </w:tcMar>
            <w:vAlign w:val="center"/>
          </w:tcPr>
          <w:p>
            <w:pPr>
              <w:jc w:val="left"/>
            </w:pPr>
            <w:r>
              <w:rPr>
                <w:b/>
                <w:bCs/>
                <w:sz w:val="17"/>
                <w:szCs w:val="17"/>
              </w:rPr>
              <w:t xml:space="preserve">Modo</w:t>
            </w:r>
          </w:p>
        </w:tc>
        <w:tc>
          <w:tcPr>
            <w:tcW w:type="dxa" w:w="1964"/>
            <w:tcBorders>
              <w:top w:val="single" w:color="A6A6A6" w:sz="4"/>
              <w:left w:val="single" w:color="A6A6A6" w:sz="4"/>
              <w:bottom w:val="single" w:color="A6A6A6" w:sz="4"/>
              <w:right w:val="single" w:color="A6A6A6" w:sz="4"/>
            </w:tcBorders>
            <w:shd w:fill="DCE6EE" w:color="auto" w:val="clear"/>
            <w:tcMar>
              <w:top w:type="dxa" w:w="40"/>
              <w:left w:type="dxa" w:w="80"/>
              <w:bottom w:type="dxa" w:w="40"/>
              <w:right w:type="dxa" w:w="80"/>
            </w:tcMar>
            <w:vAlign w:val="center"/>
          </w:tcPr>
          <w:p>
            <w:pPr>
              <w:jc w:val="center"/>
            </w:pPr>
            <w:r>
              <w:rPr>
                <w:b/>
                <w:bCs/>
                <w:sz w:val="17"/>
                <w:szCs w:val="17"/>
              </w:rPr>
              <w:t xml:space="preserve">Escalón</w:t>
            </w:r>
          </w:p>
        </w:tc>
        <w:tc>
          <w:tcPr>
            <w:tcW w:type="dxa" w:w="2057"/>
            <w:tcBorders>
              <w:top w:val="single" w:color="A6A6A6" w:sz="4"/>
              <w:left w:val="single" w:color="A6A6A6" w:sz="4"/>
              <w:bottom w:val="single" w:color="A6A6A6" w:sz="4"/>
              <w:right w:val="single" w:color="A6A6A6" w:sz="4"/>
            </w:tcBorders>
            <w:shd w:fill="DCE6EE" w:color="auto" w:val="clear"/>
            <w:tcMar>
              <w:top w:type="dxa" w:w="40"/>
              <w:left w:type="dxa" w:w="80"/>
              <w:bottom w:type="dxa" w:w="40"/>
              <w:right w:type="dxa" w:w="80"/>
            </w:tcMar>
            <w:vAlign w:val="center"/>
          </w:tcPr>
          <w:p>
            <w:pPr>
              <w:jc w:val="center"/>
            </w:pPr>
            <w:r>
              <w:rPr>
                <w:b/>
                <w:bCs/>
                <w:sz w:val="17"/>
                <w:szCs w:val="17"/>
              </w:rPr>
              <w:t xml:space="preserve">Q final</w:t>
            </w:r>
          </w:p>
        </w:tc>
        <w:tc>
          <w:tcPr>
            <w:tcW w:type="dxa" w:w="935"/>
            <w:tcBorders>
              <w:top w:val="single" w:color="A6A6A6" w:sz="4"/>
              <w:left w:val="single" w:color="A6A6A6" w:sz="4"/>
              <w:bottom w:val="single" w:color="A6A6A6" w:sz="4"/>
              <w:right w:val="single" w:color="A6A6A6" w:sz="4"/>
            </w:tcBorders>
            <w:shd w:fill="DCE6EE" w:color="auto" w:val="clear"/>
            <w:tcMar>
              <w:top w:type="dxa" w:w="40"/>
              <w:left w:type="dxa" w:w="80"/>
              <w:bottom w:type="dxa" w:w="40"/>
              <w:right w:type="dxa" w:w="80"/>
            </w:tcMar>
            <w:vAlign w:val="center"/>
          </w:tcPr>
          <w:p>
            <w:pPr>
              <w:jc w:val="center"/>
            </w:pPr>
            <w:r>
              <w:rPr>
                <w:b/>
                <w:bCs/>
                <w:sz w:val="17"/>
                <w:szCs w:val="17"/>
              </w:rPr>
              <w:t xml:space="preserve">Tr (s)</w:t>
            </w:r>
          </w:p>
        </w:tc>
        <w:tc>
          <w:tcPr>
            <w:tcW w:type="dxa" w:w="1122"/>
            <w:tcBorders>
              <w:top w:val="single" w:color="A6A6A6" w:sz="4"/>
              <w:left w:val="single" w:color="A6A6A6" w:sz="4"/>
              <w:bottom w:val="single" w:color="A6A6A6" w:sz="4"/>
              <w:right w:val="single" w:color="A6A6A6" w:sz="4"/>
            </w:tcBorders>
            <w:shd w:fill="DCE6EE" w:color="auto" w:val="clear"/>
            <w:tcMar>
              <w:top w:type="dxa" w:w="40"/>
              <w:left w:type="dxa" w:w="80"/>
              <w:bottom w:type="dxa" w:w="40"/>
              <w:right w:type="dxa" w:w="80"/>
            </w:tcMar>
            <w:vAlign w:val="center"/>
          </w:tcPr>
          <w:p>
            <w:pPr>
              <w:jc w:val="center"/>
            </w:pPr>
            <w:r>
              <w:rPr>
                <w:b/>
                <w:bCs/>
                <w:sz w:val="17"/>
                <w:szCs w:val="17"/>
              </w:rPr>
              <w:t xml:space="preserve">Te (s)</w:t>
            </w:r>
          </w:p>
        </w:tc>
        <w:tc>
          <w:tcPr>
            <w:tcW w:type="dxa" w:w="1215"/>
            <w:tcBorders>
              <w:top w:val="single" w:color="A6A6A6" w:sz="4"/>
              <w:left w:val="single" w:color="A6A6A6" w:sz="4"/>
              <w:bottom w:val="single" w:color="A6A6A6" w:sz="4"/>
              <w:right w:val="single" w:color="A6A6A6" w:sz="4"/>
            </w:tcBorders>
            <w:shd w:fill="DCE6EE" w:color="auto" w:val="clear"/>
            <w:tcMar>
              <w:top w:type="dxa" w:w="40"/>
              <w:left w:type="dxa" w:w="80"/>
              <w:bottom w:type="dxa" w:w="40"/>
              <w:right w:type="dxa" w:w="80"/>
            </w:tcMar>
            <w:vAlign w:val="center"/>
          </w:tcPr>
          <w:p>
            <w:pPr>
              <w:jc w:val="center"/>
            </w:pPr>
            <w:r>
              <w:rPr>
                <w:b/>
                <w:bCs/>
                <w:sz w:val="17"/>
                <w:szCs w:val="17"/>
              </w:rPr>
              <w:t xml:space="preserve">Resultado</w:t>
            </w:r>
          </w:p>
        </w:tc>
      </w:tr>
      <w:tr>
        <w:tc>
          <w:tcPr>
            <w:tcW w:type="dxa" w:w="177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sz w:val="17"/>
                <w:szCs w:val="17"/>
              </w:rPr>
              <w:t xml:space="preserve">Q (RefFlag = 0)</w:t>
            </w:r>
          </w:p>
        </w:tc>
        <w:tc>
          <w:tcPr>
            <w:tcW w:type="dxa" w:w="1964"/>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Qref: 0 → ±1,093 Mvar</w:t>
            </w:r>
          </w:p>
        </w:tc>
        <w:tc>
          <w:tcPr>
            <w:tcW w:type="dxa" w:w="205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±1,093 Mvar</w:t>
            </w:r>
          </w:p>
        </w:tc>
        <w:tc>
          <w:tcPr>
            <w:tcW w:type="dxa" w:w="935"/>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0,04</w:t>
            </w:r>
          </w:p>
        </w:tc>
        <w:tc>
          <w:tcPr>
            <w:tcW w:type="dxa" w:w="112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4,63 a 4,68</w:t>
            </w:r>
          </w:p>
        </w:tc>
        <w:tc>
          <w:tcPr>
            <w:tcW w:type="dxa" w:w="1215"/>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Cumple</w:t>
            </w:r>
          </w:p>
        </w:tc>
      </w:tr>
      <w:tr>
        <w:tc>
          <w:tcPr>
            <w:tcW w:type="dxa" w:w="177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sz w:val="17"/>
                <w:szCs w:val="17"/>
              </w:rPr>
              <w:t xml:space="preserve">FP (RefFlag = 2)</w:t>
            </w:r>
          </w:p>
        </w:tc>
        <w:tc>
          <w:tcPr>
            <w:tcW w:type="dxa" w:w="1964"/>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FP: 1 → 0,98</w:t>
            </w:r>
          </w:p>
        </w:tc>
        <w:tc>
          <w:tcPr>
            <w:tcW w:type="dxa" w:w="205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±0,806 / ±2,018 / ±4,039 Mvar</w:t>
            </w:r>
          </w:p>
        </w:tc>
        <w:tc>
          <w:tcPr>
            <w:tcW w:type="dxa" w:w="935"/>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0,04</w:t>
            </w:r>
          </w:p>
        </w:tc>
        <w:tc>
          <w:tcPr>
            <w:tcW w:type="dxa" w:w="112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4,58 a 4,76</w:t>
            </w:r>
          </w:p>
        </w:tc>
        <w:tc>
          <w:tcPr>
            <w:tcW w:type="dxa" w:w="1215"/>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Cumple</w:t>
            </w:r>
          </w:p>
        </w:tc>
      </w:tr>
      <w:tr>
        <w:tc>
          <w:tcPr>
            <w:tcW w:type="dxa" w:w="177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sz w:val="17"/>
                <w:szCs w:val="17"/>
              </w:rPr>
              <w:t xml:space="preserve">V (RefFlag = 1), 20 y 50 %</w:t>
            </w:r>
          </w:p>
        </w:tc>
        <w:tc>
          <w:tcPr>
            <w:tcW w:type="dxa" w:w="1964"/>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V: 1,0 → 0,95 / 1,05 p.u.</w:t>
            </w:r>
          </w:p>
        </w:tc>
        <w:tc>
          <w:tcPr>
            <w:tcW w:type="dxa" w:w="205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±6,566 Mvar</w:t>
            </w:r>
          </w:p>
        </w:tc>
        <w:tc>
          <w:tcPr>
            <w:tcW w:type="dxa" w:w="935"/>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0,24 a 0,27</w:t>
            </w:r>
          </w:p>
        </w:tc>
        <w:tc>
          <w:tcPr>
            <w:tcW w:type="dxa" w:w="112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8,50 a 8,88</w:t>
            </w:r>
          </w:p>
        </w:tc>
        <w:tc>
          <w:tcPr>
            <w:tcW w:type="dxa" w:w="1215"/>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Cumple (satura)</w:t>
            </w:r>
          </w:p>
        </w:tc>
      </w:tr>
      <w:tr>
        <w:tc>
          <w:tcPr>
            <w:tcW w:type="dxa" w:w="177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sz w:val="17"/>
                <w:szCs w:val="17"/>
              </w:rPr>
              <w:t xml:space="preserve">V (RefFlag = 1), 100 %</w:t>
            </w:r>
          </w:p>
        </w:tc>
        <w:tc>
          <w:tcPr>
            <w:tcW w:type="dxa" w:w="1964"/>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V: 1,0 → 0,95 / 1,05 p.u.</w:t>
            </w:r>
          </w:p>
        </w:tc>
        <w:tc>
          <w:tcPr>
            <w:tcW w:type="dxa" w:w="205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±4,537 Mvar</w:t>
            </w:r>
          </w:p>
        </w:tc>
        <w:tc>
          <w:tcPr>
            <w:tcW w:type="dxa" w:w="935"/>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0,30 a 0,32</w:t>
            </w:r>
          </w:p>
        </w:tc>
        <w:tc>
          <w:tcPr>
            <w:tcW w:type="dxa" w:w="112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5,79 a 5,98</w:t>
            </w:r>
          </w:p>
        </w:tc>
        <w:tc>
          <w:tcPr>
            <w:tcW w:type="dxa" w:w="1215"/>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Cumple (satura)</w:t>
            </w:r>
          </w:p>
        </w:tc>
      </w:tr>
    </w:tbl>
    <w:p>
      <w:pPr>
        <w:spacing w:after="200" w:before="60"/>
        <w:jc w:val="center"/>
      </w:pPr>
      <w:r>
        <w:rPr>
          <w:i/>
          <w:iCs/>
          <w:sz w:val="18"/>
          <w:szCs w:val="18"/>
        </w:rPr>
        <w:t xml:space="preserve">Tabla 3. Escalones del control de tensión en los tres modos y tres niveles de carga.</w:t>
      </w:r>
    </w:p>
    <w:tbl>
      <w:tblPr>
        <w:tblW w:type="dxa" w:w="9070"/>
        <w:tblBorders>
          <w:top w:val="none" w:sz="0"/>
          <w:left w:val="none" w:sz="0"/>
          <w:bottom w:val="none" w:sz="0"/>
          <w:right w:val="none" w:sz="0"/>
          <w:insideH w:val="none" w:sz="0"/>
          <w:insideV w:val="none" w:sz="0"/>
        </w:tblBorders>
      </w:tblPr>
      <w:tblGrid>
        <w:gridCol w:w="4535"/>
        <w:gridCol w:w="4535"/>
      </w:tblGrid>
      <w:tr>
        <w:tc>
          <w:tcPr>
            <w:tcW w:type="dxa" w:w="4535"/>
            <w:tcBorders>
              <w:top w:val="none" w:sz="0"/>
              <w:left w:val="none" w:sz="0"/>
              <w:bottom w:val="none" w:sz="0"/>
              <w:right w:val="none" w:sz="0"/>
            </w:tcBorders>
          </w:tcPr>
          <w:p>
            <w:pPr>
              <w:jc w:val="center"/>
            </w:pPr>
            <w:r>
              <w:drawing>
                <wp:inline distT="0" distB="0" distL="0" distR="0">
                  <wp:extent cx="276225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0" cy="1952625"/>
                          </a:xfrm>
                          <a:prstGeom prst="rect">
                            <a:avLst/>
                          </a:prstGeom>
                        </pic:spPr>
                      </pic:pic>
                    </a:graphicData>
                  </a:graphic>
                </wp:inline>
              </w:drawing>
            </w:r>
          </w:p>
          <w:p>
            <w:pPr>
              <w:spacing w:after="60"/>
              <w:jc w:val="center"/>
            </w:pPr>
            <w:r>
              <w:rPr>
                <w:i/>
                <w:iCs/>
                <w:sz w:val="16"/>
                <w:szCs w:val="16"/>
              </w:rPr>
              <w:t xml:space="preserve">Modo Q, 50 % de la CEN</w:t>
            </w:r>
          </w:p>
        </w:tc>
        <w:tc>
          <w:tcPr>
            <w:tcW w:type="dxa" w:w="4535"/>
            <w:tcBorders>
              <w:top w:val="none" w:sz="0"/>
              <w:left w:val="none" w:sz="0"/>
              <w:bottom w:val="none" w:sz="0"/>
              <w:right w:val="none" w:sz="0"/>
            </w:tcBorders>
          </w:tcPr>
          <w:p>
            <w:pPr>
              <w:jc w:val="center"/>
            </w:pPr>
            <w:r>
              <w:drawing>
                <wp:inline distT="0" distB="0" distL="0" distR="0">
                  <wp:extent cx="276225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0" cy="1952625"/>
                          </a:xfrm>
                          <a:prstGeom prst="rect">
                            <a:avLst/>
                          </a:prstGeom>
                        </pic:spPr>
                      </pic:pic>
                    </a:graphicData>
                  </a:graphic>
                </wp:inline>
              </w:drawing>
            </w:r>
          </w:p>
          <w:p>
            <w:pPr>
              <w:spacing w:after="60"/>
              <w:jc w:val="center"/>
            </w:pPr>
            <w:r>
              <w:rPr>
                <w:i/>
                <w:iCs/>
                <w:sz w:val="16"/>
                <w:szCs w:val="16"/>
              </w:rPr>
              <w:t xml:space="preserve">Modo V, 50 % de la CEN</w:t>
            </w:r>
          </w:p>
        </w:tc>
      </w:tr>
    </w:tbl>
    <w:p>
      <w:pPr>
        <w:spacing w:after="200" w:before="60"/>
        <w:jc w:val="center"/>
      </w:pPr>
      <w:r>
        <w:rPr>
          <w:i/>
          <w:iCs/>
          <w:sz w:val="18"/>
          <w:szCs w:val="18"/>
        </w:rPr>
        <w:t xml:space="preserve">Figura 3. Respuesta de Q ante escalones de consigna de reactiva y de tensión.</w:t>
      </w:r>
    </w:p>
    <w:p>
      <w:pPr>
        <w:spacing w:after="120" w:line="276"/>
        <w:jc w:val="both"/>
      </w:pPr>
      <w:r>
        <w:rPr>
          <w:b/>
          <w:bCs/>
        </w:rPr>
        <w:t xml:space="preserve">a) Parámetros configurables.</w:t>
      </w:r>
      <w:r>
        <w:t xml:space="preserve"> Kp, Ki, Kc, db, Tfltr y los límites del lazo son editables. </w:t>
      </w:r>
      <w:r>
        <w:rPr>
          <w:b/>
          <w:bCs/>
        </w:rPr>
        <w:t xml:space="preserve">Cumple.</w:t>
      </w:r>
    </w:p>
    <w:p>
      <w:pPr>
        <w:spacing w:after="120" w:line="276"/>
        <w:jc w:val="both"/>
      </w:pPr>
      <w:r>
        <w:rPr>
          <w:b/>
          <w:bCs/>
        </w:rPr>
        <w:t xml:space="preserve">b) Modos de control.</w:t>
      </w:r>
      <w:r>
        <w:t xml:space="preserve"> El selector RefFlag permite control de potencia reactiva, tensión y factor de potencia. </w:t>
      </w:r>
      <w:r>
        <w:rPr>
          <w:b/>
          <w:bCs/>
        </w:rPr>
        <w:t xml:space="preserve">Cumple.</w:t>
      </w:r>
    </w:p>
    <w:p>
      <w:pPr>
        <w:spacing w:after="120" w:line="276"/>
        <w:jc w:val="both"/>
      </w:pPr>
      <w:r>
        <w:rPr>
          <w:b/>
          <w:bCs/>
        </w:rPr>
        <w:t xml:space="preserve">c) Consignas locales o remotas.</w:t>
      </w:r>
      <w:r>
        <w:t xml:space="preserve"> El REPC_C recibe Qref, Vref y la consigna de FP con medición en el POI. </w:t>
      </w:r>
      <w:r>
        <w:rPr>
          <w:b/>
          <w:bCs/>
        </w:rPr>
        <w:t xml:space="preserve">Cumple.</w:t>
      </w:r>
    </w:p>
    <w:p>
      <w:pPr>
        <w:spacing w:after="120" w:line="276"/>
        <w:jc w:val="both"/>
      </w:pPr>
      <w:r>
        <w:rPr>
          <w:b/>
          <w:bCs/>
        </w:rPr>
        <w:t xml:space="preserve">d) Estatismo V/Q configurable.</w:t>
      </w:r>
      <w:r>
        <w:t xml:space="preserve"> El estatismo se ajusta con Kc = 0,04 (VcmpFlag = 0). </w:t>
      </w:r>
      <w:r>
        <w:rPr>
          <w:b/>
          <w:bCs/>
        </w:rPr>
        <w:t xml:space="preserve">Cumple.</w:t>
      </w:r>
    </w:p>
    <w:p>
      <w:pPr>
        <w:spacing w:after="120" w:line="276"/>
        <w:jc w:val="both"/>
      </w:pPr>
      <w:r>
        <w:rPr>
          <w:b/>
          <w:bCs/>
        </w:rPr>
        <w:t xml:space="preserve">e) Tiempos de respuesta.</w:t>
      </w:r>
      <w:r>
        <w:t xml:space="preserve"> En la Tabla 3 todos los modos cumplen Tr &lt; 2 s y Te &lt; 10 s. En el modo FP se verifica además que Q final corresponde a la consigna:</w:t>
      </w:r>
    </w:p>
    <w:p>
      <w:pPr>
        <w:tabs>
          <w:tab w:val="center" w:pos="4535"/>
          <w:tab w:val="right" w:pos="9070"/>
        </w:tabs>
        <w:spacing w:after="120" w:before="80"/>
      </w:pPr>
      <w:r>
        <w:t xml:space="preserve">	</w:t>
      </w:r>
      <m:oMath>
        <m:r>
          <m:t>Q=P·tan</m:t>
        </m:r>
        <m:d>
          <m:dPr/>
          <m:e>
            <m:r>
              <m:t>acos 0,98</m:t>
            </m:r>
          </m:e>
        </m:d>
        <m:r>
          <m:t>=0,203·P</m:t>
        </m:r>
      </m:oMath>
      <w:r>
        <w:t xml:space="preserve">	(5)</w:t>
      </w:r>
    </w:p>
    <w:p>
      <w:pPr>
        <w:spacing w:after="120" w:line="276"/>
        <w:jc w:val="both"/>
      </w:pPr>
      <w:r>
        <w:t xml:space="preserve">lo que da 0,806, 2,018 y 4,039 Mvar a 20, 50 y 100 % de la CEN. </w:t>
      </w:r>
      <w:r>
        <w:rPr>
          <w:b/>
          <w:bCs/>
        </w:rPr>
        <w:t xml:space="preserve">Cumple.</w:t>
      </w:r>
    </w:p>
    <w:p>
      <w:pPr>
        <w:spacing w:after="120" w:line="276"/>
        <w:jc w:val="both"/>
      </w:pPr>
      <w:r>
        <w:rPr>
          <w:b/>
          <w:bCs/>
        </w:rPr>
        <w:t xml:space="preserve">f) Estabilidad.</w:t>
      </w:r>
      <w:r>
        <w:t xml:space="preserve"> Las respuestas son amortiguadas en todos los modos. Sin embargo, en el modo de tensión el escalón del 5 % lleva la reactiva en rampa hasta el límite de la curva P-Q (0,33 y 0,228 veces la CEN), así que el Te medido corresponde a una respuesta saturada. La prueba de banda muerta de tensión, con un escalón de solo 0,001 p.u. que no satura, muestra la dinámica lineal real: Q se estabiliza en ±0,4929 Mvar con una constante de tiempo de</w:t>
      </w:r>
    </w:p>
    <w:p>
      <w:pPr>
        <w:tabs>
          <w:tab w:val="center" w:pos="4535"/>
          <w:tab w:val="right" w:pos="9070"/>
        </w:tabs>
        <w:spacing w:after="120" w:before="80"/>
      </w:pPr>
      <w:r>
        <w:t xml:space="preserve">	</w:t>
      </w:r>
      <m:oMath>
        <m:r>
          <m:t>τ≈</m:t>
        </m:r>
        <m:f>
          <m:num>
            <m:r>
              <m:t>1</m:t>
            </m:r>
          </m:num>
          <m:den>
            <m:sSub>
              <m:sSubPr/>
              <m:e>
                <m:r>
                  <m:t>K</m:t>
                </m:r>
              </m:e>
              <m:sub>
                <m:r>
                  <m:t>i</m:t>
                </m:r>
              </m:sub>
            </m:sSub>
            <m:r>
              <m:t>·</m:t>
            </m:r>
            <m:sSub>
              <m:sSubPr/>
              <m:e>
                <m:r>
                  <m:t>K</m:t>
                </m:r>
              </m:e>
              <m:sub>
                <m:r>
                  <m:t>c</m:t>
                </m:r>
              </m:sub>
            </m:sSub>
          </m:den>
        </m:f>
        <m:r>
          <m:t>=</m:t>
        </m:r>
        <m:f>
          <m:num>
            <m:r>
              <m:t>1</m:t>
            </m:r>
          </m:num>
          <m:den>
            <m:r>
              <m:t>0,75·0,04</m:t>
            </m:r>
          </m:den>
        </m:f>
        <m:r>
          <m:t>≈33 s</m:t>
        </m:r>
        <m:r>
          <m:t>    ⇒    </m:t>
        </m:r>
        <m:sSub>
          <m:sSubPr/>
          <m:e>
            <m:r>
              <m:t>T</m:t>
            </m:r>
          </m:e>
          <m:sub>
            <m:r>
              <m:t>e</m:t>
            </m:r>
          </m:sub>
        </m:sSub>
        <m:r>
          <m:t>≈τ·ln</m:t>
        </m:r>
        <m:d>
          <m:dPr/>
          <m:e>
            <m:f>
              <m:num>
                <m:r>
                  <m:t>1</m:t>
                </m:r>
              </m:num>
              <m:den>
                <m:r>
                  <m:t>0,03</m:t>
                </m:r>
              </m:den>
            </m:f>
          </m:e>
        </m:d>
        <m:r>
          <m:t>≈117 s</m:t>
        </m:r>
      </m:oMath>
      <w:r>
        <w:t xml:space="preserve">	(6)</w:t>
      </w:r>
    </w:p>
    <w:p>
      <w:pPr>
        <w:spacing w:after="120" w:line="276"/>
        <w:jc w:val="both"/>
      </w:pPr>
      <w:r>
        <w:t xml:space="preserve">Por lo tanto, la planta cumple con las pruebas suministradas, pero ante variaciones pequeñas de tensión el tiempo de establecimiento superaría los 10 s. Se recomienda aumentar la ganancia integral Ki del lazo de tensión. </w:t>
      </w:r>
      <w:r>
        <w:rPr>
          <w:b/>
          <w:bCs/>
        </w:rPr>
        <w:t xml:space="preserve">Cumple con observación.</w:t>
      </w:r>
    </w:p>
    <w:p>
      <w:pPr>
        <w:spacing w:before="120"/>
        <w:jc w:val="center"/>
      </w:pPr>
      <w:r>
        <w:drawing>
          <wp:inline distT="0" distB="0" distL="0" distR="0">
            <wp:extent cx="409575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2895600"/>
                    </a:xfrm>
                    <a:prstGeom prst="rect">
                      <a:avLst/>
                    </a:prstGeom>
                  </pic:spPr>
                </pic:pic>
              </a:graphicData>
            </a:graphic>
          </wp:inline>
        </w:drawing>
      </w:r>
    </w:p>
    <w:p>
      <w:pPr>
        <w:spacing w:after="200" w:before="60"/>
        <w:jc w:val="center"/>
      </w:pPr>
      <w:r>
        <w:rPr>
          <w:i/>
          <w:iCs/>
          <w:sz w:val="18"/>
          <w:szCs w:val="18"/>
        </w:rPr>
        <w:t xml:space="preserve">Figura 4. Prueba de banda muerta de tensión (escalón de 0,001 p.u., 300 s de simulación).</w:t>
      </w:r>
    </w:p>
    <w:p>
      <w:pPr>
        <w:spacing w:after="120" w:line="276"/>
        <w:jc w:val="both"/>
      </w:pPr>
      <w:r>
        <w:rPr>
          <w:b/>
          <w:bCs/>
        </w:rPr>
        <w:t xml:space="preserve">g) Configuración inicial.</w:t>
      </w:r>
      <w:r>
        <w:t xml:space="preserve"> El caso base opera en modo factor de potencia (RefFlag = 2, FP = 1). </w:t>
      </w:r>
      <w:r>
        <w:rPr>
          <w:b/>
          <w:bCs/>
        </w:rPr>
        <w:t xml:space="preserve">Cumple.</w:t>
      </w:r>
    </w:p>
    <w:p>
      <w:pPr>
        <w:spacing w:after="120" w:line="276"/>
        <w:jc w:val="both"/>
      </w:pPr>
      <w:r>
        <w:rPr>
          <w:b/>
          <w:bCs/>
        </w:rPr>
        <w:t xml:space="preserve">h) Curva de operación.</w:t>
      </w:r>
      <w:r>
        <w:t xml:space="preserve"> El modelo limita la reactiva con la curva P-Q (CurvaCarga = 1). La Tabla 4 muestra los once flujos de carga de la carpeta 05_Curva_PQ-QV Estática y la Figura 5 la trayectoria dinámica, que sigue los vértices de la curva exigida.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64"/>
        <w:gridCol w:w="2485"/>
        <w:gridCol w:w="2485"/>
        <w:gridCol w:w="2236"/>
      </w:tblGrid>
      <w:tr>
        <w:trPr>
          <w:tblHeader/>
        </w:trPr>
        <w:tc>
          <w:tcPr>
            <w:tcW w:type="dxa" w:w="1864"/>
            <w:tcBorders>
              <w:top w:val="single" w:color="A6A6A6" w:sz="4"/>
              <w:left w:val="single" w:color="A6A6A6" w:sz="4"/>
              <w:bottom w:val="single" w:color="A6A6A6" w:sz="4"/>
              <w:right w:val="single" w:color="A6A6A6" w:sz="4"/>
            </w:tcBorders>
            <w:shd w:fill="DCE6EE" w:color="auto" w:val="clear"/>
            <w:tcMar>
              <w:top w:type="dxa" w:w="40"/>
              <w:left w:type="dxa" w:w="80"/>
              <w:bottom w:type="dxa" w:w="40"/>
              <w:right w:type="dxa" w:w="80"/>
            </w:tcMar>
            <w:vAlign w:val="center"/>
          </w:tcPr>
          <w:p>
            <w:pPr>
              <w:jc w:val="left"/>
            </w:pPr>
            <w:r>
              <w:rPr>
                <w:b/>
                <w:bCs/>
                <w:sz w:val="17"/>
                <w:szCs w:val="17"/>
              </w:rPr>
              <w:t xml:space="preserve">P (MW)</w:t>
            </w:r>
          </w:p>
        </w:tc>
        <w:tc>
          <w:tcPr>
            <w:tcW w:type="dxa" w:w="2485"/>
            <w:tcBorders>
              <w:top w:val="single" w:color="A6A6A6" w:sz="4"/>
              <w:left w:val="single" w:color="A6A6A6" w:sz="4"/>
              <w:bottom w:val="single" w:color="A6A6A6" w:sz="4"/>
              <w:right w:val="single" w:color="A6A6A6" w:sz="4"/>
            </w:tcBorders>
            <w:shd w:fill="DCE6EE" w:color="auto" w:val="clear"/>
            <w:tcMar>
              <w:top w:type="dxa" w:w="40"/>
              <w:left w:type="dxa" w:w="80"/>
              <w:bottom w:type="dxa" w:w="40"/>
              <w:right w:type="dxa" w:w="80"/>
            </w:tcMar>
            <w:vAlign w:val="center"/>
          </w:tcPr>
          <w:p>
            <w:pPr>
              <w:jc w:val="center"/>
            </w:pPr>
            <w:r>
              <w:rPr>
                <w:b/>
                <w:bCs/>
                <w:sz w:val="17"/>
                <w:szCs w:val="17"/>
              </w:rPr>
              <w:t xml:space="preserve">Q exigida (Mvar)</w:t>
            </w:r>
          </w:p>
        </w:tc>
        <w:tc>
          <w:tcPr>
            <w:tcW w:type="dxa" w:w="2485"/>
            <w:tcBorders>
              <w:top w:val="single" w:color="A6A6A6" w:sz="4"/>
              <w:left w:val="single" w:color="A6A6A6" w:sz="4"/>
              <w:bottom w:val="single" w:color="A6A6A6" w:sz="4"/>
              <w:right w:val="single" w:color="A6A6A6" w:sz="4"/>
            </w:tcBorders>
            <w:shd w:fill="DCE6EE" w:color="auto" w:val="clear"/>
            <w:tcMar>
              <w:top w:type="dxa" w:w="40"/>
              <w:left w:type="dxa" w:w="80"/>
              <w:bottom w:type="dxa" w:w="40"/>
              <w:right w:type="dxa" w:w="80"/>
            </w:tcMar>
            <w:vAlign w:val="center"/>
          </w:tcPr>
          <w:p>
            <w:pPr>
              <w:jc w:val="center"/>
            </w:pPr>
            <w:r>
              <w:rPr>
                <w:b/>
                <w:bCs/>
                <w:sz w:val="17"/>
                <w:szCs w:val="17"/>
              </w:rPr>
              <w:t xml:space="preserve">Q en el POI (Mvar)</w:t>
            </w:r>
          </w:p>
        </w:tc>
        <w:tc>
          <w:tcPr>
            <w:tcW w:type="dxa" w:w="2236"/>
            <w:tcBorders>
              <w:top w:val="single" w:color="A6A6A6" w:sz="4"/>
              <w:left w:val="single" w:color="A6A6A6" w:sz="4"/>
              <w:bottom w:val="single" w:color="A6A6A6" w:sz="4"/>
              <w:right w:val="single" w:color="A6A6A6" w:sz="4"/>
            </w:tcBorders>
            <w:shd w:fill="DCE6EE" w:color="auto" w:val="clear"/>
            <w:tcMar>
              <w:top w:type="dxa" w:w="40"/>
              <w:left w:type="dxa" w:w="80"/>
              <w:bottom w:type="dxa" w:w="40"/>
              <w:right w:type="dxa" w:w="80"/>
            </w:tcMar>
            <w:vAlign w:val="center"/>
          </w:tcPr>
          <w:p>
            <w:pPr>
              <w:jc w:val="center"/>
            </w:pPr>
            <w:r>
              <w:rPr>
                <w:b/>
                <w:bCs/>
                <w:sz w:val="17"/>
                <w:szCs w:val="17"/>
              </w:rPr>
              <w:t xml:space="preserve">Resultado</w:t>
            </w:r>
          </w:p>
        </w:tc>
      </w:tr>
      <w:tr>
        <w:tc>
          <w:tcPr>
            <w:tcW w:type="dxa" w:w="1864"/>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sz w:val="17"/>
                <w:szCs w:val="17"/>
              </w:rPr>
              <w:t xml:space="preserve">0,02</w:t>
            </w:r>
          </w:p>
        </w:tc>
        <w:tc>
          <w:tcPr>
            <w:tcW w:type="dxa" w:w="2485"/>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±0,99 (máximo 5 % Pn)</w:t>
            </w:r>
          </w:p>
        </w:tc>
        <w:tc>
          <w:tcPr>
            <w:tcW w:type="dxa" w:w="2485"/>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−0,942 / +0,972</w:t>
            </w:r>
          </w:p>
        </w:tc>
        <w:tc>
          <w:tcPr>
            <w:tcW w:type="dxa" w:w="2236"/>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Cumple (no excede)</w:t>
            </w:r>
          </w:p>
        </w:tc>
      </w:tr>
      <w:tr>
        <w:tc>
          <w:tcPr>
            <w:tcW w:type="dxa" w:w="1864"/>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sz w:val="17"/>
                <w:szCs w:val="17"/>
              </w:rPr>
              <w:t xml:space="preserve">1,99 (10 %)</w:t>
            </w:r>
          </w:p>
        </w:tc>
        <w:tc>
          <w:tcPr>
            <w:tcW w:type="dxa" w:w="2485"/>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±1,99</w:t>
            </w:r>
          </w:p>
        </w:tc>
        <w:tc>
          <w:tcPr>
            <w:tcW w:type="dxa" w:w="2485"/>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−2,052 / +2,025</w:t>
            </w:r>
          </w:p>
        </w:tc>
        <w:tc>
          <w:tcPr>
            <w:tcW w:type="dxa" w:w="2236"/>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Cumple</w:t>
            </w:r>
          </w:p>
        </w:tc>
      </w:tr>
      <w:tr>
        <w:tc>
          <w:tcPr>
            <w:tcW w:type="dxa" w:w="1864"/>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sz w:val="17"/>
                <w:szCs w:val="17"/>
              </w:rPr>
              <w:t xml:space="preserve">3,98 (20 %)</w:t>
            </w:r>
          </w:p>
        </w:tc>
        <w:tc>
          <w:tcPr>
            <w:tcW w:type="dxa" w:w="2485"/>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±6,57</w:t>
            </w:r>
          </w:p>
        </w:tc>
        <w:tc>
          <w:tcPr>
            <w:tcW w:type="dxa" w:w="2485"/>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−6,644 / +6,536</w:t>
            </w:r>
          </w:p>
        </w:tc>
        <w:tc>
          <w:tcPr>
            <w:tcW w:type="dxa" w:w="2236"/>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Cumple</w:t>
            </w:r>
          </w:p>
        </w:tc>
      </w:tr>
      <w:tr>
        <w:tc>
          <w:tcPr>
            <w:tcW w:type="dxa" w:w="1864"/>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sz w:val="17"/>
                <w:szCs w:val="17"/>
              </w:rPr>
              <w:t xml:space="preserve">18,9 (95 %)</w:t>
            </w:r>
          </w:p>
        </w:tc>
        <w:tc>
          <w:tcPr>
            <w:tcW w:type="dxa" w:w="2485"/>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±6,57</w:t>
            </w:r>
          </w:p>
        </w:tc>
        <w:tc>
          <w:tcPr>
            <w:tcW w:type="dxa" w:w="2485"/>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−6,482 / +6,563</w:t>
            </w:r>
          </w:p>
        </w:tc>
        <w:tc>
          <w:tcPr>
            <w:tcW w:type="dxa" w:w="2236"/>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Cumple</w:t>
            </w:r>
          </w:p>
        </w:tc>
      </w:tr>
      <w:tr>
        <w:tc>
          <w:tcPr>
            <w:tcW w:type="dxa" w:w="1864"/>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sz w:val="17"/>
                <w:szCs w:val="17"/>
              </w:rPr>
              <w:t xml:space="preserve">19,9 (100 %)</w:t>
            </w:r>
          </w:p>
        </w:tc>
        <w:tc>
          <w:tcPr>
            <w:tcW w:type="dxa" w:w="2485"/>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±4,54</w:t>
            </w:r>
          </w:p>
        </w:tc>
        <w:tc>
          <w:tcPr>
            <w:tcW w:type="dxa" w:w="2485"/>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−4,759 / +4,662</w:t>
            </w:r>
          </w:p>
        </w:tc>
        <w:tc>
          <w:tcPr>
            <w:tcW w:type="dxa" w:w="2236"/>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Cumple</w:t>
            </w:r>
          </w:p>
        </w:tc>
      </w:tr>
      <w:tr>
        <w:tc>
          <w:tcPr>
            <w:tcW w:type="dxa" w:w="1864"/>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sz w:val="17"/>
                <w:szCs w:val="17"/>
              </w:rPr>
              <w:t xml:space="preserve">23,88 (120 %)</w:t>
            </w:r>
          </w:p>
        </w:tc>
        <w:tc>
          <w:tcPr>
            <w:tcW w:type="dxa" w:w="2485"/>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0</w:t>
            </w:r>
          </w:p>
        </w:tc>
        <w:tc>
          <w:tcPr>
            <w:tcW w:type="dxa" w:w="2485"/>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P limitada a 21,41 MW</w:t>
            </w:r>
          </w:p>
        </w:tc>
        <w:tc>
          <w:tcPr>
            <w:tcW w:type="dxa" w:w="2236"/>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Observación</w:t>
            </w:r>
          </w:p>
        </w:tc>
      </w:tr>
    </w:tbl>
    <w:p>
      <w:pPr>
        <w:spacing w:after="200" w:before="60"/>
        <w:jc w:val="center"/>
      </w:pPr>
      <w:r>
        <w:rPr>
          <w:i/>
          <w:iCs/>
          <w:sz w:val="18"/>
          <w:szCs w:val="18"/>
        </w:rPr>
        <w:t xml:space="preserve">Tabla 4. Curva P-Q estática en el POI con tensión de 1 p.u.</w:t>
      </w:r>
    </w:p>
    <w:p>
      <w:pPr>
        <w:spacing w:before="120"/>
        <w:jc w:val="center"/>
      </w:pPr>
      <w:r>
        <w:drawing>
          <wp:inline distT="0" distB="0" distL="0" distR="0">
            <wp:extent cx="38100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2695575"/>
                    </a:xfrm>
                    <a:prstGeom prst="rect">
                      <a:avLst/>
                    </a:prstGeom>
                  </pic:spPr>
                </pic:pic>
              </a:graphicData>
            </a:graphic>
          </wp:inline>
        </w:drawing>
      </w:r>
    </w:p>
    <w:p>
      <w:pPr>
        <w:spacing w:after="200" w:before="60"/>
        <w:jc w:val="center"/>
      </w:pPr>
      <w:r>
        <w:rPr>
          <w:i/>
          <w:iCs/>
          <w:sz w:val="18"/>
          <w:szCs w:val="18"/>
        </w:rPr>
        <w:t xml:space="preserve">Figura 5. Curva P-Q dinámica (rampa de P con Q en su máximo).</w:t>
      </w:r>
    </w:p>
    <w:p>
      <w:pPr>
        <w:spacing w:after="120" w:line="276"/>
        <w:jc w:val="both"/>
      </w:pPr>
      <w:r>
        <w:t xml:space="preserve">La planta alcanza todos los vértices de la curva (entre 98,7 y 105 % del valor exigido). Como observación, la potencia activa máxima en el POI es 21,41 MW, 7,6 % por encima de la CEN, porque el límite lo impone la capacidad de los inversores. La Guía de XM pide que el modelo limite la operación entre el mínimo técnico y la CEN. </w:t>
      </w:r>
      <w:r>
        <w:rPr>
          <w:b/>
          <w:bCs/>
        </w:rPr>
        <w:t xml:space="preserve">Cumple con observación.</w:t>
      </w:r>
    </w:p>
    <w:p>
      <w:pPr>
        <w:pStyle w:val="Heading2"/>
      </w:pPr>
      <w:r>
        <w:t xml:space="preserve">Numeral 11.2.3. Priorización de la inyección rápida de corriente reactiva</w:t>
      </w:r>
    </w:p>
    <w:p>
      <w:pPr>
        <w:spacing w:after="120" w:line="276"/>
        <w:jc w:val="both"/>
      </w:pPr>
      <w:r>
        <w:t xml:space="preserve">La característica exigida es la siguiente, donde k se verifica en el punto de conexión:</w:t>
      </w:r>
    </w:p>
    <w:p>
      <w:pPr>
        <w:tabs>
          <w:tab w:val="center" w:pos="4535"/>
          <w:tab w:val="right" w:pos="9070"/>
        </w:tabs>
        <w:spacing w:after="120" w:before="80"/>
      </w:pPr>
      <w:r>
        <w:t xml:space="preserve">	</w:t>
      </w:r>
      <m:oMath>
        <m:r>
          <m:t>Δ</m:t>
        </m:r>
        <m:sSub>
          <m:sSubPr/>
          <m:e>
            <m:r>
              <m:t>I</m:t>
            </m:r>
          </m:e>
          <m:sub>
            <m:r>
              <m:t>r</m:t>
            </m:r>
          </m:sub>
        </m:sSub>
        <m:r>
          <m:t>=k·</m:t>
        </m:r>
        <m:f>
          <m:num>
            <m:r>
              <m:t>ΔU</m:t>
            </m:r>
          </m:num>
          <m:den>
            <m:sSub>
              <m:sSubPr/>
              <m:e>
                <m:r>
                  <m:t>U</m:t>
                </m:r>
              </m:e>
              <m:sub>
                <m:r>
                  <m:t>n</m:t>
                </m:r>
              </m:sub>
            </m:sSub>
          </m:den>
        </m:f>
        <m:r>
          <m:t>·</m:t>
        </m:r>
        <m:sSub>
          <m:sSubPr/>
          <m:e>
            <m:r>
              <m:t>I</m:t>
            </m:r>
          </m:e>
          <m:sub>
            <m:r>
              <m:t>n</m:t>
            </m:r>
          </m:sub>
        </m:sSub>
        <m:r>
          <m:t>      ⇒      </m:t>
        </m:r>
        <m:sSub>
          <m:sSubPr/>
          <m:e>
            <m:r>
              <m:t>k</m:t>
            </m:r>
          </m:e>
          <m:sub>
            <m:r>
              <m:t>med</m:t>
            </m:r>
          </m:sub>
        </m:sSub>
        <m:r>
          <m:t>=</m:t>
        </m:r>
        <m:f>
          <m:num>
            <m:r>
              <m:t>Δ</m:t>
            </m:r>
            <m:sSub>
              <m:sSubPr/>
              <m:e>
                <m:r>
                  <m:t>I</m:t>
                </m:r>
              </m:e>
              <m:sub>
                <m:r>
                  <m:t>q</m:t>
                </m:r>
              </m:sub>
            </m:sSub>
          </m:num>
          <m:den>
            <m:r>
              <m:t>ΔU</m:t>
            </m:r>
          </m:den>
        </m:f>
      </m:oMath>
      <w:r>
        <w:t xml:space="preserve">	(7)</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17"/>
        <w:gridCol w:w="1512"/>
        <w:gridCol w:w="1713"/>
        <w:gridCol w:w="3628"/>
      </w:tblGrid>
      <w:tr>
        <w:trPr>
          <w:tblHeader/>
        </w:trPr>
        <w:tc>
          <w:tcPr>
            <w:tcW w:type="dxa" w:w="2217"/>
            <w:tcBorders>
              <w:top w:val="single" w:color="A6A6A6" w:sz="4"/>
              <w:left w:val="single" w:color="A6A6A6" w:sz="4"/>
              <w:bottom w:val="single" w:color="A6A6A6" w:sz="4"/>
              <w:right w:val="single" w:color="A6A6A6" w:sz="4"/>
            </w:tcBorders>
            <w:shd w:fill="DCE6EE" w:color="auto" w:val="clear"/>
            <w:tcMar>
              <w:top w:type="dxa" w:w="40"/>
              <w:left w:type="dxa" w:w="80"/>
              <w:bottom w:type="dxa" w:w="40"/>
              <w:right w:type="dxa" w:w="80"/>
            </w:tcMar>
            <w:vAlign w:val="center"/>
          </w:tcPr>
          <w:p>
            <w:pPr>
              <w:jc w:val="left"/>
            </w:pPr>
            <w:r>
              <w:rPr>
                <w:b/>
                <w:bCs/>
                <w:sz w:val="17"/>
                <w:szCs w:val="17"/>
              </w:rPr>
              <w:t xml:space="preserve">Prueba</w:t>
            </w:r>
          </w:p>
        </w:tc>
        <w:tc>
          <w:tcPr>
            <w:tcW w:type="dxa" w:w="1512"/>
            <w:tcBorders>
              <w:top w:val="single" w:color="A6A6A6" w:sz="4"/>
              <w:left w:val="single" w:color="A6A6A6" w:sz="4"/>
              <w:bottom w:val="single" w:color="A6A6A6" w:sz="4"/>
              <w:right w:val="single" w:color="A6A6A6" w:sz="4"/>
            </w:tcBorders>
            <w:shd w:fill="DCE6EE" w:color="auto" w:val="clear"/>
            <w:tcMar>
              <w:top w:type="dxa" w:w="40"/>
              <w:left w:type="dxa" w:w="80"/>
              <w:bottom w:type="dxa" w:w="40"/>
              <w:right w:type="dxa" w:w="80"/>
            </w:tcMar>
            <w:vAlign w:val="center"/>
          </w:tcPr>
          <w:p>
            <w:pPr>
              <w:jc w:val="center"/>
            </w:pPr>
            <w:r>
              <w:rPr>
                <w:b/>
                <w:bCs/>
                <w:sz w:val="17"/>
                <w:szCs w:val="17"/>
              </w:rPr>
              <w:t xml:space="preserve">V aplicada (p.u.)</w:t>
            </w:r>
          </w:p>
        </w:tc>
        <w:tc>
          <w:tcPr>
            <w:tcW w:type="dxa" w:w="1713"/>
            <w:tcBorders>
              <w:top w:val="single" w:color="A6A6A6" w:sz="4"/>
              <w:left w:val="single" w:color="A6A6A6" w:sz="4"/>
              <w:bottom w:val="single" w:color="A6A6A6" w:sz="4"/>
              <w:right w:val="single" w:color="A6A6A6" w:sz="4"/>
            </w:tcBorders>
            <w:shd w:fill="DCE6EE" w:color="auto" w:val="clear"/>
            <w:tcMar>
              <w:top w:type="dxa" w:w="40"/>
              <w:left w:type="dxa" w:w="80"/>
              <w:bottom w:type="dxa" w:w="40"/>
              <w:right w:type="dxa" w:w="80"/>
            </w:tcMar>
            <w:vAlign w:val="center"/>
          </w:tcPr>
          <w:p>
            <w:pPr>
              <w:jc w:val="center"/>
            </w:pPr>
            <w:r>
              <w:rPr>
                <w:b/>
                <w:bCs/>
                <w:sz w:val="17"/>
                <w:szCs w:val="17"/>
              </w:rPr>
              <w:t xml:space="preserve">Iq en el evento (p.u.)</w:t>
            </w:r>
          </w:p>
        </w:tc>
        <w:tc>
          <w:tcPr>
            <w:tcW w:type="dxa" w:w="3628"/>
            <w:tcBorders>
              <w:top w:val="single" w:color="A6A6A6" w:sz="4"/>
              <w:left w:val="single" w:color="A6A6A6" w:sz="4"/>
              <w:bottom w:val="single" w:color="A6A6A6" w:sz="4"/>
              <w:right w:val="single" w:color="A6A6A6" w:sz="4"/>
            </w:tcBorders>
            <w:shd w:fill="DCE6EE" w:color="auto" w:val="clear"/>
            <w:tcMar>
              <w:top w:type="dxa" w:w="40"/>
              <w:left w:type="dxa" w:w="80"/>
              <w:bottom w:type="dxa" w:w="40"/>
              <w:right w:type="dxa" w:w="80"/>
            </w:tcMar>
            <w:vAlign w:val="center"/>
          </w:tcPr>
          <w:p>
            <w:pPr>
              <w:jc w:val="center"/>
            </w:pPr>
            <w:r>
              <w:rPr>
                <w:b/>
                <w:bCs/>
                <w:sz w:val="17"/>
                <w:szCs w:val="17"/>
              </w:rPr>
              <w:t xml:space="preserve">Comentario</w:t>
            </w:r>
          </w:p>
        </w:tc>
      </w:tr>
      <w:tr>
        <w:tc>
          <w:tcPr>
            <w:tcW w:type="dxa" w:w="221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sz w:val="17"/>
                <w:szCs w:val="17"/>
              </w:rPr>
              <w:t xml:space="preserve">Factor K, rampa a 0 p.u.</w:t>
            </w:r>
          </w:p>
        </w:tc>
        <w:tc>
          <w:tcPr>
            <w:tcW w:type="dxa" w:w="151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1,0 → 0</w:t>
            </w:r>
          </w:p>
        </w:tc>
        <w:tc>
          <w:tcPr>
            <w:tcW w:type="dxa" w:w="1713"/>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0,15 → 1,0</w:t>
            </w:r>
          </w:p>
        </w:tc>
        <w:tc>
          <w:tcPr>
            <w:tcW w:type="dxa" w:w="362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k = 2,0 en el POI; activa en 0,885 p.u.; satura en 1,0 p.u.</w:t>
            </w:r>
          </w:p>
        </w:tc>
      </w:tr>
      <w:tr>
        <w:tc>
          <w:tcPr>
            <w:tcW w:type="dxa" w:w="221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sz w:val="17"/>
                <w:szCs w:val="17"/>
              </w:rPr>
              <w:t xml:space="preserve">Factor K, rampa a 1,4 p.u.</w:t>
            </w:r>
          </w:p>
        </w:tc>
        <w:tc>
          <w:tcPr>
            <w:tcW w:type="dxa" w:w="151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1,0 → 1,4</w:t>
            </w:r>
          </w:p>
        </w:tc>
        <w:tc>
          <w:tcPr>
            <w:tcW w:type="dxa" w:w="1713"/>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−0,21 → −0,79</w:t>
            </w:r>
          </w:p>
        </w:tc>
        <w:tc>
          <w:tcPr>
            <w:tcW w:type="dxa" w:w="362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k ≈ 2,0 promedio; activa en 1,103 p.u.</w:t>
            </w:r>
          </w:p>
        </w:tc>
      </w:tr>
      <w:tr>
        <w:tc>
          <w:tcPr>
            <w:tcW w:type="dxa" w:w="221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sz w:val="17"/>
                <w:szCs w:val="17"/>
              </w:rPr>
              <w:t xml:space="preserve">Tensión 0 y 0 ConIq</w:t>
            </w:r>
          </w:p>
        </w:tc>
        <w:tc>
          <w:tcPr>
            <w:tcW w:type="dxa" w:w="151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0</w:t>
            </w:r>
          </w:p>
        </w:tc>
        <w:tc>
          <w:tcPr>
            <w:tcW w:type="dxa" w:w="1713"/>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0,70</w:t>
            </w:r>
          </w:p>
        </w:tc>
        <w:tc>
          <w:tcPr>
            <w:tcW w:type="dxa" w:w="362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No llega al límite con tensión nula; P ≈ 0 durante el hueco</w:t>
            </w:r>
          </w:p>
        </w:tc>
      </w:tr>
      <w:tr>
        <w:tc>
          <w:tcPr>
            <w:tcW w:type="dxa" w:w="221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sz w:val="17"/>
                <w:szCs w:val="17"/>
              </w:rPr>
              <w:t xml:space="preserve">Tensión 0,1</w:t>
            </w:r>
          </w:p>
        </w:tc>
        <w:tc>
          <w:tcPr>
            <w:tcW w:type="dxa" w:w="151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0,1</w:t>
            </w:r>
          </w:p>
        </w:tc>
        <w:tc>
          <w:tcPr>
            <w:tcW w:type="dxa" w:w="1713"/>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1,00</w:t>
            </w:r>
          </w:p>
        </w:tc>
        <w:tc>
          <w:tcPr>
            <w:tcW w:type="dxa" w:w="362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Saturada en Imax; t90 ≈ 38 ms</w:t>
            </w:r>
          </w:p>
        </w:tc>
      </w:tr>
      <w:tr>
        <w:tc>
          <w:tcPr>
            <w:tcW w:type="dxa" w:w="221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sz w:val="17"/>
                <w:szCs w:val="17"/>
              </w:rPr>
              <w:t xml:space="preserve">Tensión 0,5</w:t>
            </w:r>
          </w:p>
        </w:tc>
        <w:tc>
          <w:tcPr>
            <w:tcW w:type="dxa" w:w="151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0,5</w:t>
            </w:r>
          </w:p>
        </w:tc>
        <w:tc>
          <w:tcPr>
            <w:tcW w:type="dxa" w:w="1713"/>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0,92</w:t>
            </w:r>
          </w:p>
        </w:tc>
        <w:tc>
          <w:tcPr>
            <w:tcW w:type="dxa" w:w="362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t90 = 39,6 ms</w:t>
            </w:r>
          </w:p>
        </w:tc>
      </w:tr>
      <w:tr>
        <w:tc>
          <w:tcPr>
            <w:tcW w:type="dxa" w:w="221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sz w:val="17"/>
                <w:szCs w:val="17"/>
              </w:rPr>
              <w:t xml:space="preserve">Tensión 0,8 / 0,85</w:t>
            </w:r>
          </w:p>
        </w:tc>
        <w:tc>
          <w:tcPr>
            <w:tcW w:type="dxa" w:w="151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0,8 / 0,85</w:t>
            </w:r>
          </w:p>
        </w:tc>
        <w:tc>
          <w:tcPr>
            <w:tcW w:type="dxa" w:w="1713"/>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0,305 / 0,212</w:t>
            </w:r>
          </w:p>
        </w:tc>
        <w:tc>
          <w:tcPr>
            <w:tcW w:type="dxa" w:w="362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Proporcional a la desviación</w:t>
            </w:r>
          </w:p>
        </w:tc>
      </w:tr>
      <w:tr>
        <w:tc>
          <w:tcPr>
            <w:tcW w:type="dxa" w:w="221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sz w:val="17"/>
                <w:szCs w:val="17"/>
              </w:rPr>
              <w:t xml:space="preserve">Tensión 0,9</w:t>
            </w:r>
          </w:p>
        </w:tc>
        <w:tc>
          <w:tcPr>
            <w:tcW w:type="dxa" w:w="151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0,9</w:t>
            </w:r>
          </w:p>
        </w:tc>
        <w:tc>
          <w:tcPr>
            <w:tcW w:type="dxa" w:w="1713"/>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 0</w:t>
            </w:r>
          </w:p>
        </w:tc>
        <w:tc>
          <w:tcPr>
            <w:tcW w:type="dxa" w:w="362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Dentro de la banda muerta</w:t>
            </w:r>
          </w:p>
        </w:tc>
      </w:tr>
      <w:tr>
        <w:tc>
          <w:tcPr>
            <w:tcW w:type="dxa" w:w="221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sz w:val="17"/>
                <w:szCs w:val="17"/>
              </w:rPr>
              <w:t xml:space="preserve">Tensión 1,1 / 1,11</w:t>
            </w:r>
          </w:p>
        </w:tc>
        <w:tc>
          <w:tcPr>
            <w:tcW w:type="dxa" w:w="151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1,1 / 1,11</w:t>
            </w:r>
          </w:p>
        </w:tc>
        <w:tc>
          <w:tcPr>
            <w:tcW w:type="dxa" w:w="1713"/>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−0,205 / −0,215</w:t>
            </w:r>
          </w:p>
        </w:tc>
        <w:tc>
          <w:tcPr>
            <w:tcW w:type="dxa" w:w="362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El aporte decae a −0,15 durante el evento</w:t>
            </w:r>
          </w:p>
        </w:tc>
      </w:tr>
      <w:tr>
        <w:tc>
          <w:tcPr>
            <w:tcW w:type="dxa" w:w="221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sz w:val="17"/>
                <w:szCs w:val="17"/>
              </w:rPr>
              <w:t xml:space="preserve">Tensión 1,2</w:t>
            </w:r>
          </w:p>
        </w:tc>
        <w:tc>
          <w:tcPr>
            <w:tcW w:type="dxa" w:w="151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1,2</w:t>
            </w:r>
          </w:p>
        </w:tc>
        <w:tc>
          <w:tcPr>
            <w:tcW w:type="dxa" w:w="1713"/>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−0,37</w:t>
            </w:r>
          </w:p>
        </w:tc>
        <w:tc>
          <w:tcPr>
            <w:tcW w:type="dxa" w:w="362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Picos periódicos de Iq después del evento</w:t>
            </w:r>
          </w:p>
        </w:tc>
      </w:tr>
    </w:tbl>
    <w:p>
      <w:pPr>
        <w:spacing w:after="200" w:before="60"/>
        <w:jc w:val="center"/>
      </w:pPr>
      <w:r>
        <w:rPr>
          <w:i/>
          <w:iCs/>
          <w:sz w:val="18"/>
          <w:szCs w:val="18"/>
        </w:rPr>
        <w:t xml:space="preserve">Tabla 5. Resultados de la carpeta 04_Inyeccion_Iq (corriente reactiva de secuencia positiva en el POI).</w:t>
      </w:r>
    </w:p>
    <w:tbl>
      <w:tblPr>
        <w:tblW w:type="dxa" w:w="9070"/>
        <w:tblBorders>
          <w:top w:val="none" w:sz="0"/>
          <w:left w:val="none" w:sz="0"/>
          <w:bottom w:val="none" w:sz="0"/>
          <w:right w:val="none" w:sz="0"/>
          <w:insideH w:val="none" w:sz="0"/>
          <w:insideV w:val="none" w:sz="0"/>
        </w:tblBorders>
      </w:tblPr>
      <w:tblGrid>
        <w:gridCol w:w="4535"/>
        <w:gridCol w:w="4535"/>
      </w:tblGrid>
      <w:tr>
        <w:tc>
          <w:tcPr>
            <w:tcW w:type="dxa" w:w="4535"/>
            <w:tcBorders>
              <w:top w:val="none" w:sz="0"/>
              <w:left w:val="none" w:sz="0"/>
              <w:bottom w:val="none" w:sz="0"/>
              <w:right w:val="none" w:sz="0"/>
            </w:tcBorders>
          </w:tcPr>
          <w:p>
            <w:pPr>
              <w:jc w:val="center"/>
            </w:pPr>
            <w:r>
              <w:drawing>
                <wp:inline distT="0" distB="0" distL="0" distR="0">
                  <wp:extent cx="276225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0" cy="1952625"/>
                          </a:xfrm>
                          <a:prstGeom prst="rect">
                            <a:avLst/>
                          </a:prstGeom>
                        </pic:spPr>
                      </pic:pic>
                    </a:graphicData>
                  </a:graphic>
                </wp:inline>
              </w:drawing>
            </w:r>
          </w:p>
          <w:p>
            <w:pPr>
              <w:spacing w:after="60"/>
              <w:jc w:val="center"/>
            </w:pPr>
            <w:r>
              <w:rPr>
                <w:i/>
                <w:iCs/>
                <w:sz w:val="16"/>
                <w:szCs w:val="16"/>
              </w:rPr>
              <w:t xml:space="preserve">Prueba de factor K (rampa de 1 a 0 p.u.)</w:t>
            </w:r>
          </w:p>
        </w:tc>
        <w:tc>
          <w:tcPr>
            <w:tcW w:type="dxa" w:w="4535"/>
            <w:tcBorders>
              <w:top w:val="none" w:sz="0"/>
              <w:left w:val="none" w:sz="0"/>
              <w:bottom w:val="none" w:sz="0"/>
              <w:right w:val="none" w:sz="0"/>
            </w:tcBorders>
          </w:tcPr>
          <w:p>
            <w:pPr>
              <w:jc w:val="center"/>
            </w:pPr>
            <w:r>
              <w:drawing>
                <wp:inline distT="0" distB="0" distL="0" distR="0">
                  <wp:extent cx="276225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0" cy="1952625"/>
                          </a:xfrm>
                          <a:prstGeom prst="rect">
                            <a:avLst/>
                          </a:prstGeom>
                        </pic:spPr>
                      </pic:pic>
                    </a:graphicData>
                  </a:graphic>
                </wp:inline>
              </w:drawing>
            </w:r>
          </w:p>
          <w:p>
            <w:pPr>
              <w:spacing w:after="60"/>
              <w:jc w:val="center"/>
            </w:pPr>
            <w:r>
              <w:rPr>
                <w:i/>
                <w:iCs/>
                <w:sz w:val="16"/>
                <w:szCs w:val="16"/>
              </w:rPr>
              <w:t xml:space="preserve">Hueco a 0,5 p.u. durante 0,5 s</w:t>
            </w:r>
          </w:p>
        </w:tc>
      </w:tr>
    </w:tbl>
    <w:p>
      <w:pPr>
        <w:spacing w:after="200" w:before="60"/>
        <w:jc w:val="center"/>
      </w:pPr>
      <w:r>
        <w:rPr>
          <w:i/>
          <w:iCs/>
          <w:sz w:val="18"/>
          <w:szCs w:val="18"/>
        </w:rPr>
        <w:t xml:space="preserve">Figura 6. Característica Iq contra V y respuesta temporal de Iq.</w:t>
      </w:r>
    </w:p>
    <w:p>
      <w:pPr>
        <w:spacing w:after="120" w:line="276"/>
        <w:jc w:val="both"/>
      </w:pPr>
      <w:r>
        <w:rPr>
          <w:b/>
          <w:bCs/>
        </w:rPr>
        <w:t xml:space="preserve">a) y b) Diferenciación por nivel de tensión o capacidad.</w:t>
      </w:r>
      <w:r>
        <w:t xml:space="preserve"> Son lineamientos que debe fijar el CNO mediante acuerdo y no dependen del modelo. </w:t>
      </w:r>
      <w:r>
        <w:rPr>
          <w:b/>
          <w:bCs/>
        </w:rPr>
        <w:t xml:space="preserve">No aplica al modelo.</w:t>
      </w:r>
    </w:p>
    <w:p>
      <w:pPr>
        <w:spacing w:after="120" w:line="276"/>
        <w:jc w:val="both"/>
      </w:pPr>
      <w:r>
        <w:rPr>
          <w:b/>
          <w:bCs/>
        </w:rPr>
        <w:t xml:space="preserve">c) Priorización y velocidad.</w:t>
      </w:r>
      <w:r>
        <w:t xml:space="preserve"> El REEC_A tiene PqFlag = 0 (prioridad de Q). En los huecos de 0,5 y 0,1 p.u. Iq alcanza el 90 % de su valor final en 39,6 y cerca de 38 ms, por debajo de los 50 ms usados como referencia. </w:t>
      </w:r>
      <w:r>
        <w:rPr>
          <w:b/>
          <w:bCs/>
        </w:rPr>
        <w:t xml:space="preserve">Cumple.</w:t>
      </w:r>
    </w:p>
    <w:p>
      <w:pPr>
        <w:spacing w:after="120" w:line="276"/>
        <w:jc w:val="both"/>
      </w:pPr>
      <w:r>
        <w:rPr>
          <w:b/>
          <w:bCs/>
        </w:rPr>
        <w:t xml:space="preserve">d) Aporte mientras la tensión esté fuera de banda.</w:t>
      </w:r>
      <w:r>
        <w:t xml:space="preserve"> En subtensión Iq se mantiene constante durante todo el hueco. En sobretensión (1,1 y 1,11 p.u.) el aporte cae cerca de 25 % antes de que termine el evento. </w:t>
      </w:r>
      <w:r>
        <w:rPr>
          <w:b/>
          <w:bCs/>
        </w:rPr>
        <w:t xml:space="preserve">Cumple parcialmente.</w:t>
      </w:r>
    </w:p>
    <w:p>
      <w:pPr>
        <w:spacing w:after="120" w:line="276"/>
        <w:jc w:val="both"/>
      </w:pPr>
      <w:r>
        <w:rPr>
          <w:b/>
          <w:bCs/>
        </w:rPr>
        <w:t xml:space="preserve">e) Límite del 100 % de la corriente nominal.</w:t>
      </w:r>
      <w:r>
        <w:t xml:space="preserve"> Iq se satura en 1,0 p.u. (Imax) en el hueco de 0,1 p.u. y en la prueba de factor K. </w:t>
      </w:r>
      <w:r>
        <w:rPr>
          <w:b/>
          <w:bCs/>
        </w:rPr>
        <w:t xml:space="preserve">Cumple.</w:t>
      </w:r>
    </w:p>
    <w:p>
      <w:pPr>
        <w:spacing w:after="120" w:line="276"/>
        <w:jc w:val="both"/>
      </w:pPr>
      <w:r>
        <w:rPr>
          <w:b/>
          <w:bCs/>
        </w:rPr>
        <w:t xml:space="preserve">f) Característica.</w:t>
      </w:r>
      <w:r>
        <w:t xml:space="preserve"> En la prueba de factor K la pendiente entre (0,88; 0,15) y (0,455; 1,0) es k = (1,0 − 0,15)/(0,88 − 0,455) = 2,0, dentro del criterio de la Guía de XM (2 ± 0,1). La inyección se activa en 0,885 y 1,103 p.u. en el POI, que coincide con el rango normal de operación de 0,9 a 1,1 p.u. </w:t>
      </w:r>
      <w:r>
        <w:rPr>
          <w:b/>
          <w:bCs/>
        </w:rPr>
        <w:t xml:space="preserve">Cumple.</w:t>
      </w:r>
    </w:p>
    <w:p>
      <w:pPr>
        <w:spacing w:after="120" w:line="276"/>
        <w:jc w:val="both"/>
      </w:pPr>
      <w:r>
        <w:rPr>
          <w:b/>
          <w:bCs/>
        </w:rPr>
        <w:t xml:space="preserve">g) y h) Valor de k parametrizable.</w:t>
      </w:r>
      <w:r>
        <w:t xml:space="preserve"> k se ajusta con el parámetro Kqv del REEC_A. </w:t>
      </w:r>
      <w:r>
        <w:rPr>
          <w:b/>
          <w:bCs/>
        </w:rPr>
        <w:t xml:space="preserve">Cumple.</w:t>
      </w:r>
    </w:p>
    <w:p>
      <w:pPr>
        <w:spacing w:after="120" w:line="276"/>
        <w:jc w:val="both"/>
      </w:pPr>
      <w:r>
        <w:rPr>
          <w:b/>
          <w:bCs/>
        </w:rPr>
        <w:t xml:space="preserve">i) Sostenimiento después de volver a la banda.</w:t>
      </w:r>
      <w:r>
        <w:t xml:space="preserve"> El aporte se mantiene 0,5 s después de la recuperación (Thld = −0,5 s), pero su valor decrece de 0,18 a 0,06 p.u. en lugar de ser proporcional a la desviación de tensión, k·(1 − 0,91) = 0,18 p.u. </w:t>
      </w:r>
      <w:r>
        <w:rPr>
          <w:b/>
          <w:bCs/>
        </w:rPr>
        <w:t xml:space="preserve">Cumple parcialmente.</w:t>
      </w:r>
    </w:p>
    <w:p>
      <w:pPr>
        <w:spacing w:after="120" w:line="276"/>
        <w:jc w:val="both"/>
      </w:pPr>
      <w:r>
        <w:t xml:space="preserve">Además, en la prueba de 1,2 p.u. aparecen picos periódicos de Iq una vez la tensión vuelve a 1,09 p.u., lo que sugiere una conmutación repetitiva de la lógica de detección de falla que convendría revisar. En esta carpeta las protecciones están fuera de servicio, por eso ningún caso dispara.</w:t>
      </w:r>
    </w:p>
    <w:p>
      <w:pPr>
        <w:pStyle w:val="Heading2"/>
      </w:pPr>
      <w:r>
        <w:t xml:space="preserve">Numeral 11.2.4. Depresiones de tensión y sobretensiones</w:t>
      </w:r>
    </w:p>
    <w:p>
      <w:pPr>
        <w:spacing w:after="120" w:line="276"/>
        <w:jc w:val="both"/>
      </w:pPr>
      <w:r>
        <w:t xml:space="preserve">La protección de baja tensión está ajustada como una escalera que reproduce la curva LVRT (0,1 p.u. a 0,5 s, 0,15 p.u. a 0,6 s, hasta 0,85 p.u. a 20 s) y la de sobretensión dispara con 1,2 p.u. a 2 s y con 1,1 p.u. a 30 s. La Tabla 6 resume la carpeta 03_Curvas_RT.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587"/>
        <w:gridCol w:w="2268"/>
        <w:gridCol w:w="2948"/>
        <w:gridCol w:w="2267"/>
      </w:tblGrid>
      <w:tr>
        <w:trPr>
          <w:tblHeader/>
        </w:trPr>
        <w:tc>
          <w:tcPr>
            <w:tcW w:type="dxa" w:w="1587"/>
            <w:tcBorders>
              <w:top w:val="single" w:color="A6A6A6" w:sz="4"/>
              <w:left w:val="single" w:color="A6A6A6" w:sz="4"/>
              <w:bottom w:val="single" w:color="A6A6A6" w:sz="4"/>
              <w:right w:val="single" w:color="A6A6A6" w:sz="4"/>
            </w:tcBorders>
            <w:shd w:fill="DCE6EE" w:color="auto" w:val="clear"/>
            <w:tcMar>
              <w:top w:type="dxa" w:w="40"/>
              <w:left w:type="dxa" w:w="80"/>
              <w:bottom w:type="dxa" w:w="40"/>
              <w:right w:type="dxa" w:w="80"/>
            </w:tcMar>
            <w:vAlign w:val="center"/>
          </w:tcPr>
          <w:p>
            <w:pPr>
              <w:jc w:val="left"/>
            </w:pPr>
            <w:r>
              <w:rPr>
                <w:b/>
                <w:bCs/>
                <w:sz w:val="17"/>
                <w:szCs w:val="17"/>
              </w:rPr>
              <w:t xml:space="preserve">Prueba</w:t>
            </w:r>
          </w:p>
        </w:tc>
        <w:tc>
          <w:tcPr>
            <w:tcW w:type="dxa" w:w="2268"/>
            <w:tcBorders>
              <w:top w:val="single" w:color="A6A6A6" w:sz="4"/>
              <w:left w:val="single" w:color="A6A6A6" w:sz="4"/>
              <w:bottom w:val="single" w:color="A6A6A6" w:sz="4"/>
              <w:right w:val="single" w:color="A6A6A6" w:sz="4"/>
            </w:tcBorders>
            <w:shd w:fill="DCE6EE" w:color="auto" w:val="clear"/>
            <w:tcMar>
              <w:top w:type="dxa" w:w="40"/>
              <w:left w:type="dxa" w:w="80"/>
              <w:bottom w:type="dxa" w:w="40"/>
              <w:right w:type="dxa" w:w="80"/>
            </w:tcMar>
            <w:vAlign w:val="center"/>
          </w:tcPr>
          <w:p>
            <w:pPr>
              <w:jc w:val="center"/>
            </w:pPr>
            <w:r>
              <w:rPr>
                <w:b/>
                <w:bCs/>
                <w:sz w:val="17"/>
                <w:szCs w:val="17"/>
              </w:rPr>
              <w:t xml:space="preserve">Exigencia CREG 148</w:t>
            </w:r>
          </w:p>
        </w:tc>
        <w:tc>
          <w:tcPr>
            <w:tcW w:type="dxa" w:w="2948"/>
            <w:tcBorders>
              <w:top w:val="single" w:color="A6A6A6" w:sz="4"/>
              <w:left w:val="single" w:color="A6A6A6" w:sz="4"/>
              <w:bottom w:val="single" w:color="A6A6A6" w:sz="4"/>
              <w:right w:val="single" w:color="A6A6A6" w:sz="4"/>
            </w:tcBorders>
            <w:shd w:fill="DCE6EE" w:color="auto" w:val="clear"/>
            <w:tcMar>
              <w:top w:type="dxa" w:w="40"/>
              <w:left w:type="dxa" w:w="80"/>
              <w:bottom w:type="dxa" w:w="40"/>
              <w:right w:type="dxa" w:w="80"/>
            </w:tcMar>
            <w:vAlign w:val="center"/>
          </w:tcPr>
          <w:p>
            <w:pPr>
              <w:jc w:val="center"/>
            </w:pPr>
            <w:r>
              <w:rPr>
                <w:b/>
                <w:bCs/>
                <w:sz w:val="17"/>
                <w:szCs w:val="17"/>
              </w:rPr>
              <w:t xml:space="preserve">Resultado</w:t>
            </w:r>
          </w:p>
        </w:tc>
        <w:tc>
          <w:tcPr>
            <w:tcW w:type="dxa" w:w="2267"/>
            <w:tcBorders>
              <w:top w:val="single" w:color="A6A6A6" w:sz="4"/>
              <w:left w:val="single" w:color="A6A6A6" w:sz="4"/>
              <w:bottom w:val="single" w:color="A6A6A6" w:sz="4"/>
              <w:right w:val="single" w:color="A6A6A6" w:sz="4"/>
            </w:tcBorders>
            <w:shd w:fill="DCE6EE" w:color="auto" w:val="clear"/>
            <w:tcMar>
              <w:top w:type="dxa" w:w="40"/>
              <w:left w:type="dxa" w:w="80"/>
              <w:bottom w:type="dxa" w:w="40"/>
              <w:right w:type="dxa" w:w="80"/>
            </w:tcMar>
            <w:vAlign w:val="center"/>
          </w:tcPr>
          <w:p>
            <w:pPr>
              <w:jc w:val="center"/>
            </w:pPr>
            <w:r>
              <w:rPr>
                <w:b/>
                <w:bCs/>
                <w:sz w:val="17"/>
                <w:szCs w:val="17"/>
              </w:rPr>
              <w:t xml:space="preserve">Evaluación</w:t>
            </w:r>
          </w:p>
        </w:tc>
      </w:tr>
      <w:tr>
        <w:tc>
          <w:tcPr>
            <w:tcW w:type="dxa" w:w="158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sz w:val="17"/>
                <w:szCs w:val="17"/>
              </w:rPr>
              <w:t xml:space="preserve">0 p.u.</w:t>
            </w:r>
          </w:p>
        </w:tc>
        <w:tc>
          <w:tcPr>
            <w:tcW w:type="dxa" w:w="226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Por debajo de la curva</w:t>
            </w:r>
          </w:p>
        </w:tc>
        <w:tc>
          <w:tcPr>
            <w:tcW w:type="dxa" w:w="294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Dispara a 0,160 s</w:t>
            </w:r>
          </w:p>
        </w:tc>
        <w:tc>
          <w:tcPr>
            <w:tcW w:type="dxa" w:w="226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Cumple</w:t>
            </w:r>
          </w:p>
        </w:tc>
      </w:tr>
      <w:tr>
        <w:tc>
          <w:tcPr>
            <w:tcW w:type="dxa" w:w="158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sz w:val="17"/>
                <w:szCs w:val="17"/>
              </w:rPr>
              <w:t xml:space="preserve">0,1 p.u.</w:t>
            </w:r>
          </w:p>
        </w:tc>
        <w:tc>
          <w:tcPr>
            <w:tcW w:type="dxa" w:w="226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Soportar 0,5 s</w:t>
            </w:r>
          </w:p>
        </w:tc>
        <w:tc>
          <w:tcPr>
            <w:tcW w:type="dxa" w:w="294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Dispara a 0,510 s</w:t>
            </w:r>
          </w:p>
        </w:tc>
        <w:tc>
          <w:tcPr>
            <w:tcW w:type="dxa" w:w="226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Cumple, sin margen</w:t>
            </w:r>
          </w:p>
        </w:tc>
      </w:tr>
      <w:tr>
        <w:tc>
          <w:tcPr>
            <w:tcW w:type="dxa" w:w="158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sz w:val="17"/>
                <w:szCs w:val="17"/>
              </w:rPr>
              <w:t xml:space="preserve">0,85 p.u.</w:t>
            </w:r>
          </w:p>
        </w:tc>
        <w:tc>
          <w:tcPr>
            <w:tcW w:type="dxa" w:w="226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Soportar 20 s</w:t>
            </w:r>
          </w:p>
        </w:tc>
        <w:tc>
          <w:tcPr>
            <w:tcW w:type="dxa" w:w="294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Dispara a 20 s</w:t>
            </w:r>
          </w:p>
        </w:tc>
        <w:tc>
          <w:tcPr>
            <w:tcW w:type="dxa" w:w="226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Cumple, sin margen</w:t>
            </w:r>
          </w:p>
        </w:tc>
      </w:tr>
      <w:tr>
        <w:tc>
          <w:tcPr>
            <w:tcW w:type="dxa" w:w="158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sz w:val="17"/>
                <w:szCs w:val="17"/>
              </w:rPr>
              <w:t xml:space="preserve">0,9 p.u.</w:t>
            </w:r>
          </w:p>
        </w:tc>
        <w:tc>
          <w:tcPr>
            <w:tcW w:type="dxa" w:w="226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Operación continua</w:t>
            </w:r>
          </w:p>
        </w:tc>
        <w:tc>
          <w:tcPr>
            <w:tcW w:type="dxa" w:w="294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No dispara (P baja a 19,07 MW)</w:t>
            </w:r>
          </w:p>
        </w:tc>
        <w:tc>
          <w:tcPr>
            <w:tcW w:type="dxa" w:w="226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Cumple</w:t>
            </w:r>
          </w:p>
        </w:tc>
      </w:tr>
      <w:tr>
        <w:tc>
          <w:tcPr>
            <w:tcW w:type="dxa" w:w="158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sz w:val="17"/>
                <w:szCs w:val="17"/>
              </w:rPr>
              <w:t xml:space="preserve">1,1 p.u.</w:t>
            </w:r>
          </w:p>
        </w:tc>
        <w:tc>
          <w:tcPr>
            <w:tcW w:type="dxa" w:w="226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Soportar 21 s</w:t>
            </w:r>
          </w:p>
        </w:tc>
        <w:tc>
          <w:tcPr>
            <w:tcW w:type="dxa" w:w="294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Dispara a 30,0 s</w:t>
            </w:r>
          </w:p>
        </w:tc>
        <w:tc>
          <w:tcPr>
            <w:tcW w:type="dxa" w:w="226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Cumple</w:t>
            </w:r>
          </w:p>
        </w:tc>
      </w:tr>
      <w:tr>
        <w:tc>
          <w:tcPr>
            <w:tcW w:type="dxa" w:w="158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sz w:val="17"/>
                <w:szCs w:val="17"/>
              </w:rPr>
              <w:t xml:space="preserve">1,2 p.u.</w:t>
            </w:r>
          </w:p>
        </w:tc>
        <w:tc>
          <w:tcPr>
            <w:tcW w:type="dxa" w:w="226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Soportar 2 s</w:t>
            </w:r>
          </w:p>
        </w:tc>
        <w:tc>
          <w:tcPr>
            <w:tcW w:type="dxa" w:w="294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Dispara a 2,01 s</w:t>
            </w:r>
          </w:p>
        </w:tc>
        <w:tc>
          <w:tcPr>
            <w:tcW w:type="dxa" w:w="226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Cumple, sin margen</w:t>
            </w:r>
          </w:p>
        </w:tc>
      </w:tr>
      <w:tr>
        <w:tc>
          <w:tcPr>
            <w:tcW w:type="dxa" w:w="158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sz w:val="17"/>
                <w:szCs w:val="17"/>
              </w:rPr>
              <w:t xml:space="preserve">Curva LVRT</w:t>
            </w:r>
          </w:p>
        </w:tc>
        <w:tc>
          <w:tcPr>
            <w:tcW w:type="dxa" w:w="226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Recorrer la curva</w:t>
            </w:r>
          </w:p>
        </w:tc>
        <w:tc>
          <w:tcPr>
            <w:tcW w:type="dxa" w:w="294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Dispara a 0,509 s</w:t>
            </w:r>
          </w:p>
        </w:tc>
        <w:tc>
          <w:tcPr>
            <w:tcW w:type="dxa" w:w="226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Cumple, ver nota</w:t>
            </w:r>
          </w:p>
        </w:tc>
      </w:tr>
      <w:tr>
        <w:tc>
          <w:tcPr>
            <w:tcW w:type="dxa" w:w="158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sz w:val="17"/>
                <w:szCs w:val="17"/>
              </w:rPr>
              <w:t xml:space="preserve">Curva HVRT</w:t>
            </w:r>
          </w:p>
        </w:tc>
        <w:tc>
          <w:tcPr>
            <w:tcW w:type="dxa" w:w="226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Recorrer la curva</w:t>
            </w:r>
          </w:p>
        </w:tc>
        <w:tc>
          <w:tcPr>
            <w:tcW w:type="dxa" w:w="2948"/>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Dispara a 30,0 s</w:t>
            </w:r>
          </w:p>
        </w:tc>
        <w:tc>
          <w:tcPr>
            <w:tcW w:type="dxa" w:w="2267"/>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Cumple</w:t>
            </w:r>
          </w:p>
        </w:tc>
      </w:tr>
    </w:tbl>
    <w:p>
      <w:pPr>
        <w:spacing w:after="200" w:before="60"/>
        <w:jc w:val="center"/>
      </w:pPr>
      <w:r>
        <w:rPr>
          <w:i/>
          <w:iCs/>
          <w:sz w:val="18"/>
          <w:szCs w:val="18"/>
        </w:rPr>
        <w:t xml:space="preserve">Tabla 6. Pruebas de soportabilidad ante huecos y sobretensiones.</w:t>
      </w:r>
    </w:p>
    <w:tbl>
      <w:tblPr>
        <w:tblW w:type="dxa" w:w="9070"/>
        <w:tblBorders>
          <w:top w:val="none" w:sz="0"/>
          <w:left w:val="none" w:sz="0"/>
          <w:bottom w:val="none" w:sz="0"/>
          <w:right w:val="none" w:sz="0"/>
          <w:insideH w:val="none" w:sz="0"/>
          <w:insideV w:val="none" w:sz="0"/>
        </w:tblBorders>
      </w:tblPr>
      <w:tblGrid>
        <w:gridCol w:w="4535"/>
        <w:gridCol w:w="4535"/>
      </w:tblGrid>
      <w:tr>
        <w:tc>
          <w:tcPr>
            <w:tcW w:type="dxa" w:w="4535"/>
            <w:tcBorders>
              <w:top w:val="none" w:sz="0"/>
              <w:left w:val="none" w:sz="0"/>
              <w:bottom w:val="none" w:sz="0"/>
              <w:right w:val="none" w:sz="0"/>
            </w:tcBorders>
          </w:tcPr>
          <w:p>
            <w:pPr>
              <w:jc w:val="center"/>
            </w:pPr>
            <w:r>
              <w:drawing>
                <wp:inline distT="0" distB="0" distL="0" distR="0">
                  <wp:extent cx="276225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0" cy="1952625"/>
                          </a:xfrm>
                          <a:prstGeom prst="rect">
                            <a:avLst/>
                          </a:prstGeom>
                        </pic:spPr>
                      </pic:pic>
                    </a:graphicData>
                  </a:graphic>
                </wp:inline>
              </w:drawing>
            </w:r>
          </w:p>
          <w:p>
            <w:pPr>
              <w:spacing w:after="60"/>
              <w:jc w:val="center"/>
            </w:pPr>
            <w:r>
              <w:rPr>
                <w:i/>
                <w:iCs/>
                <w:sz w:val="16"/>
                <w:szCs w:val="16"/>
              </w:rPr>
              <w:t xml:space="preserve">Hueco a 0,1 p.u.: disparo a 0,51 s</w:t>
            </w:r>
          </w:p>
        </w:tc>
        <w:tc>
          <w:tcPr>
            <w:tcW w:type="dxa" w:w="4535"/>
            <w:tcBorders>
              <w:top w:val="none" w:sz="0"/>
              <w:left w:val="none" w:sz="0"/>
              <w:bottom w:val="none" w:sz="0"/>
              <w:right w:val="none" w:sz="0"/>
            </w:tcBorders>
          </w:tcPr>
          <w:p>
            <w:pPr>
              <w:jc w:val="center"/>
            </w:pPr>
            <w:r>
              <w:drawing>
                <wp:inline distT="0" distB="0" distL="0" distR="0">
                  <wp:extent cx="276225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0" cy="1952625"/>
                          </a:xfrm>
                          <a:prstGeom prst="rect">
                            <a:avLst/>
                          </a:prstGeom>
                        </pic:spPr>
                      </pic:pic>
                    </a:graphicData>
                  </a:graphic>
                </wp:inline>
              </w:drawing>
            </w:r>
          </w:p>
          <w:p>
            <w:pPr>
              <w:spacing w:after="60"/>
              <w:jc w:val="center"/>
            </w:pPr>
            <w:r>
              <w:rPr>
                <w:i/>
                <w:iCs/>
                <w:sz w:val="16"/>
                <w:szCs w:val="16"/>
              </w:rPr>
              <w:t xml:space="preserve">Hueco a 0 p.u.: recuperación de P</w:t>
            </w:r>
          </w:p>
        </w:tc>
      </w:tr>
    </w:tbl>
    <w:p>
      <w:pPr>
        <w:spacing w:after="200" w:before="60"/>
        <w:jc w:val="center"/>
      </w:pPr>
      <w:r>
        <w:rPr>
          <w:i/>
          <w:iCs/>
          <w:sz w:val="18"/>
          <w:szCs w:val="18"/>
        </w:rPr>
        <w:t xml:space="preserve">Figura 7. Soportabilidad ante huecos y recuperación de la potencia activa.</w:t>
      </w:r>
    </w:p>
    <w:p>
      <w:pPr>
        <w:spacing w:after="120" w:line="276"/>
        <w:jc w:val="both"/>
      </w:pPr>
      <w:r>
        <w:t xml:space="preserve">En la prueba Curva_LVRT la tensión cae a cerca de 0 p.u. hasta 0,174 s y permanece en 0,1 p.u. hasta 0,670 s, es decir, el perfil pasa por debajo de la curva y el disparo a 0,509 s está permitido. Aun así, la prueba deja ver que los ajustes coinciden exactamente con los tiempos de la curva y no dejan margen; se recomienda un pequeño margen en umbrales o temporizaciones (por ejemplo 0,0999 p.u. en lugar de 0,1001 p.u. y 1,1001 p.u. en lugar de 1,1 p.u.).</w:t>
      </w:r>
    </w:p>
    <w:p>
      <w:pPr>
        <w:spacing w:after="120" w:line="276"/>
        <w:jc w:val="both"/>
      </w:pPr>
      <w:r>
        <w:t xml:space="preserve">Para el requisito de recuperación de potencia se usa la prueba de 0 p.u. con potencia graficada: la tensión vuelve a 0,91 p.u. en 0,5 s y la planta recupera el 90 % de la potencia previa (20,3 MW) en 0,80 s, es decir, en 0,30 s, coherente con la rampa rrpwr = 3 p.u./s del REGC_A. Esto es menor que el segundo exigido. La carpeta no incluye pruebas de huecos sucesivos, por lo que ese requisito no se verificó. </w:t>
      </w:r>
      <w:r>
        <w:rPr>
          <w:b/>
          <w:bCs/>
        </w:rPr>
        <w:t xml:space="preserve">Cumple.</w:t>
      </w:r>
    </w:p>
    <w:p>
      <w:pPr>
        <w:pStyle w:val="Heading1"/>
      </w:pPr>
      <w:r>
        <w:t xml:space="preserve">Literal c. Implementación de la Resolución CREG 101 104 de 2026</w:t>
      </w:r>
    </w:p>
    <w:p>
      <w:pPr>
        <w:spacing w:after="120" w:line="276"/>
        <w:jc w:val="both"/>
      </w:pPr>
      <w:r>
        <w:t xml:space="preserve">El artículo 11 de la Resolución CREG 101 104 de 2026 lleva el numeral 11.2.3 de la CREG 148 a lo dispuesto en el literal d) del numeral 5.7 del Código de Operación, modificado por el artículo 6. La Tabla 7 compara los nuevos requisitos con lo que hoy hace el modelo.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3401"/>
        <w:gridCol w:w="1134"/>
      </w:tblGrid>
      <w:tr>
        <w:trPr>
          <w:tblHeader/>
        </w:trPr>
        <w:tc>
          <w:tcPr>
            <w:tcW w:type="dxa" w:w="4535"/>
            <w:tcBorders>
              <w:top w:val="single" w:color="A6A6A6" w:sz="4"/>
              <w:left w:val="single" w:color="A6A6A6" w:sz="4"/>
              <w:bottom w:val="single" w:color="A6A6A6" w:sz="4"/>
              <w:right w:val="single" w:color="A6A6A6" w:sz="4"/>
            </w:tcBorders>
            <w:shd w:fill="DCE6EE" w:color="auto" w:val="clear"/>
            <w:tcMar>
              <w:top w:type="dxa" w:w="40"/>
              <w:left w:type="dxa" w:w="80"/>
              <w:bottom w:type="dxa" w:w="40"/>
              <w:right w:type="dxa" w:w="80"/>
            </w:tcMar>
            <w:vAlign w:val="center"/>
          </w:tcPr>
          <w:p>
            <w:pPr>
              <w:jc w:val="left"/>
            </w:pPr>
            <w:r>
              <w:rPr>
                <w:b/>
                <w:bCs/>
                <w:sz w:val="17"/>
                <w:szCs w:val="17"/>
              </w:rPr>
              <w:t xml:space="preserve">Requisito (art. 6)</w:t>
            </w:r>
          </w:p>
        </w:tc>
        <w:tc>
          <w:tcPr>
            <w:tcW w:type="dxa" w:w="3401"/>
            <w:tcBorders>
              <w:top w:val="single" w:color="A6A6A6" w:sz="4"/>
              <w:left w:val="single" w:color="A6A6A6" w:sz="4"/>
              <w:bottom w:val="single" w:color="A6A6A6" w:sz="4"/>
              <w:right w:val="single" w:color="A6A6A6" w:sz="4"/>
            </w:tcBorders>
            <w:shd w:fill="DCE6EE" w:color="auto" w:val="clear"/>
            <w:tcMar>
              <w:top w:type="dxa" w:w="40"/>
              <w:left w:type="dxa" w:w="80"/>
              <w:bottom w:type="dxa" w:w="40"/>
              <w:right w:type="dxa" w:w="80"/>
            </w:tcMar>
            <w:vAlign w:val="center"/>
          </w:tcPr>
          <w:p>
            <w:pPr>
              <w:jc w:val="center"/>
            </w:pPr>
            <w:r>
              <w:rPr>
                <w:b/>
                <w:bCs/>
                <w:sz w:val="17"/>
                <w:szCs w:val="17"/>
              </w:rPr>
              <w:t xml:space="preserve">Modelo actual</w:t>
            </w:r>
          </w:p>
        </w:tc>
        <w:tc>
          <w:tcPr>
            <w:tcW w:type="dxa" w:w="1134"/>
            <w:tcBorders>
              <w:top w:val="single" w:color="A6A6A6" w:sz="4"/>
              <w:left w:val="single" w:color="A6A6A6" w:sz="4"/>
              <w:bottom w:val="single" w:color="A6A6A6" w:sz="4"/>
              <w:right w:val="single" w:color="A6A6A6" w:sz="4"/>
            </w:tcBorders>
            <w:shd w:fill="DCE6EE" w:color="auto" w:val="clear"/>
            <w:tcMar>
              <w:top w:type="dxa" w:w="40"/>
              <w:left w:type="dxa" w:w="80"/>
              <w:bottom w:type="dxa" w:w="40"/>
              <w:right w:type="dxa" w:w="80"/>
            </w:tcMar>
            <w:vAlign w:val="center"/>
          </w:tcPr>
          <w:p>
            <w:pPr>
              <w:jc w:val="center"/>
            </w:pPr>
            <w:r>
              <w:rPr>
                <w:b/>
                <w:bCs/>
                <w:sz w:val="17"/>
                <w:szCs w:val="17"/>
              </w:rPr>
              <w:t xml:space="preserve">¿Cambio?</w:t>
            </w:r>
          </w:p>
        </w:tc>
      </w:tr>
      <w:tr>
        <w:tc>
          <w:tcPr>
            <w:tcW w:type="dxa" w:w="4535"/>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sz w:val="17"/>
                <w:szCs w:val="17"/>
              </w:rPr>
              <w:t xml:space="preserve">Iq de secuencia positiva y negativa según ΔU1 y ΔU2</w:t>
            </w:r>
          </w:p>
        </w:tc>
        <w:tc>
          <w:tcPr>
            <w:tcW w:type="dxa" w:w="3401"/>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Solo secuencia positiva (REEC_A)</w:t>
            </w:r>
          </w:p>
        </w:tc>
        <w:tc>
          <w:tcPr>
            <w:tcW w:type="dxa" w:w="1134"/>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Sí</w:t>
            </w:r>
          </w:p>
        </w:tc>
      </w:tr>
      <w:tr>
        <w:tc>
          <w:tcPr>
            <w:tcW w:type="dxa" w:w="4535"/>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sz w:val="17"/>
                <w:szCs w:val="17"/>
              </w:rPr>
              <w:t xml:space="preserve">90 % del cambio en menos de 50 ms (±20 %)</w:t>
            </w:r>
          </w:p>
        </w:tc>
        <w:tc>
          <w:tcPr>
            <w:tcW w:type="dxa" w:w="3401"/>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t90 ≈ 40 ms</w:t>
            </w:r>
          </w:p>
        </w:tc>
        <w:tc>
          <w:tcPr>
            <w:tcW w:type="dxa" w:w="1134"/>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No</w:t>
            </w:r>
          </w:p>
        </w:tc>
      </w:tr>
      <w:tr>
        <w:tc>
          <w:tcPr>
            <w:tcW w:type="dxa" w:w="4535"/>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sz w:val="17"/>
                <w:szCs w:val="17"/>
              </w:rPr>
              <w:t xml:space="preserve">k ajustable de 0 a 10 (positiva) y de 0 a −10 (negativa), por defecto 2</w:t>
            </w:r>
          </w:p>
        </w:tc>
        <w:tc>
          <w:tcPr>
            <w:tcW w:type="dxa" w:w="3401"/>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Kqv = 2 solo en positiva</w:t>
            </w:r>
          </w:p>
        </w:tc>
        <w:tc>
          <w:tcPr>
            <w:tcW w:type="dxa" w:w="1134"/>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Sí</w:t>
            </w:r>
          </w:p>
        </w:tc>
      </w:tr>
      <w:tr>
        <w:tc>
          <w:tcPr>
            <w:tcW w:type="dxa" w:w="4535"/>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sz w:val="17"/>
                <w:szCs w:val="17"/>
              </w:rPr>
              <w:t xml:space="preserve">ΔU respecto a la tensión previa al evento</w:t>
            </w:r>
          </w:p>
        </w:tc>
        <w:tc>
          <w:tcPr>
            <w:tcW w:type="dxa" w:w="3401"/>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Vref0 = 1,0 p.u.</w:t>
            </w:r>
          </w:p>
        </w:tc>
        <w:tc>
          <w:tcPr>
            <w:tcW w:type="dxa" w:w="1134"/>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Sí</w:t>
            </w:r>
          </w:p>
        </w:tc>
      </w:tr>
      <w:tr>
        <w:tc>
          <w:tcPr>
            <w:tcW w:type="dxa" w:w="4535"/>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sz w:val="17"/>
                <w:szCs w:val="17"/>
              </w:rPr>
              <w:t xml:space="preserve">Límite de Iq configurable de 0 a 1 p.u., 0,9 por defecto</w:t>
            </w:r>
          </w:p>
        </w:tc>
        <w:tc>
          <w:tcPr>
            <w:tcW w:type="dxa" w:w="3401"/>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Iqh1 = 1,0 p.u.</w:t>
            </w:r>
          </w:p>
        </w:tc>
        <w:tc>
          <w:tcPr>
            <w:tcW w:type="dxa" w:w="1134"/>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Sí</w:t>
            </w:r>
          </w:p>
        </w:tc>
      </w:tr>
      <w:tr>
        <w:tc>
          <w:tcPr>
            <w:tcW w:type="dxa" w:w="4535"/>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sz w:val="17"/>
                <w:szCs w:val="17"/>
              </w:rPr>
              <w:t xml:space="preserve">No suspender la corriente activa durante la falla</w:t>
            </w:r>
          </w:p>
        </w:tc>
        <w:tc>
          <w:tcPr>
            <w:tcW w:type="dxa" w:w="3401"/>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Ip = 0 para V &lt; 0,4 p.u. (REGC_A)</w:t>
            </w:r>
          </w:p>
        </w:tc>
        <w:tc>
          <w:tcPr>
            <w:tcW w:type="dxa" w:w="1134"/>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Sí</w:t>
            </w:r>
          </w:p>
        </w:tc>
      </w:tr>
      <w:tr>
        <w:tc>
          <w:tcPr>
            <w:tcW w:type="dxa" w:w="4535"/>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sz w:val="17"/>
                <w:szCs w:val="17"/>
              </w:rPr>
              <w:t xml:space="preserve">Sostener 500 ms un aporte proporcional a (1 − V)</w:t>
            </w:r>
          </w:p>
        </w:tc>
        <w:tc>
          <w:tcPr>
            <w:tcW w:type="dxa" w:w="3401"/>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Valor congelado y decreciente</w:t>
            </w:r>
          </w:p>
        </w:tc>
        <w:tc>
          <w:tcPr>
            <w:tcW w:type="dxa" w:w="1134"/>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Sí</w:t>
            </w:r>
          </w:p>
        </w:tc>
      </w:tr>
      <w:tr>
        <w:tc>
          <w:tcPr>
            <w:tcW w:type="dxa" w:w="4535"/>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sz w:val="17"/>
                <w:szCs w:val="17"/>
              </w:rPr>
              <w:t xml:space="preserve">Función de prioridad de corriente activa</w:t>
            </w:r>
          </w:p>
        </w:tc>
        <w:tc>
          <w:tcPr>
            <w:tcW w:type="dxa" w:w="3401"/>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PqFlag disponible</w:t>
            </w:r>
          </w:p>
        </w:tc>
        <w:tc>
          <w:tcPr>
            <w:tcW w:type="dxa" w:w="1134"/>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No</w:t>
            </w:r>
          </w:p>
        </w:tc>
      </w:tr>
    </w:tbl>
    <w:p>
      <w:pPr>
        <w:spacing w:after="200" w:before="60"/>
        <w:jc w:val="center"/>
      </w:pPr>
      <w:r>
        <w:rPr>
          <w:i/>
          <w:iCs/>
          <w:sz w:val="18"/>
          <w:szCs w:val="18"/>
        </w:rPr>
        <w:t xml:space="preserve">Tabla 7. Requisitos del artículo 6 frente al modelo actual.</w:t>
      </w:r>
    </w:p>
    <w:p>
      <w:pPr>
        <w:pStyle w:val="Heading3"/>
      </w:pPr>
      <w:r>
        <w:t xml:space="preserve">Cambios propuestos en el modelo</w:t>
      </w:r>
    </w:p>
    <w:p>
      <w:pPr>
        <w:spacing w:after="120" w:line="276"/>
        <w:jc w:val="both"/>
      </w:pPr>
      <w:r>
        <w:t xml:space="preserve">Los cambios se hacen sobre la rama de inyección rápida del REEC_A (Figura 8: Vt, filtro Trv, banda muerta db1/db2, ganancia Kqv, límites Iqh1/Iql1 y selector Thld) y sobre la lógica de baja tensión del REGC_A.</w:t>
      </w:r>
    </w:p>
    <w:p>
      <w:pPr>
        <w:spacing w:before="120"/>
        <w:jc w:val="center"/>
      </w:pPr>
      <w:r>
        <w:drawing>
          <wp:inline distT="0" distB="0" distL="0" distR="0">
            <wp:extent cx="53340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771900"/>
                    </a:xfrm>
                    <a:prstGeom prst="rect">
                      <a:avLst/>
                    </a:prstGeom>
                  </pic:spPr>
                </pic:pic>
              </a:graphicData>
            </a:graphic>
          </wp:inline>
        </w:drawing>
      </w:r>
    </w:p>
    <w:p>
      <w:pPr>
        <w:spacing w:after="200" w:before="60"/>
        <w:jc w:val="center"/>
      </w:pPr>
      <w:r>
        <w:rPr>
          <w:i/>
          <w:iCs/>
          <w:sz w:val="18"/>
          <w:szCs w:val="18"/>
        </w:rPr>
        <w:t xml:space="preserve">Figura 8. Diagrama de bloques del REEC_A implementado en el modelo.</w:t>
      </w:r>
    </w:p>
    <w:p>
      <w:pPr>
        <w:spacing w:after="120" w:line="276"/>
        <w:jc w:val="both"/>
      </w:pPr>
      <w:r>
        <w:rPr>
          <w:b/>
          <w:bCs/>
        </w:rPr>
        <w:t xml:space="preserve">1. Rama de secuencia positiva (REEC_A).</w:t>
      </w:r>
      <w:r>
        <w:t xml:space="preserve"> Se ajusta Vref0 = 0 para que ΔU se mida respecto a la tensión del terminal antes del evento, se mantiene Kqv = k1 = 2 con rango de 0 a 10, se fijan los umbrales Vdip y Vup de modo que la banda muerta coincida con el rango normal en el punto de conexión (0,9 a 1,1 p.u. en el POI) y se reduce el límite Iqh1/Iql1 a ±0,9 p.u.</w:t>
      </w:r>
    </w:p>
    <w:p>
      <w:pPr>
        <w:spacing w:after="120" w:line="276"/>
        <w:jc w:val="both"/>
      </w:pPr>
      <w:r>
        <w:rPr>
          <w:b/>
          <w:bCs/>
        </w:rPr>
        <w:t xml:space="preserve">2. Nueva rama de secuencia negativa.</w:t>
      </w:r>
      <w:r>
        <w:t xml:space="preserve"> Se agrega una medición de la tensión de secuencia negativa U2 en el POI, con el mismo filtro Trv, una ganancia k2 de 0 a −10 (por defecto −2), un límite y una bandera NegSeq_flag para activarla o desactivarla a solicitud del CND. Su salida se lleva a las entradas de corriente de secuencia negativa del generador estático, lo que exige simular en RMS desbalanceado:</w:t>
      </w:r>
    </w:p>
    <w:p>
      <w:pPr>
        <w:tabs>
          <w:tab w:val="center" w:pos="4535"/>
          <w:tab w:val="right" w:pos="9070"/>
        </w:tabs>
        <w:spacing w:after="120" w:before="80"/>
      </w:pPr>
      <w:r>
        <w:t xml:space="preserve">	</w:t>
      </w:r>
      <m:oMath>
        <m:sSub>
          <m:sSubPr/>
          <m:e>
            <m:r>
              <m:t>I</m:t>
            </m:r>
          </m:e>
          <m:sub>
            <m:r>
              <m:t>q1</m:t>
            </m:r>
          </m:sub>
        </m:sSub>
        <m:r>
          <m:t>=</m:t>
        </m:r>
        <m:sSub>
          <m:sSubPr/>
          <m:e>
            <m:r>
              <m:t>k</m:t>
            </m:r>
          </m:e>
          <m:sub>
            <m:r>
              <m:t>1</m:t>
            </m:r>
          </m:sub>
        </m:sSub>
        <m:r>
          <m:t>·</m:t>
        </m:r>
        <m:d>
          <m:dPr/>
          <m:e>
            <m:sSub>
              <m:sSubPr/>
              <m:e>
                <m:r>
                  <m:t>U</m:t>
                </m:r>
              </m:e>
              <m:sub>
                <m:r>
                  <m:t>1,pre</m:t>
                </m:r>
              </m:sub>
            </m:sSub>
            <m:r>
              <m:t>−</m:t>
            </m:r>
            <m:sSub>
              <m:sSubPr/>
              <m:e>
                <m:r>
                  <m:t>U</m:t>
                </m:r>
              </m:e>
              <m:sub>
                <m:r>
                  <m:t>1</m:t>
                </m:r>
              </m:sub>
            </m:sSub>
          </m:e>
        </m:d>
      </m:oMath>
      <w:r>
        <w:t xml:space="preserve">	(8)</w:t>
      </w:r>
    </w:p>
    <w:p>
      <w:pPr>
        <w:tabs>
          <w:tab w:val="center" w:pos="4535"/>
          <w:tab w:val="right" w:pos="9070"/>
        </w:tabs>
        <w:spacing w:after="120" w:before="80"/>
      </w:pPr>
      <w:r>
        <w:t xml:space="preserve">	</w:t>
      </w:r>
      <m:oMath>
        <m:sSub>
          <m:sSubPr/>
          <m:e>
            <m:r>
              <m:t>I</m:t>
            </m:r>
          </m:e>
          <m:sub>
            <m:r>
              <m:t>q2</m:t>
            </m:r>
          </m:sub>
        </m:sSub>
        <m:r>
          <m:t>=</m:t>
        </m:r>
        <m:sSub>
          <m:sSubPr/>
          <m:e>
            <m:r>
              <m:t>k</m:t>
            </m:r>
          </m:e>
          <m:sub>
            <m:r>
              <m:t>2</m:t>
            </m:r>
          </m:sub>
        </m:sSub>
        <m:r>
          <m:t>·</m:t>
        </m:r>
        <m:sSub>
          <m:sSubPr/>
          <m:e>
            <m:r>
              <m:t>U</m:t>
            </m:r>
          </m:e>
          <m:sub>
            <m:r>
              <m:t>2</m:t>
            </m:r>
          </m:sub>
        </m:sSub>
      </m:oMath>
      <w:r>
        <w:t xml:space="preserve">	(9)</w:t>
      </w:r>
    </w:p>
    <w:p>
      <w:pPr>
        <w:spacing w:after="120" w:line="276"/>
        <w:jc w:val="both"/>
      </w:pPr>
      <w:r>
        <w:rPr>
          <w:b/>
          <w:bCs/>
        </w:rPr>
        <w:t xml:space="preserve">3. Limitador conjunto.</w:t>
      </w:r>
      <w:r>
        <w:t xml:space="preserve"> Si la suma supera el límite, ambas componentes se escalan en la misma proporción:</w:t>
      </w:r>
    </w:p>
    <w:p>
      <w:pPr>
        <w:tabs>
          <w:tab w:val="center" w:pos="4535"/>
          <w:tab w:val="right" w:pos="9070"/>
        </w:tabs>
        <w:spacing w:after="120" w:before="80"/>
      </w:pPr>
      <w:r>
        <w:t xml:space="preserve">	</w:t>
      </w:r>
      <m:oMath>
        <m:r>
          <m:t>∣</m:t>
        </m:r>
        <m:sSub>
          <m:sSubPr/>
          <m:e>
            <m:r>
              <m:t>I</m:t>
            </m:r>
          </m:e>
          <m:sub>
            <m:r>
              <m:t>q1</m:t>
            </m:r>
          </m:sub>
        </m:sSub>
        <m:r>
          <m:t>∣+∣</m:t>
        </m:r>
        <m:sSub>
          <m:sSubPr/>
          <m:e>
            <m:r>
              <m:t>I</m:t>
            </m:r>
          </m:e>
          <m:sub>
            <m:r>
              <m:t>q2</m:t>
            </m:r>
          </m:sub>
        </m:sSub>
        <m:r>
          <m:t>∣≤</m:t>
        </m:r>
        <m:sSub>
          <m:sSubPr/>
          <m:e>
            <m:r>
              <m:t>I</m:t>
            </m:r>
          </m:e>
          <m:sub>
            <m:r>
              <m:t>q,máx</m:t>
            </m:r>
          </m:sub>
        </m:sSub>
        <m:r>
          <m:t>=0,9 p.u.</m:t>
        </m:r>
      </m:oMath>
      <w:r>
        <w:t xml:space="preserve">	(10)</w:t>
      </w:r>
    </w:p>
    <w:p>
      <w:pPr>
        <w:spacing w:after="120" w:line="276"/>
        <w:jc w:val="both"/>
      </w:pPr>
      <w:r>
        <w:rPr>
          <w:b/>
          <w:bCs/>
        </w:rPr>
        <w:t xml:space="preserve">4. Corriente activa sin cesación (REGC_A y lógica de límites).</w:t>
      </w:r>
      <w:r>
        <w:t xml:space="preserve"> Se deshabilita la anulación de Ip a baja tensión (lvpnt0 y zerox en 0) y se mantiene la prioridad de Q, de forma que la corriente activa disponible nunca baja de:</w:t>
      </w:r>
    </w:p>
    <w:p>
      <w:pPr>
        <w:tabs>
          <w:tab w:val="center" w:pos="4535"/>
          <w:tab w:val="right" w:pos="9070"/>
        </w:tabs>
        <w:spacing w:after="120" w:before="80"/>
      </w:pPr>
      <w:r>
        <w:t xml:space="preserve">	</w:t>
      </w:r>
      <m:oMath>
        <m:sSub>
          <m:sSubPr/>
          <m:e>
            <m:r>
              <m:t>I</m:t>
            </m:r>
          </m:e>
          <m:sub>
            <m:r>
              <m:t>p,máx</m:t>
            </m:r>
          </m:sub>
        </m:sSub>
        <m:r>
          <m:t>=</m:t>
        </m:r>
        <m:rad>
          <m:radPr>
            <m:degHide m:val="1"/>
          </m:radPr>
          <m:deg/>
          <m:e>
            <m:sSup>
              <m:sSupPr/>
              <m:e>
                <m:sSub>
                  <m:sSubPr/>
                  <m:e>
                    <m:r>
                      <m:t>I</m:t>
                    </m:r>
                  </m:e>
                  <m:sub>
                    <m:r>
                      <m:t>máx</m:t>
                    </m:r>
                  </m:sub>
                </m:sSub>
              </m:e>
              <m:sup>
                <m:r>
                  <m:t>2</m:t>
                </m:r>
              </m:sup>
            </m:sSup>
            <m:r>
              <m:t>−</m:t>
            </m:r>
            <m:sSup>
              <m:sSupPr/>
              <m:e>
                <m:sSub>
                  <m:sSubPr/>
                  <m:e>
                    <m:r>
                      <m:t>I</m:t>
                    </m:r>
                  </m:e>
                  <m:sub>
                    <m:r>
                      <m:t>q</m:t>
                    </m:r>
                  </m:sub>
                </m:sSub>
              </m:e>
              <m:sup>
                <m:r>
                  <m:t>2</m:t>
                </m:r>
              </m:sup>
            </m:sSup>
          </m:e>
        </m:rad>
        <m:r>
          <m:t>=</m:t>
        </m:r>
        <m:rad>
          <m:radPr>
            <m:degHide m:val="1"/>
          </m:radPr>
          <m:deg/>
          <m:e>
            <m:r>
              <m:t>1−</m:t>
            </m:r>
            <m:sSup>
              <m:sSupPr/>
              <m:e>
                <m:r>
                  <m:t>0,9</m:t>
                </m:r>
              </m:e>
              <m:sup>
                <m:r>
                  <m:t>2</m:t>
                </m:r>
              </m:sup>
            </m:sSup>
          </m:e>
        </m:rad>
        <m:r>
          <m:t>≈0,44 p.u.</m:t>
        </m:r>
      </m:oMath>
      <w:r>
        <w:t xml:space="preserve">	(11)</w:t>
      </w:r>
    </w:p>
    <w:p>
      <w:pPr>
        <w:spacing w:after="120" w:line="276"/>
        <w:jc w:val="both"/>
      </w:pPr>
      <w:r>
        <w:rPr>
          <w:b/>
          <w:bCs/>
        </w:rPr>
        <w:t xml:space="preserve">5. Sostenimiento de 500 ms.</w:t>
      </w:r>
      <w:r>
        <w:t xml:space="preserve"> El selector Thld se reemplaza por un temporizador que, durante 0,5 s después de que la tensión regresa a la banda, sigue calculando Iq = k·(1 − V) sin banda muerta, en lugar de congelar un valor fijo.</w:t>
      </w:r>
    </w:p>
    <w:p>
      <w:pPr>
        <w:spacing w:after="120" w:line="276"/>
        <w:jc w:val="both"/>
      </w:pPr>
      <w:r>
        <w:rPr>
          <w:b/>
          <w:bCs/>
        </w:rPr>
        <w:t xml:space="preserve">6. Velocidad.</w:t>
      </w:r>
      <w:r>
        <w:t xml:space="preserve"> Se conservan Trv, Tiq y Tg en 0,01 s, con lo que t90 sigue cerca de 40 ms, dentro de los 50 ms (±20 %) exigidos.</w:t>
      </w:r>
    </w:p>
    <w:p>
      <w:pPr>
        <w:pStyle w:val="Heading3"/>
      </w:pPr>
      <w:r>
        <w:t xml:space="preserve">Efecto esperado en cada prueba de 04_Inyeccion_Iq</w:t>
      </w:r>
    </w:p>
    <w:p>
      <w:pPr>
        <w:spacing w:after="120" w:line="276"/>
        <w:jc w:val="both"/>
      </w:pPr>
      <w:r>
        <w:t xml:space="preserve">Todas las pruebas de la carpeta son balanceadas, así que U2 = 0 y la nueva rama de secuencia negativa no actúa en ellas. Los cambios que sí se notan son el límite de 0,9 p.u., la medición de ΔU desde la tensión previa, la corriente activa mínima y el sostenimiento proporcional. La Tabla 8 resume el efecto estimado (valores en el POI).</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09"/>
        <w:gridCol w:w="2742"/>
        <w:gridCol w:w="4219"/>
      </w:tblGrid>
      <w:tr>
        <w:trPr>
          <w:tblHeader/>
        </w:trPr>
        <w:tc>
          <w:tcPr>
            <w:tcW w:type="dxa" w:w="2109"/>
            <w:tcBorders>
              <w:top w:val="single" w:color="A6A6A6" w:sz="4"/>
              <w:left w:val="single" w:color="A6A6A6" w:sz="4"/>
              <w:bottom w:val="single" w:color="A6A6A6" w:sz="4"/>
              <w:right w:val="single" w:color="A6A6A6" w:sz="4"/>
            </w:tcBorders>
            <w:shd w:fill="DCE6EE" w:color="auto" w:val="clear"/>
            <w:tcMar>
              <w:top w:type="dxa" w:w="40"/>
              <w:left w:type="dxa" w:w="80"/>
              <w:bottom w:type="dxa" w:w="40"/>
              <w:right w:type="dxa" w:w="80"/>
            </w:tcMar>
            <w:vAlign w:val="center"/>
          </w:tcPr>
          <w:p>
            <w:pPr>
              <w:jc w:val="left"/>
            </w:pPr>
            <w:r>
              <w:rPr>
                <w:b/>
                <w:bCs/>
                <w:sz w:val="17"/>
                <w:szCs w:val="17"/>
              </w:rPr>
              <w:t xml:space="preserve">Prueba</w:t>
            </w:r>
          </w:p>
        </w:tc>
        <w:tc>
          <w:tcPr>
            <w:tcW w:type="dxa" w:w="2742"/>
            <w:tcBorders>
              <w:top w:val="single" w:color="A6A6A6" w:sz="4"/>
              <w:left w:val="single" w:color="A6A6A6" w:sz="4"/>
              <w:bottom w:val="single" w:color="A6A6A6" w:sz="4"/>
              <w:right w:val="single" w:color="A6A6A6" w:sz="4"/>
            </w:tcBorders>
            <w:shd w:fill="DCE6EE" w:color="auto" w:val="clear"/>
            <w:tcMar>
              <w:top w:type="dxa" w:w="40"/>
              <w:left w:type="dxa" w:w="80"/>
              <w:bottom w:type="dxa" w:w="40"/>
              <w:right w:type="dxa" w:w="80"/>
            </w:tcMar>
            <w:vAlign w:val="center"/>
          </w:tcPr>
          <w:p>
            <w:pPr>
              <w:jc w:val="center"/>
            </w:pPr>
            <w:r>
              <w:rPr>
                <w:b/>
                <w:bCs/>
                <w:sz w:val="17"/>
                <w:szCs w:val="17"/>
              </w:rPr>
              <w:t xml:space="preserve">Respuesta actual</w:t>
            </w:r>
          </w:p>
        </w:tc>
        <w:tc>
          <w:tcPr>
            <w:tcW w:type="dxa" w:w="4219"/>
            <w:tcBorders>
              <w:top w:val="single" w:color="A6A6A6" w:sz="4"/>
              <w:left w:val="single" w:color="A6A6A6" w:sz="4"/>
              <w:bottom w:val="single" w:color="A6A6A6" w:sz="4"/>
              <w:right w:val="single" w:color="A6A6A6" w:sz="4"/>
            </w:tcBorders>
            <w:shd w:fill="DCE6EE" w:color="auto" w:val="clear"/>
            <w:tcMar>
              <w:top w:type="dxa" w:w="40"/>
              <w:left w:type="dxa" w:w="80"/>
              <w:bottom w:type="dxa" w:w="40"/>
              <w:right w:type="dxa" w:w="80"/>
            </w:tcMar>
            <w:vAlign w:val="center"/>
          </w:tcPr>
          <w:p>
            <w:pPr>
              <w:jc w:val="center"/>
            </w:pPr>
            <w:r>
              <w:rPr>
                <w:b/>
                <w:bCs/>
                <w:sz w:val="17"/>
                <w:szCs w:val="17"/>
              </w:rPr>
              <w:t xml:space="preserve">Respuesta con la CREG 101 104</w:t>
            </w:r>
          </w:p>
        </w:tc>
      </w:tr>
      <w:tr>
        <w:tc>
          <w:tcPr>
            <w:tcW w:type="dxa" w:w="2109"/>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sz w:val="17"/>
                <w:szCs w:val="17"/>
              </w:rPr>
              <w:t xml:space="preserve">Factor K, rampa a 0 p.u.</w:t>
            </w:r>
          </w:p>
        </w:tc>
        <w:tc>
          <w:tcPr>
            <w:tcW w:type="dxa" w:w="274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k = 2; satura en 1,0 p.u. bajo 0,455 p.u.</w:t>
            </w:r>
          </w:p>
        </w:tc>
        <w:tc>
          <w:tcPr>
            <w:tcW w:type="dxa" w:w="4219"/>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Misma pendiente; satura en 0,9 p.u. (bajo ≈ 0,5 p.u.); Ip ≥ 0,44 p.u. en todo el rango</w:t>
            </w:r>
          </w:p>
        </w:tc>
      </w:tr>
      <w:tr>
        <w:tc>
          <w:tcPr>
            <w:tcW w:type="dxa" w:w="2109"/>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sz w:val="17"/>
                <w:szCs w:val="17"/>
              </w:rPr>
              <w:t xml:space="preserve">Factor K, rampa a 1,4 p.u.</w:t>
            </w:r>
          </w:p>
        </w:tc>
        <w:tc>
          <w:tcPr>
            <w:tcW w:type="dxa" w:w="274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k ≈ 2; llega a −0,79 p.u.</w:t>
            </w:r>
          </w:p>
        </w:tc>
        <w:tc>
          <w:tcPr>
            <w:tcW w:type="dxa" w:w="4219"/>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Igual pendiente; absorción limitada a −0,9 p.u. (no se alcanza)</w:t>
            </w:r>
          </w:p>
        </w:tc>
      </w:tr>
      <w:tr>
        <w:tc>
          <w:tcPr>
            <w:tcW w:type="dxa" w:w="2109"/>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sz w:val="17"/>
                <w:szCs w:val="17"/>
              </w:rPr>
              <w:t xml:space="preserve">Tensión 0 p.u.</w:t>
            </w:r>
          </w:p>
        </w:tc>
        <w:tc>
          <w:tcPr>
            <w:tcW w:type="dxa" w:w="274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Iq = 0,70; Ip = 0</w:t>
            </w:r>
          </w:p>
        </w:tc>
        <w:tc>
          <w:tcPr>
            <w:tcW w:type="dxa" w:w="4219"/>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Iq = 0,9 p.u.; Ip ≥ 0,44 p.u. (P sigue cerca de 0 porque V = 0)</w:t>
            </w:r>
          </w:p>
        </w:tc>
      </w:tr>
      <w:tr>
        <w:tc>
          <w:tcPr>
            <w:tcW w:type="dxa" w:w="2109"/>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sz w:val="17"/>
                <w:szCs w:val="17"/>
              </w:rPr>
              <w:t xml:space="preserve">Tensión 0 p.u. ConIq</w:t>
            </w:r>
          </w:p>
        </w:tc>
        <w:tc>
          <w:tcPr>
            <w:tcW w:type="dxa" w:w="274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P recupera el 90 % en 0,30 s</w:t>
            </w:r>
          </w:p>
        </w:tc>
        <w:tc>
          <w:tcPr>
            <w:tcW w:type="dxa" w:w="4219"/>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Recuperación más rápida (≈ 0,15 s) porque Ip no parte de cero</w:t>
            </w:r>
          </w:p>
        </w:tc>
      </w:tr>
      <w:tr>
        <w:tc>
          <w:tcPr>
            <w:tcW w:type="dxa" w:w="2109"/>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sz w:val="17"/>
                <w:szCs w:val="17"/>
              </w:rPr>
              <w:t xml:space="preserve">Tensión 0,1 p.u.</w:t>
            </w:r>
          </w:p>
        </w:tc>
        <w:tc>
          <w:tcPr>
            <w:tcW w:type="dxa" w:w="274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Iq = 1,0; P ≈ 0</w:t>
            </w:r>
          </w:p>
        </w:tc>
        <w:tc>
          <w:tcPr>
            <w:tcW w:type="dxa" w:w="4219"/>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Iq = 0,9 p.u.; P ≈ 0,1·0,44·S ≈ 1 MW</w:t>
            </w:r>
          </w:p>
        </w:tc>
      </w:tr>
      <w:tr>
        <w:tc>
          <w:tcPr>
            <w:tcW w:type="dxa" w:w="2109"/>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sz w:val="17"/>
                <w:szCs w:val="17"/>
              </w:rPr>
              <w:t xml:space="preserve">Tensión 0,5 p.u.</w:t>
            </w:r>
          </w:p>
        </w:tc>
        <w:tc>
          <w:tcPr>
            <w:tcW w:type="dxa" w:w="274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Iq = 0,92</w:t>
            </w:r>
          </w:p>
        </w:tc>
        <w:tc>
          <w:tcPr>
            <w:tcW w:type="dxa" w:w="4219"/>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Iq = 0,9 p.u. (k·0,5 = 1,0 limitado); P ≈ 4,8 MW</w:t>
            </w:r>
          </w:p>
        </w:tc>
      </w:tr>
      <w:tr>
        <w:tc>
          <w:tcPr>
            <w:tcW w:type="dxa" w:w="2109"/>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sz w:val="17"/>
                <w:szCs w:val="17"/>
              </w:rPr>
              <w:t xml:space="preserve">Tensión 0,8 p.u.</w:t>
            </w:r>
          </w:p>
        </w:tc>
        <w:tc>
          <w:tcPr>
            <w:tcW w:type="dxa" w:w="274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Iq = 0,305</w:t>
            </w:r>
          </w:p>
        </w:tc>
        <w:tc>
          <w:tcPr>
            <w:tcW w:type="dxa" w:w="4219"/>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Iq ≈ 2·0,2 = 0,40 p.u.</w:t>
            </w:r>
          </w:p>
        </w:tc>
      </w:tr>
      <w:tr>
        <w:tc>
          <w:tcPr>
            <w:tcW w:type="dxa" w:w="2109"/>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sz w:val="17"/>
                <w:szCs w:val="17"/>
              </w:rPr>
              <w:t xml:space="preserve">Tensión 0,85 p.u.</w:t>
            </w:r>
          </w:p>
        </w:tc>
        <w:tc>
          <w:tcPr>
            <w:tcW w:type="dxa" w:w="274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Iq = 0,212</w:t>
            </w:r>
          </w:p>
        </w:tc>
        <w:tc>
          <w:tcPr>
            <w:tcW w:type="dxa" w:w="4219"/>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Iq ≈ 2·0,15 = 0,30 p.u.</w:t>
            </w:r>
          </w:p>
        </w:tc>
      </w:tr>
      <w:tr>
        <w:tc>
          <w:tcPr>
            <w:tcW w:type="dxa" w:w="2109"/>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sz w:val="17"/>
                <w:szCs w:val="17"/>
              </w:rPr>
              <w:t xml:space="preserve">Tensión 0,9 p.u.</w:t>
            </w:r>
          </w:p>
        </w:tc>
        <w:tc>
          <w:tcPr>
            <w:tcW w:type="dxa" w:w="274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Sin inyección</w:t>
            </w:r>
          </w:p>
        </w:tc>
        <w:tc>
          <w:tcPr>
            <w:tcW w:type="dxa" w:w="4219"/>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Sin cambio (dentro de la banda muerta)</w:t>
            </w:r>
          </w:p>
        </w:tc>
      </w:tr>
      <w:tr>
        <w:tc>
          <w:tcPr>
            <w:tcW w:type="dxa" w:w="2109"/>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sz w:val="17"/>
                <w:szCs w:val="17"/>
              </w:rPr>
              <w:t xml:space="preserve">Tensión 1,1 / 1,11 p.u.</w:t>
            </w:r>
          </w:p>
        </w:tc>
        <w:tc>
          <w:tcPr>
            <w:tcW w:type="dxa" w:w="274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Iq ≈ −0,21 que decae a −0,15</w:t>
            </w:r>
          </w:p>
        </w:tc>
        <w:tc>
          <w:tcPr>
            <w:tcW w:type="dxa" w:w="4219"/>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Aporte sostenido sin decaer; tras volver a 1,09 p.u., Iq = 2·(1 − 1,09) = −0,18 p.u. durante 0,5 s</w:t>
            </w:r>
          </w:p>
        </w:tc>
      </w:tr>
      <w:tr>
        <w:tc>
          <w:tcPr>
            <w:tcW w:type="dxa" w:w="2109"/>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sz w:val="17"/>
                <w:szCs w:val="17"/>
              </w:rPr>
              <w:t xml:space="preserve">Tensión 1,2 p.u.</w:t>
            </w:r>
          </w:p>
        </w:tc>
        <w:tc>
          <w:tcPr>
            <w:tcW w:type="dxa" w:w="274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Iq = −0,37 y picos posteriores</w:t>
            </w:r>
          </w:p>
        </w:tc>
        <w:tc>
          <w:tcPr>
            <w:tcW w:type="dxa" w:w="4219"/>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Iq ≈ −0,40 p.u.; sostenimiento de −0,18 p.u. durante 0,5 s; se espera eliminar los picos</w:t>
            </w:r>
          </w:p>
        </w:tc>
      </w:tr>
      <w:tr>
        <w:tc>
          <w:tcPr>
            <w:tcW w:type="dxa" w:w="2109"/>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left"/>
            </w:pPr>
            <w:r>
              <w:rPr>
                <w:sz w:val="17"/>
                <w:szCs w:val="17"/>
              </w:rPr>
              <w:t xml:space="preserve">Sostenimiento (huecos)</w:t>
            </w:r>
          </w:p>
        </w:tc>
        <w:tc>
          <w:tcPr>
            <w:tcW w:type="dxa" w:w="2742"/>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De 0,18 a 0,06 p.u., decreciente</w:t>
            </w:r>
          </w:p>
        </w:tc>
        <w:tc>
          <w:tcPr>
            <w:tcW w:type="dxa" w:w="4219"/>
            <w:tcBorders>
              <w:top w:val="single" w:color="A6A6A6" w:sz="4"/>
              <w:left w:val="single" w:color="A6A6A6" w:sz="4"/>
              <w:bottom w:val="single" w:color="A6A6A6" w:sz="4"/>
              <w:right w:val="single" w:color="A6A6A6" w:sz="4"/>
            </w:tcBorders>
            <w:tcMar>
              <w:top w:type="dxa" w:w="40"/>
              <w:left w:type="dxa" w:w="80"/>
              <w:bottom w:type="dxa" w:w="40"/>
              <w:right w:type="dxa" w:w="80"/>
            </w:tcMar>
            <w:vAlign w:val="center"/>
          </w:tcPr>
          <w:p>
            <w:pPr>
              <w:jc w:val="center"/>
            </w:pPr>
            <w:r>
              <w:rPr>
                <w:sz w:val="17"/>
                <w:szCs w:val="17"/>
              </w:rPr>
              <w:t xml:space="preserve">Constante en 2·(1 − 0,91) = 0,18 p.u. durante 0,5 s</w:t>
            </w:r>
          </w:p>
        </w:tc>
      </w:tr>
    </w:tbl>
    <w:p>
      <w:pPr>
        <w:spacing w:after="200" w:before="60"/>
        <w:jc w:val="center"/>
      </w:pPr>
      <w:r>
        <w:rPr>
          <w:i/>
          <w:iCs/>
          <w:sz w:val="18"/>
          <w:szCs w:val="18"/>
        </w:rPr>
        <w:t xml:space="preserve">Tabla 8. Efecto estimado de los cambios en cada prueba de 04_Inyeccion_Iq (S ≈ 21,9 MVA).</w:t>
      </w:r>
    </w:p>
    <w:p>
      <w:pPr>
        <w:spacing w:after="120" w:line="276"/>
        <w:jc w:val="both"/>
      </w:pPr>
      <w:r>
        <w:t xml:space="preserve">Para evidenciar la secuencia negativa se propone usar los casos Prueba_Tensión_Corto_1fase y Prueba_Tensión_Corto_2fases del modelo. En una falla monofásica franca se tiene U1 ≈ 0,67 p.u. y U2 ≈ 0,33 p.u., de donde Iq1 = 2·0,33 = 0,67 p.u. e Iq2 = 0,67 p.u.; como la suma (1,33 p.u.) supera 0,9 p.u., cada componente quedaría en cerca de 0,45 p.u. La corriente de secuencia negativa reduce el desbalance de tensión y las sobretensiones en las fases sanas.</w:t>
      </w:r>
    </w:p>
    <w:p>
      <w:pPr>
        <w:pStyle w:val="Heading1"/>
      </w:pPr>
      <w:r>
        <w:t xml:space="preserve">Conclusiones</w:t>
      </w:r>
    </w:p>
    <w:p>
      <w:pPr>
        <w:spacing w:after="120" w:line="276"/>
        <w:jc w:val="both"/>
      </w:pPr>
      <w:r>
        <w:t xml:space="preserve">El modelo cumple los requisitos del control de potencia activa/frecuencia (numeral 11.2.1), con estatismo de 4 %, banda muerta de 30 mHz, Tr menor a 0,6 s y Te menor a 10 s. También cumple el control de tensión, la curva P-Q y la soportabilidad ante huecos y sobretensiones. Las observaciones principales son la dinámica lenta del lazo de tensión para variaciones pequeñas (τ ≈ 33 s), la operación por encima de la CEN (21,4 MW), los ajustes de protección sin margen frente a la curva LVRT/HVRT y, en la inyección rápida, el aporte que decae en sobretensión y el sostenimiento que no es proporcional. Para cumplir la Resolución CREG 101 104 de 2026 hay que agregar la inyección de secuencia negativa, limitar Iq a 0,9 p.u., medir ΔU desde la tensión previa, evitar la cesación de la corriente activa y hacer proporcional el sostenimiento de 500 ms.</w:t>
      </w:r>
    </w:p>
    <w:p>
      <w:pPr>
        <w:pStyle w:val="Heading1"/>
      </w:pPr>
      <w:r>
        <w:t xml:space="preserve">Referencias</w:t>
      </w:r>
    </w:p>
    <w:p>
      <w:pPr>
        <w:spacing w:after="60"/>
        <w:jc w:val="both"/>
      </w:pPr>
      <w:r>
        <w:t xml:space="preserve">CREG. Resolución 148 de 2021, Anexo: Capítulo 11 del Reglamento de Distribución.</w:t>
      </w:r>
    </w:p>
    <w:p>
      <w:pPr>
        <w:spacing w:after="60"/>
        <w:jc w:val="both"/>
      </w:pPr>
      <w:r>
        <w:t xml:space="preserve">CREG. Resolución 060 de 2019, artículo 2 (definiciones de Tr y Te) y numeral 5.7 del Código de Operación.</w:t>
      </w:r>
    </w:p>
    <w:p>
      <w:pPr>
        <w:spacing w:after="60"/>
        <w:jc w:val="both"/>
      </w:pPr>
      <w:r>
        <w:t xml:space="preserve">CREG. Resolución 101 104 de 2026, artículos 6 y 11.</w:t>
      </w:r>
    </w:p>
    <w:p>
      <w:pPr>
        <w:spacing w:after="60"/>
        <w:jc w:val="both"/>
      </w:pPr>
      <w:r>
        <w:t xml:space="preserve">XM. Guía de modelos preliminares CREG 060 de 2019, versión 7, y su Anexo 1.</w:t>
      </w:r>
    </w:p>
    <w:p>
      <w:pPr>
        <w:spacing w:after="60"/>
        <w:jc w:val="both"/>
      </w:pPr>
      <w:r>
        <w:t xml:space="preserve">Material de clase, Módulo 1, Clase 4 (19 de septiembre de 2026).</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Taller Módulo 1. Punto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Light" w:cs="Calibri Light" w:eastAsia="Calibri Light" w:hAnsi="Calibri Light"/>
        <w:color w:val="3A28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left w:val="single" w:color="0F4761" w:sz="18" w:space="6"/>
      </w:pBdr>
      <w:spacing w:after="140" w:before="300"/>
      <w:outlineLvl w:val="0"/>
    </w:pPr>
    <w:rPr>
      <w:rFonts w:ascii="Calibri Light" w:cs="Calibri Light" w:eastAsia="Calibri Light" w:hAnsi="Calibri Light"/>
      <w:b/>
      <w:bCs/>
      <w:color w:val="0F4761"/>
      <w:sz w:val="28"/>
      <w:szCs w:val="28"/>
    </w:rPr>
  </w:style>
  <w:style w:type="paragraph" w:styleId="Heading2">
    <w:name w:val="Heading 2"/>
    <w:basedOn w:val="Normal"/>
    <w:next w:val="Normal"/>
    <w:qFormat/>
    <w:pPr>
      <w:spacing w:after="100" w:before="220"/>
      <w:outlineLvl w:val="1"/>
    </w:pPr>
    <w:rPr>
      <w:rFonts w:ascii="Calibri Light" w:cs="Calibri Light" w:eastAsia="Calibri Light" w:hAnsi="Calibri Light"/>
      <w:b/>
      <w:bCs/>
      <w:color w:val="0F4761"/>
      <w:sz w:val="24"/>
      <w:szCs w:val="24"/>
    </w:rPr>
  </w:style>
  <w:style w:type="paragraph" w:styleId="Heading3">
    <w:name w:val="Heading 3"/>
    <w:basedOn w:val="Normal"/>
    <w:next w:val="Normal"/>
    <w:qFormat/>
    <w:pPr>
      <w:spacing w:after="80" w:before="160"/>
      <w:outlineLvl w:val="2"/>
    </w:pPr>
    <w:rPr>
      <w:rFonts w:ascii="Calibri Light" w:cs="Calibri Light" w:eastAsia="Calibri Light" w:hAnsi="Calibri Light"/>
      <w:b/>
      <w:bCs/>
      <w:color w:val="0F476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d88567af43c6068a81658d4e17775813e3d8909.png"/><Relationship Id="rId10" Type="http://schemas.openxmlformats.org/officeDocument/2006/relationships/image" Target="media/8e3ac49720d8982a532b8b060fecec4195084d22.png"/><Relationship Id="rId11" Type="http://schemas.openxmlformats.org/officeDocument/2006/relationships/image" Target="media/22bc6ac036a4e3cd6e32e46bbbd10c14d7b3c18c.png"/><Relationship Id="rId12" Type="http://schemas.openxmlformats.org/officeDocument/2006/relationships/image" Target="media/23d864c1d0d893db4acaf54d14ac905b1deefda6.png"/><Relationship Id="rId13" Type="http://schemas.openxmlformats.org/officeDocument/2006/relationships/image" Target="media/764bb658d151ee17cb09a0831f2ca94fc78381e6.png"/><Relationship Id="rId14" Type="http://schemas.openxmlformats.org/officeDocument/2006/relationships/image" Target="media/0b842bab34048cbf2d915395b5572da545b1cb4d.png"/><Relationship Id="rId15" Type="http://schemas.openxmlformats.org/officeDocument/2006/relationships/image" Target="media/a6f2b8248ec8d299733577782185b7c6b56e457c.png"/><Relationship Id="rId16" Type="http://schemas.openxmlformats.org/officeDocument/2006/relationships/image" Target="media/dea79e79a1a471abed57ba73ed7b4067cf29d15c.png"/><Relationship Id="rId17" Type="http://schemas.openxmlformats.org/officeDocument/2006/relationships/image" Target="media/32d8bbe6ccd61d69737f3186e5b381244edf3533.png"/><Relationship Id="rId18" Type="http://schemas.openxmlformats.org/officeDocument/2006/relationships/image" Target="media/c4a633cd1aa525186deed4153299f2e40eacc7b5.png"/><Relationship Id="rId19" Type="http://schemas.openxmlformats.org/officeDocument/2006/relationships/image" Target="media/2ca57d994399085d4c516a5aa84e90a1b3575ac5.png"/><Relationship Id="rId20" Type="http://schemas.openxmlformats.org/officeDocument/2006/relationships/image" Target="media/ffb52bbc0b220982fff77ce12974bb5d7c84911e.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Módulo 1 - Punto 2</dc:title>
  <dc:creator>Jacobo Durán Aristizábal</dc:creator>
  <cp:lastModifiedBy>Un-named</cp:lastModifiedBy>
  <cp:revision>1</cp:revision>
  <dcterms:created xsi:type="dcterms:W3CDTF">2026-10-11T03:02:15.730Z</dcterms:created>
  <dcterms:modified xsi:type="dcterms:W3CDTF">2026-10-11T03:02:15.731Z</dcterms:modified>
</cp:coreProperties>
</file>

<file path=docProps/custom.xml><?xml version="1.0" encoding="utf-8"?>
<Properties xmlns="http://schemas.openxmlformats.org/officeDocument/2006/custom-properties" xmlns:vt="http://schemas.openxmlformats.org/officeDocument/2006/docPropsVTypes"/>
</file>