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Taller Módulo 1: Planeación de Sistemas de Potencia en Entornos de Transición</w:t>
      </w:r>
    </w:p>
    <w:p>
      <w:pPr>
        <w:spacing w:after="60"/>
        <w:jc w:val="center"/>
      </w:pPr>
      <w:r>
        <w:t xml:space="preserve">Diplomado Marco estratégico de la transición energética y el Mercado de energía</w:t>
      </w:r>
    </w:p>
    <w:p>
      <w:pPr>
        <w:spacing w:after="300"/>
        <w:jc w:val="center"/>
      </w:pPr>
      <w:r>
        <w:t xml:space="preserve">Jacobo Durán Aristizábal</w:t>
      </w:r>
    </w:p>
    <w:p>
      <w:pPr>
        <w:spacing w:after="120"/>
      </w:pPr>
      <w:r>
        <w:rPr>
          <w:b/>
          <w:bCs/>
          <w:sz w:val="26"/>
          <w:szCs w:val="26"/>
        </w:rPr>
        <w:t xml:space="preserve">Punto 5. Propuesta regulatoria</w:t>
      </w:r>
    </w:p>
    <w:p>
      <w:pPr>
        <w:spacing w:after="160" w:line="300"/>
        <w:jc w:val="both"/>
      </w:pPr>
      <w:r>
        <w:rPr>
          <w:b/>
          <w:bCs/>
        </w:rPr>
        <w:t xml:space="preserve">Tema asignado: </w:t>
      </w:r>
      <w:r>
        <w:t xml:space="preserve">Redes débiles y baja fortaleza eléctrica (índice SCRIF).</w:t>
      </w:r>
    </w:p>
    <w:p>
      <w:pPr>
        <w:pStyle w:val="Heading2"/>
        <w:spacing w:after="120" w:before="240"/>
      </w:pPr>
      <w:r>
        <w:t xml:space="preserve">1. Contexto del problema</w:t>
      </w:r>
    </w:p>
    <w:p>
      <w:pPr>
        <w:spacing w:after="160" w:line="300"/>
        <w:jc w:val="both"/>
      </w:pPr>
      <w:r>
        <w:t xml:space="preserve">Para entender el problema primero hay que definir qué es la fortaleza de la red. Un nodo es "fuerte" cuando tiene un nivel de cortocircuito alto, porque eso significa que la impedancia equivalente de Thevenin vista desde ese punto es baja y la tensión no se mueve mucho cuando cambia la corriente que se inyecta. La forma más común de medir esto es la relación de cortocircuito o SCR, que compara la potencia de cortocircuito del nodo con la potencia nominal de la planta que se conecta:</w:t>
      </w:r>
    </w:p>
    <w:p>
      <w:pPr>
        <w:tabs>
          <w:tab w:val="center" w:pos="4680"/>
          <w:tab w:val="right" w:pos="9360"/>
        </w:tabs>
        <w:spacing w:after="160" w:before="120"/>
      </w:pPr>
      <w:r>
        <w:t xml:space="preserve">	</w:t>
      </w:r>
      <m:oMath>
        <m:r>
          <m:t>SCR=</m:t>
        </m:r>
        <m:f>
          <m:num>
            <m:sSub>
              <m:sSubPr/>
              <m:e>
                <m:r>
                  <m:t>S</m:t>
                </m:r>
              </m:e>
              <m:sub>
                <m:r>
                  <m:t>cc</m:t>
                </m:r>
              </m:sub>
            </m:sSub>
          </m:num>
          <m:den>
            <m:sSub>
              <m:sSubPr/>
              <m:e>
                <m:r>
                  <m:t>P</m:t>
                </m:r>
              </m:e>
              <m:sub>
                <m:r>
                  <m:t>n</m:t>
                </m:r>
              </m:sub>
            </m:sSub>
          </m:den>
        </m:f>
      </m:oMath>
      <w:r>
        <w:t xml:space="preserve">	(1)</w:t>
      </w:r>
    </w:p>
    <w:p>
      <w:pPr>
        <w:spacing w:after="160" w:line="300"/>
        <w:jc w:val="both"/>
      </w:pPr>
      <w:r>
        <w:t xml:space="preserve">El problema con el SCR es que solo mira una planta a la vez. Cuando hay varias plantas solares o eólicas cerca, todas se están "repartiendo" la misma potencia de cortocircuito y el SCR individual de cada una da un valor más optimista del real. Por eso se usa el SCRIF (SCR with Interaction Factors), que en el denominador suma también las plantas vecinas multiplicadas por un factor de interacción:</w:t>
      </w:r>
    </w:p>
    <w:p>
      <w:pPr>
        <w:tabs>
          <w:tab w:val="center" w:pos="4680"/>
          <w:tab w:val="right" w:pos="9360"/>
        </w:tabs>
        <w:spacing w:after="160" w:before="120"/>
      </w:pPr>
      <w:r>
        <w:t xml:space="preserve">	</w:t>
      </w:r>
      <m:oMath>
        <m:sSub>
          <m:sSubPr/>
          <m:e>
            <m:r>
              <m:t>SCRIF</m:t>
            </m:r>
          </m:e>
          <m:sub>
            <m:r>
              <m:t>i</m:t>
            </m:r>
          </m:sub>
        </m:sSub>
        <m:r>
          <m:t>=</m:t>
        </m:r>
        <m:f>
          <m:num>
            <m:sSub>
              <m:sSubPr/>
              <m:e>
                <m:r>
                  <m:t>S</m:t>
                </m:r>
              </m:e>
              <m:sub>
                <m:r>
                  <m:t>cc,i</m:t>
                </m:r>
              </m:sub>
            </m:sSub>
          </m:num>
          <m:den>
            <m:sSub>
              <m:sSubPr/>
              <m:e>
                <m:r>
                  <m:t>P</m:t>
                </m:r>
              </m:e>
              <m:sub>
                <m:r>
                  <m:t>i</m:t>
                </m:r>
              </m:sub>
            </m:sSub>
            <m:r>
              <m:t>+</m:t>
            </m:r>
            <m:nary>
              <m:naryPr>
                <m:chr m:val="∑"/>
                <m:limLoc m:val="undOvr"/>
                <m:supHide m:val="1"/>
              </m:naryPr>
              <m:sub>
                <m:r>
                  <m:t>j≠i</m:t>
                </m:r>
              </m:sub>
              <m:sup/>
              <m:e>
                <m:sSub>
                  <m:sSubPr/>
                  <m:e>
                    <m:r>
                      <m:t>IF</m:t>
                    </m:r>
                  </m:e>
                  <m:sub>
                    <m:r>
                      <m:t>ij</m:t>
                    </m:r>
                  </m:sub>
                </m:sSub>
                <m:r>
                  <m:t>∙</m:t>
                </m:r>
                <m:sSub>
                  <m:sSubPr/>
                  <m:e>
                    <m:r>
                      <m:t>P</m:t>
                    </m:r>
                  </m:e>
                  <m:sub>
                    <m:r>
                      <m:t>j</m:t>
                    </m:r>
                  </m:sub>
                </m:sSub>
              </m:e>
            </m:nary>
          </m:den>
        </m:f>
      </m:oMath>
      <w:r>
        <w:t xml:space="preserve">	(2)</w:t>
      </w:r>
    </w:p>
    <w:p>
      <w:pPr>
        <w:spacing w:after="160" w:line="300"/>
        <w:jc w:val="both"/>
      </w:pPr>
      <w:r>
        <w:t xml:space="preserve">donde el factor de interacción indica qué tanto cambia la tensión en el nodo j cuando cambia la tensión en el nodo i:</w:t>
      </w:r>
    </w:p>
    <w:p>
      <w:pPr>
        <w:tabs>
          <w:tab w:val="center" w:pos="4680"/>
          <w:tab w:val="right" w:pos="9360"/>
        </w:tabs>
        <w:spacing w:after="160" w:before="120"/>
      </w:pPr>
      <w:r>
        <w:t xml:space="preserve">	</w:t>
      </w:r>
      <m:oMath>
        <m:sSub>
          <m:sSubPr/>
          <m:e>
            <m:r>
              <m:t>IF</m:t>
            </m:r>
          </m:e>
          <m:sub>
            <m:r>
              <m:t>ij</m:t>
            </m:r>
          </m:sub>
        </m:sSub>
        <m:r>
          <m:t>=</m:t>
        </m:r>
        <m:f>
          <m:num>
            <m:r>
              <m:t>∆</m:t>
            </m:r>
            <m:sSub>
              <m:sSubPr/>
              <m:e>
                <m:r>
                  <m:t>V</m:t>
                </m:r>
              </m:e>
              <m:sub>
                <m:r>
                  <m:t>j</m:t>
                </m:r>
              </m:sub>
            </m:sSub>
          </m:num>
          <m:den>
            <m:r>
              <m:t>∆</m:t>
            </m:r>
            <m:sSub>
              <m:sSubPr/>
              <m:e>
                <m:r>
                  <m:t>V</m:t>
                </m:r>
              </m:e>
              <m:sub>
                <m:r>
                  <m:t>i</m:t>
                </m:r>
              </m:sub>
            </m:sSub>
          </m:den>
        </m:f>
      </m:oMath>
      <w:r>
        <w:t xml:space="preserve">	(3)</w:t>
      </w:r>
    </w:p>
    <w:p>
      <w:pPr>
        <w:spacing w:after="160" w:line="300"/>
        <w:jc w:val="both"/>
      </w:pPr>
      <w:r>
        <w:t xml:space="preserve">En la clase 2 se mostró que en el SIN ya hay nodos FERNC con SCRIF menor a 1,5, y que esto trae como consecuencia un techo a la generación FERNC, la necesidad de programar generación de seguridad y pérdida de flexibilidad operativa. A esto se suma que el SIN tiene 92 nodos en configuración radial y que la expansión de transmisión va atrasada frente a los proyectos de generación. En la clase 4 también vimos que en el planeamiento eléctrico ya se calculan requerimientos de SCR e índices de fortaleza de red en los escenarios de mínimas unidades, pero la regulación no dice cuál es el valor aceptable de SCRIF, quién tiene que aportar la fortaleza que falta, ni quién paga por ella. La Resolución CREG 101 113 de 2026 avanzó en definir el SCR y el control formador de red (Grid-Forming, GFM) y pide que los SAEB mayores o iguales a 1 MW operen con SCR entre 1,2 y 20, pero esto solo aplica para baterías y no para las plantas solares y eólicas, que son las que más consumen fortaleza de red.</w:t>
      </w:r>
    </w:p>
    <w:p>
      <w:pPr>
        <w:pStyle w:val="Heading2"/>
        <w:spacing w:after="120" w:before="240"/>
      </w:pPr>
      <w:r>
        <w:t xml:space="preserve">2. Referente internacional: el caso de Australia</w:t>
      </w:r>
    </w:p>
    <w:p>
      <w:pPr>
        <w:spacing w:after="160" w:line="300"/>
        <w:jc w:val="both"/>
      </w:pPr>
      <w:r>
        <w:t xml:space="preserve">Como referencia escogí el código de red de Australia (National Electricity Rules, NER), porque el Mercado Nacional de Electricidad (NEM) tuvo un problema muy parecido al nuestro. La red australiana es larga y bastante radial, y en zonas como Australia del Sur, el oeste de Victoria y el norte de Queensland se conectaron muchos parques solares y eólicos lejos de los centros de generación síncrona. El operador (AEMO) terminó limitando la generación de varios parques y obligando a mantener unidades síncronas en línea solo para sostener el nivel de falla, que es básicamente lo mismo que hoy pasa en Colombia con los techos FERNC y la generación de seguridad.</w:t>
      </w:r>
    </w:p>
    <w:p>
      <w:pPr>
        <w:spacing w:after="160" w:line="300"/>
        <w:jc w:val="both"/>
      </w:pPr>
      <w:r>
        <w:t xml:space="preserve">La solución se dio en dos etapas. En 2017 la AEMC (el regulador) estableció un esquema de "do no harm", en el que cada generador nuevo tenía que remediar el impacto que causaba sobre la fortaleza del sistema. Esto funcionó pero fue poco eficiente, porque cada proyecto instalaba su propia solución sin coordinarse con los demás. Por eso en 2021 la AEMC sacó la regla "Efficient management of system strength on the power system", que cambió el enfoque en tres aspectos:</w:t>
      </w:r>
    </w:p>
    <w:p>
      <w:pPr>
        <w:pStyle w:val="ListParagraph"/>
        <w:numPr>
          <w:ilvl w:val="0"/>
          <w:numId w:val="2"/>
        </w:numPr>
        <w:spacing w:after="100" w:line="300"/>
        <w:jc w:val="both"/>
      </w:pPr>
      <w:r>
        <w:rPr>
          <w:b/>
          <w:bCs/>
        </w:rPr>
        <w:t xml:space="preserve">Responsable único por región: </w:t>
      </w:r>
      <w:r>
        <w:t xml:space="preserve">el transmisor de cada región se convierte en System Strength Service Provider (SSSP) y, desde el 2 de diciembre de 2025, debe garantizar de forma planificada un nivel mínimo (nivel de falla para operar de forma segura) y un nivel eficiente (fortaleza suficiente para que las nuevas plantas con inversores mantengan una forma de onda de tensión estable). Estos niveles los define AEMO según la cláusula S5.1.14 de las NER.</w:t>
      </w:r>
    </w:p>
    <w:p>
      <w:pPr>
        <w:pStyle w:val="ListParagraph"/>
        <w:numPr>
          <w:ilvl w:val="0"/>
          <w:numId w:val="2"/>
        </w:numPr>
        <w:spacing w:after="100" w:line="300"/>
        <w:jc w:val="both"/>
      </w:pPr>
      <w:r>
        <w:rPr>
          <w:b/>
          <w:bCs/>
        </w:rPr>
        <w:t xml:space="preserve">Requisito de desempeño para los equipos: </w:t>
      </w:r>
      <w:r>
        <w:t xml:space="preserve">según la cláusula S5.2.5.15, las nuevas plantas basadas en inversores deben seguir estables y conectadas con un SCR de 3,0 en el punto de conexión. Además, la S5.2.5.16 prohíbe relés de salto vectorial que disparen con cambios de ángulo de 20° o menos.</w:t>
      </w:r>
    </w:p>
    <w:p>
      <w:pPr>
        <w:pStyle w:val="ListParagraph"/>
        <w:numPr>
          <w:ilvl w:val="0"/>
          <w:numId w:val="2"/>
        </w:numPr>
        <w:spacing w:after="100" w:line="300"/>
        <w:jc w:val="both"/>
      </w:pPr>
      <w:r>
        <w:rPr>
          <w:b/>
          <w:bCs/>
        </w:rPr>
        <w:t xml:space="preserve">Señal de precio: </w:t>
      </w:r>
      <w:r>
        <w:t xml:space="preserve">el nuevo generador puede pagar un cargo por fortaleza de red (System Strength Charge) o proponer su propio esquema de remediación (autorremediación). El cargo depende de un precio en $/MVA de nivel de falla por nodo, de un factor de ubicación según la distancia eléctrica y de una cantidad que depende del tamaño de la planta y del SCR que necesita. Entre las formas de reducir el impacto se reconocen los inversores formadores de red.</w:t>
      </w:r>
    </w:p>
    <w:p>
      <w:pPr>
        <w:spacing w:after="160" w:line="300"/>
        <w:jc w:val="both"/>
      </w:pPr>
      <w:r>
        <w:t xml:space="preserve">Lo que me parece más útil de este modelo para Colombia es que la fortaleza de red deja de manejarse con restricciones operativas y redespachos, y pasa a ser un servicio que se planea con anticipación, que tiene un responsable claro y cuyo costo lo asume quien la consume.</w:t>
      </w:r>
    </w:p>
    <w:p>
      <w:pPr>
        <w:pStyle w:val="Heading2"/>
        <w:spacing w:after="120" w:before="240"/>
      </w:pPr>
      <w:r>
        <w:t xml:space="preserve">3. Propuesta regulatoria y ámbito de aplicación</w:t>
      </w:r>
    </w:p>
    <w:p>
      <w:pPr>
        <w:spacing w:after="160" w:line="300"/>
        <w:jc w:val="both"/>
      </w:pPr>
      <w:r>
        <w:t xml:space="preserve">Teniendo en cuenta lo anterior y la regulación vista en el módulo, propongo las siguientes medidas:</w:t>
      </w:r>
    </w:p>
    <w:p>
      <w:pPr>
        <w:spacing w:after="160" w:line="300"/>
        <w:jc w:val="both"/>
      </w:pPr>
      <w:r>
        <w:rPr>
          <w:b/>
          <w:bCs/>
        </w:rPr>
        <w:t xml:space="preserve">Medida 1. Usar el SCRIF como indicador regulatorio. </w:t>
      </w:r>
      <w:r>
        <w:t xml:space="preserve">El CND calcularía y publicaría cada año, junto con el planeamiento operativo eléctrico, el SCRIF de todos los nodos del STN y del STR que tengan generación FERNC en operación o con capacidad de transporte asignada. El cálculo se haría en el escenario de mínimas unidades síncronas y en condición N-1. La metodología quedaría en un Acuerdo CNO, que es lo que ya permite la definición de SCR de la CREG 101 113 de 2026 (IEEE 2800 de 2022 o lo que indique el CND mediante Acuerdo CNO). Se proponen tres zonas: SCRIF mayor o igual a 3 como zona normal, entre 1,5 y 3 como zona de vigilancia donde son obligatorios los estudios EMT, y menor a 1,5 como zona crítica donde no se aprueban conexiones nuevas sin remediación.</w:t>
      </w:r>
    </w:p>
    <w:p>
      <w:pPr>
        <w:spacing w:after="160" w:line="300"/>
        <w:jc w:val="both"/>
      </w:pPr>
      <w:r>
        <w:rPr>
          <w:b/>
          <w:bCs/>
        </w:rPr>
        <w:t xml:space="preserve">Medida 2. Requisito de desempeño para nuevas FERNC. </w:t>
      </w:r>
      <w:r>
        <w:t xml:space="preserve">Toda planta solar o eólica mayor o igual a 5 MW conectada al STN, al STR, o al SDL dentro de una zona de vigilancia o crítica, debe operar de forma estable con un SCR mínimo de 1,5 y una relación X/R entre 2,4 y 30 en su punto de conexión. Esto se demostraría con los modelos EMT que ya pide la CREG 101 104 de 2026. También se prohibirían los disparos por salto vectorial, como en Australia.</w:t>
      </w:r>
    </w:p>
    <w:p>
      <w:pPr>
        <w:spacing w:after="160" w:line="300"/>
        <w:jc w:val="both"/>
      </w:pPr>
      <w:r>
        <w:rPr>
          <w:b/>
          <w:bCs/>
        </w:rPr>
        <w:t xml:space="preserve">Medida 3. Capacidad formadora de red en zonas críticas. </w:t>
      </w:r>
      <w:r>
        <w:t xml:space="preserve">Las plantas FERNC nuevas de 20 MW o más que se conecten en nodos con SCRIF menor a 3 deben tener capacidad GFM de al menos el 20 % de su potencia nominal, ya sea con inversores GFM propios o con un SAEB híbrido. En los dos casos tendrían que cumplir lo del literal b) del artículo 71 de la CREG 101 113: aporte de 1,5 veces la corriente nominal durante 5 s, inercia sintética de mínimo 3 s y amortiguamiento de oscilaciones subsíncronas y supersíncronas. En otras palabras, se extiende a la generación renovable lo que hoy solo se le pide a las baterías.</w:t>
      </w:r>
    </w:p>
    <w:p>
      <w:pPr>
        <w:spacing w:after="160" w:line="300"/>
        <w:jc w:val="both"/>
      </w:pPr>
      <w:r>
        <w:rPr>
          <w:b/>
          <w:bCs/>
        </w:rPr>
        <w:t xml:space="preserve">Medida 4. Responsable de la fortaleza de red y cargo. </w:t>
      </w:r>
      <w:r>
        <w:t xml:space="preserve">El transmisor en el STN y el operador de red en el STR serían los encargados de mantener el SCRIF mínimo en las zonas críticas, y la UPME incluiría estas obras en el Plan de Expansión. Los equipos que se podrían usar son condensadores síncronos conectados a 220 kV o 500 kV, SAEB con control GFM como activo de red (el artículo 4 de la CREG 101 113 ya permite el propósito de aportar inercia y corriente de cortocircuito) y la conversión de unidades térmicas que salgan del mercado a condensadores síncronos. El generador que consuma fortaleza podría escoger entre pagar un cargo por MVA de cortocircuito o hacer su propia remediación. Los STATCOM y SVC (Acuerdos CNO 947 y 1501) seguirían siendo un complemento para el control de tensión, pero no reemplazan una fuente de cortocircuito porque al ser electrónica de potencia su aporte de corriente de falla es muy bajo.</w:t>
      </w:r>
    </w:p>
    <w:p>
      <w:pPr>
        <w:spacing w:after="160" w:line="300"/>
        <w:jc w:val="both"/>
      </w:pPr>
      <w:r>
        <w:rPr>
          <w:b/>
          <w:bCs/>
        </w:rPr>
        <w:t xml:space="preserve">Medida 5. Protecciones. </w:t>
      </w:r>
      <w:r>
        <w:t xml:space="preserve">En las zonas críticas sería obligatorio lo que la CREG 148 de 2021 ya menciona para el SDL: esquemas de protección basados en tensión, en combinación tensión/corriente o en impedancia para plantas con bajo aporte de cortocircuito. El estudio de coordinación de protecciones también se tendría que revisar con el SCRIF mínimo y no solo con el escenario de cortocircuito máximo.</w:t>
      </w:r>
    </w:p>
    <w:p>
      <w:pPr>
        <w:spacing w:after="160" w:line="300"/>
        <w:jc w:val="both"/>
      </w:pPr>
      <w:r>
        <w:rPr>
          <w:b/>
          <w:bCs/>
        </w:rPr>
        <w:t xml:space="preserve">Ejemplo de dimensionamiento. </w:t>
      </w:r>
      <w:r>
        <w:t xml:space="preserve">Para tener una idea del tamaño de los equipos, supongamos un grupo de plantas con 600 MW efectivos (denominador de la ecuación 2) en un nodo con 900 MVA de cortocircuito. Su SCRIF sería 900/600 = 1,5. Para llevarlo a 3, la potencia de cortocircuito adicional que se necesita es:</w:t>
      </w:r>
    </w:p>
    <w:p>
      <w:pPr>
        <w:tabs>
          <w:tab w:val="center" w:pos="4680"/>
          <w:tab w:val="right" w:pos="9360"/>
        </w:tabs>
        <w:spacing w:after="160" w:before="120"/>
      </w:pPr>
      <w:r>
        <w:t xml:space="preserve">	</w:t>
      </w:r>
      <m:oMath>
        <m:r>
          <m:t>∆</m:t>
        </m:r>
        <m:sSub>
          <m:sSubPr/>
          <m:e>
            <m:r>
              <m:t>S</m:t>
            </m:r>
          </m:e>
          <m:sub>
            <m:r>
              <m:t>cc</m:t>
            </m:r>
          </m:sub>
        </m:sSub>
        <m:r>
          <m:t>=</m:t>
        </m:r>
        <m:sSub>
          <m:sSubPr/>
          <m:e>
            <m:r>
              <m:t>SCRIF</m:t>
            </m:r>
          </m:e>
          <m:sub>
            <m:r>
              <m:t>obj</m:t>
            </m:r>
          </m:sub>
        </m:sSub>
        <m:r>
          <m:t>∙</m:t>
        </m:r>
        <m:sSub>
          <m:sSubPr/>
          <m:e>
            <m:r>
              <m:t>P</m:t>
            </m:r>
          </m:e>
          <m:sub>
            <m:r>
              <m:t>eq</m:t>
            </m:r>
          </m:sub>
        </m:sSub>
        <m:r>
          <m:t>−</m:t>
        </m:r>
        <m:sSub>
          <m:sSubPr/>
          <m:e>
            <m:r>
              <m:t>S</m:t>
            </m:r>
          </m:e>
          <m:sub>
            <m:r>
              <m:t>cc,act</m:t>
            </m:r>
          </m:sub>
        </m:sSub>
        <m:r>
          <m:t>=3∙600−900=900 MVA</m:t>
        </m:r>
      </m:oMath>
      <w:r>
        <w:t xml:space="preserve">	(4)</w:t>
      </w:r>
    </w:p>
    <w:p>
      <w:pPr>
        <w:spacing w:after="160" w:line="300"/>
        <w:jc w:val="both"/>
      </w:pPr>
      <w:r>
        <w:t xml:space="preserve">Un condensador síncrono de 150 MVA con una reactancia subtransitoria típica de 0,15 p.u. y un transformador elevador de 0,12 p.u. aporta en alta tensión aproximadamente:</w:t>
      </w:r>
    </w:p>
    <w:p>
      <w:pPr>
        <w:tabs>
          <w:tab w:val="center" w:pos="4680"/>
          <w:tab w:val="right" w:pos="9360"/>
        </w:tabs>
        <w:spacing w:after="160" w:before="120"/>
      </w:pPr>
      <w:r>
        <w:t xml:space="preserve">	</w:t>
      </w:r>
      <m:oMath>
        <m:sSub>
          <m:sSubPr/>
          <m:e>
            <m:r>
              <m:t>S</m:t>
            </m:r>
          </m:e>
          <m:sub>
            <m:r>
              <m:t>cc,CS</m:t>
            </m:r>
          </m:sub>
        </m:sSub>
        <m:r>
          <m:t>≈</m:t>
        </m:r>
        <m:f>
          <m:num>
            <m:sSub>
              <m:sSubPr/>
              <m:e>
                <m:r>
                  <m:t>S</m:t>
                </m:r>
              </m:e>
              <m:sub>
                <m:r>
                  <m:t>n</m:t>
                </m:r>
              </m:sub>
            </m:sSub>
          </m:num>
          <m:den>
            <m:sSub>
              <m:sSubPr/>
              <m:e>
                <m:r>
                  <m:t>x″</m:t>
                </m:r>
              </m:e>
              <m:sub>
                <m:r>
                  <m:t>d</m:t>
                </m:r>
              </m:sub>
            </m:sSub>
            <m:r>
              <m:t>+</m:t>
            </m:r>
            <m:sSub>
              <m:sSubPr/>
              <m:e>
                <m:r>
                  <m:t>x</m:t>
                </m:r>
              </m:e>
              <m:sub>
                <m:r>
                  <m:t>T</m:t>
                </m:r>
              </m:sub>
            </m:sSub>
          </m:den>
        </m:f>
        <m:r>
          <m:t>=</m:t>
        </m:r>
        <m:f>
          <m:num>
            <m:r>
              <m:t>150</m:t>
            </m:r>
          </m:num>
          <m:den>
            <m:r>
              <m:t>0,15+0,12</m:t>
            </m:r>
          </m:den>
        </m:f>
        <m:r>
          <m:t>≈555 MVA</m:t>
        </m:r>
      </m:oMath>
      <w:r>
        <w:t xml:space="preserve">	(5)</w:t>
      </w:r>
    </w:p>
    <w:p>
      <w:pPr>
        <w:spacing w:after="160" w:line="300"/>
        <w:jc w:val="both"/>
      </w:pPr>
      <w:r>
        <w:t xml:space="preserve">Es decir que con dos unidades de 150 MVA se cumpliría el objetivo. En cambio, un SAEB GFM de 100 MVA, que aporta alrededor de 1,5 veces su corriente nominal, solo daría unos 150 MVA, así que su papel es más complementario, aunque tiene la ventaja de que también aporta inercia sintética y flexibilidad. Hay que aclarar que estos valores son típicos y que en un caso real se tendrían que usar los datos de los equipos y de la red.</w:t>
      </w:r>
    </w:p>
    <w:p>
      <w:pPr>
        <w:pStyle w:val="Heading2"/>
        <w:spacing w:after="120" w:before="240"/>
      </w:pPr>
      <w:r>
        <w:t xml:space="preserve">4. Cómo la propuesta mitiga el problema</w:t>
      </w:r>
    </w:p>
    <w:p>
      <w:pPr>
        <w:spacing w:after="160" w:line="300"/>
        <w:jc w:val="both"/>
      </w:pPr>
      <w:r>
        <w:t xml:space="preserve">En una red débil la impedancia de Thevenin es alta, entonces cualquier cambio en la corriente del inversor mueve bastante la tensión del nodo. Los inversores tipo seguidor de red (GFL) usan un PLL que mide esa tensión para sincronizarse, y si la tensión no es firme el PLL y los lazos de control empiezan a interactuar entre ellos y con las plantas vecinas. Esto puede terminar en oscilaciones, pérdida de sincronismo o disparos en cascada cuando hay un hueco de tensión. El riesgo es mayor con el cambio de la CREG 101 104 a la inyección rápida de reactivos (k = 2 por defecto), porque se exige demostrar con estudios RMS y EMT que la planta es estable en su punto de conexión. Hoy en día, para evitar esto, el CND limita la generación FERNC y programa unidades síncronas como generación de seguridad, lo que le cuesta a la demanda y le quita flexibilidad al sistema.</w:t>
      </w:r>
    </w:p>
    <w:p>
      <w:pPr>
        <w:spacing w:after="160" w:line="300"/>
        <w:jc w:val="both"/>
      </w:pPr>
      <w:r>
        <w:t xml:space="preserve">Con la propuesta el problema se ataca desde tres lados. Primero, se aumenta el numerador del SCRIF con fuentes de cortocircuito reales (condensadores síncronos) o emuladas (GFM), lo que baja la impedancia equivalente y hace más estable la tensión que ven los inversores. Segundo, se reduce el efecto del denominador, porque una planta GFM funciona como una fuente de tensión detrás de una impedancia y no como una fuente de corriente que depende de la red, entonces en vez de consumir fortaleza la aporta. Tercero, con el cargo o la autorremediación el costo lo asume quien genera la necesidad, y como la planeación es centralizada se evita que cada proyecto ponga su propia solución por separado.</w:t>
      </w:r>
    </w:p>
    <w:p>
      <w:pPr>
        <w:spacing w:after="160" w:line="300"/>
        <w:jc w:val="both"/>
      </w:pPr>
      <w:r>
        <w:t xml:space="preserve">En el escenario actual, estas medidas permitirían quitar o subir los techos FERNC en los nodos con SCRIF menor a 1,5 y reducir la generación de seguridad. En el escenario futuro, con más renovables, el retiro de algunas plantas térmicas y menos unidades síncronas despachadas en épocas de hidrología húmeda, el nivel de cortocircuito del SIN va a tender a bajar. Si desde ahora se define el indicador, el responsable y el requisito GFM, se evita que la debilidad de la red termine siendo lo que frene la transición energética en Colombia.</w:t>
      </w:r>
    </w:p>
    <w:p>
      <w:pPr>
        <w:pStyle w:val="Heading2"/>
        <w:spacing w:after="120" w:before="240"/>
      </w:pPr>
      <w:r>
        <w:t xml:space="preserve">Referencias</w:t>
      </w:r>
    </w:p>
    <w:p>
      <w:pPr>
        <w:spacing w:after="120" w:line="276"/>
        <w:ind w:left="567" w:hanging="567"/>
      </w:pPr>
      <w:r>
        <w:t xml:space="preserve">AEMC. (2021). </w:t>
      </w:r>
      <w:r>
        <w:rPr>
          <w:i/>
          <w:iCs/>
        </w:rPr>
        <w:t xml:space="preserve">Efficient management of system strength on the power system. Rule determination ERC0300</w:t>
      </w:r>
      <w:r>
        <w:t xml:space="preserve">. Australian Energy Market Commission. https://www.aemc.gov.au/sites/default/files/2021-10/ERC0300%20-%20Final%20determination_for%20publication.pdf</w:t>
      </w:r>
    </w:p>
    <w:p>
      <w:pPr>
        <w:spacing w:after="120" w:line="276"/>
        <w:ind w:left="567" w:hanging="567"/>
      </w:pPr>
      <w:r>
        <w:t xml:space="preserve">AEMO. (2022). </w:t>
      </w:r>
      <w:r>
        <w:rPr>
          <w:i/>
          <w:iCs/>
        </w:rPr>
        <w:t xml:space="preserve">System strength framework: presentation pack</w:t>
      </w:r>
      <w:r>
        <w:t xml:space="preserve">. Australian Energy Market Operator. https://www.aemo.com.au/-/media/files/stakeholder_consultation/consultations/nem-consultations/2022/ssrmiag/system-strength-framework-presentation-pack.pdf</w:t>
      </w:r>
    </w:p>
    <w:p>
      <w:pPr>
        <w:spacing w:after="120" w:line="276"/>
        <w:ind w:left="567" w:hanging="567"/>
      </w:pPr>
      <w:r>
        <w:t xml:space="preserve">Comisión de Regulación de Energía y Gas [CREG]. (2021). </w:t>
      </w:r>
      <w:r>
        <w:rPr>
          <w:i/>
          <w:iCs/>
        </w:rPr>
        <w:t xml:space="preserve">Resolución CREG 148 de 2021</w:t>
      </w:r>
      <w:r>
        <w:t xml:space="preserve">.</w:t>
      </w:r>
    </w:p>
    <w:p>
      <w:pPr>
        <w:spacing w:after="120" w:line="276"/>
        <w:ind w:left="567" w:hanging="567"/>
      </w:pPr>
      <w:r>
        <w:t xml:space="preserve">Comisión de Regulación de Energía y Gas [CREG]. (2026). </w:t>
      </w:r>
      <w:r>
        <w:rPr>
          <w:i/>
          <w:iCs/>
        </w:rPr>
        <w:t xml:space="preserve">Resolución CREG 101 104 de 2026</w:t>
      </w:r>
      <w:r>
        <w:t xml:space="preserve">.</w:t>
      </w:r>
    </w:p>
    <w:p>
      <w:pPr>
        <w:spacing w:after="120" w:line="276"/>
        <w:ind w:left="567" w:hanging="567"/>
      </w:pPr>
      <w:r>
        <w:t xml:space="preserve">Comisión de Regulación de Energía y Gas [CREG]. (2026). </w:t>
      </w:r>
      <w:r>
        <w:rPr>
          <w:i/>
          <w:iCs/>
        </w:rPr>
        <w:t xml:space="preserve">Resolución CREG 101 113 de 2026. Por la cual se definen los mecanismos para incorporar sistemas de almacenamiento de energía eléctrica con baterías (SAEB) en el Sistema Interconectado Nacional</w:t>
      </w:r>
      <w:r>
        <w:t xml:space="preserve">.</w:t>
      </w:r>
    </w:p>
    <w:p>
      <w:pPr>
        <w:spacing w:after="120" w:line="276"/>
        <w:ind w:left="567" w:hanging="567"/>
      </w:pPr>
      <w:r>
        <w:t xml:space="preserve">Consejo Nacional de Operación [CNO]. (2017). </w:t>
      </w:r>
      <w:r>
        <w:rPr>
          <w:i/>
          <w:iCs/>
        </w:rPr>
        <w:t xml:space="preserve">Acuerdo 947. Requerimientos para la obtención y validación de parámetros y modelos de los dispositivos FACTS tipo SVC y STATCOM</w:t>
      </w:r>
      <w:r>
        <w:t xml:space="preserve">.</w:t>
      </w:r>
    </w:p>
    <w:p>
      <w:pPr>
        <w:spacing w:after="120" w:line="276"/>
        <w:ind w:left="567" w:hanging="567"/>
      </w:pPr>
      <w:r>
        <w:t xml:space="preserve">Consejo Nacional de Operación [CNO]. (2021). </w:t>
      </w:r>
      <w:r>
        <w:rPr>
          <w:i/>
          <w:iCs/>
        </w:rPr>
        <w:t xml:space="preserve">Acuerdo 1501. Requerimientos para la obtención y validación de parámetros y modelos de los dispositivos FACTS distribuidos</w:t>
      </w:r>
      <w:r>
        <w:t xml:space="preserve">.</w:t>
      </w:r>
    </w:p>
    <w:p>
      <w:pPr>
        <w:spacing w:after="120" w:line="276"/>
        <w:ind w:left="567" w:hanging="567"/>
      </w:pPr>
      <w:r>
        <w:t xml:space="preserve">Energy Systems Integration Group [ESIG]. (2025). </w:t>
      </w:r>
      <w:r>
        <w:rPr>
          <w:i/>
          <w:iCs/>
        </w:rPr>
        <w:t xml:space="preserve">Weak grid concepts and system strength metrics</w:t>
      </w:r>
      <w:r>
        <w:t xml:space="preserve">. https://www.esig.energy/wp-content/uploads/2025/08/11.-Weak-Grid-Concepts-and-System-Strength-Metrics.pdf</w:t>
      </w:r>
    </w:p>
    <w:p>
      <w:pPr>
        <w:spacing w:after="120" w:line="276"/>
        <w:ind w:left="567" w:hanging="567"/>
      </w:pPr>
      <w:r>
        <w:t xml:space="preserve">IEEE. (2022). </w:t>
      </w:r>
      <w:r>
        <w:rPr>
          <w:i/>
          <w:iCs/>
        </w:rPr>
        <w:t xml:space="preserve">IEEE Std 2800-2022. Standard for interconnection and interoperability of inverter-based resources interconnecting with associated transmission electric power systems</w:t>
      </w:r>
      <w:r>
        <w:t xml:space="preserve">.</w:t>
      </w:r>
    </w:p>
    <w:p>
      <w:pPr>
        <w:spacing w:after="120" w:line="276"/>
        <w:ind w:left="567" w:hanging="567"/>
      </w:pPr>
      <w:r>
        <w:t xml:space="preserve">Transgrid. (s.f.). </w:t>
      </w:r>
      <w:r>
        <w:rPr>
          <w:i/>
          <w:iCs/>
        </w:rPr>
        <w:t xml:space="preserve">System strength for network connections</w:t>
      </w:r>
      <w:r>
        <w:t xml:space="preserve">. https://www.transgrid.com.au/about-us/network/system-strength-for-network-connections/</w:t>
      </w:r>
    </w:p>
    <w:p>
      <w:pPr>
        <w:spacing w:after="120" w:line="276"/>
        <w:ind w:left="567" w:hanging="567"/>
      </w:pPr>
      <w:r>
        <w:t xml:space="preserve">XM S.A. E.S.P. (2026). </w:t>
      </w:r>
      <w:r>
        <w:rPr>
          <w:i/>
          <w:iCs/>
        </w:rPr>
        <w:t xml:space="preserve">Guía de modelos preliminares CREG 060 de 2019, versión 7</w:t>
      </w:r>
      <w:r>
        <w:t xml:space="preserve">.</w:t>
      </w:r>
    </w:p>
    <w:p>
      <w:pPr>
        <w:spacing w:after="120" w:line="276"/>
        <w:ind w:left="567" w:hanging="567"/>
      </w:pPr>
      <w:r>
        <w:t xml:space="preserve">XM S.A. E.S.P. (2026). </w:t>
      </w:r>
      <w:r>
        <w:rPr>
          <w:i/>
          <w:iCs/>
        </w:rPr>
        <w:t xml:space="preserve">Marco estratégico de la transición energética y el Mercado de energía, Clase 2 (12 de septiembre) y Clase 4 (19 de septiembre)</w:t>
      </w:r>
      <w:r>
        <w:t xml:space="preserve">. Diplomado UPB.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Taller Módulo 1 - Jacobo Durán Aristizábal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Módulo 1 - Punto 5</dc:title>
  <dc:creator>Jacobo Durán Aristizábal</dc:creator>
  <cp:lastModifiedBy>Un-named</cp:lastModifiedBy>
  <cp:revision>1</cp:revision>
  <dcterms:created xsi:type="dcterms:W3CDTF">2026-10-11T03:10:23.004Z</dcterms:created>
  <dcterms:modified xsi:type="dcterms:W3CDTF">2026-10-11T03:10:23.005Z</dcterms:modified>
</cp:coreProperties>
</file>

<file path=docProps/custom.xml><?xml version="1.0" encoding="utf-8"?>
<Properties xmlns="http://schemas.openxmlformats.org/officeDocument/2006/custom-properties" xmlns:vt="http://schemas.openxmlformats.org/officeDocument/2006/docPropsVTypes"/>
</file>