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Morphokinetic properties of mesenchymal stem cells as a predictor of differentiation potential</w:t>
      </w:r>
    </w:p>
    <w:p>
      <w:pPr>
        <w:pStyle w:val="Author"/>
      </w:pPr>
      <w:r>
        <w:t xml:space="preserve">Y3948024</w:t>
      </w:r>
    </w:p>
    <w:p>
      <w:pPr>
        <w:pStyle w:val="Date"/>
      </w:pPr>
      <w:r>
        <w:t xml:space="preserve">2026-04-26</w:t>
      </w:r>
    </w:p>
    <w:bookmarkStart w:id="23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orphokinetic-properties-of-mesenchymal-stem-cells-as-a-predictor-of-differentiation-potential_files/figure-docx/pressu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Morphokinetic properties of mesenchymal stem cells as a predictor of differentiation potential</dc:title>
  <dc:creator>Y3948024</dc:creator>
  <cp:keywords/>
  <dcterms:created xsi:type="dcterms:W3CDTF">2026-04-26T15:21:16Z</dcterms:created>
  <dcterms:modified xsi:type="dcterms:W3CDTF">2026-04-26T15:21:16Z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  <property fmtid="{D5CDD505-2E9C-101B-9397-08002B2CF9AE}" pid="3" name="output">
    <vt:lpwstr>word_document</vt:lpwstr>
  </property>
</Properties>
</file>